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17D9" w14:textId="753E5D06" w:rsidR="00E958CE" w:rsidRPr="00DB1B20" w:rsidRDefault="00E958CE" w:rsidP="48897896">
      <w:pPr>
        <w:spacing w:after="0" w:line="240" w:lineRule="auto"/>
        <w:jc w:val="center"/>
        <w:rPr>
          <w:rFonts w:ascii="Arial" w:hAnsi="Arial" w:cs="Arial"/>
          <w:b/>
          <w:bCs/>
          <w:i/>
          <w:iCs/>
          <w:sz w:val="26"/>
          <w:szCs w:val="26"/>
        </w:rPr>
      </w:pPr>
      <w:r w:rsidRPr="00DB1B20">
        <w:rPr>
          <w:rFonts w:ascii="Arial" w:hAnsi="Arial" w:cs="Arial"/>
          <w:b/>
          <w:bCs/>
          <w:i/>
          <w:iCs/>
          <w:sz w:val="26"/>
          <w:szCs w:val="26"/>
        </w:rPr>
        <w:t>Lineamientos Generales para la publicación de metodologías que el INEGI utiliza en la producción de IIN</w:t>
      </w:r>
      <w:r w:rsidR="00411480" w:rsidRPr="00DB1B20">
        <w:rPr>
          <w:rFonts w:ascii="Arial" w:hAnsi="Arial" w:cs="Arial"/>
          <w:b/>
          <w:bCs/>
          <w:i/>
          <w:iCs/>
          <w:sz w:val="26"/>
          <w:szCs w:val="26"/>
        </w:rPr>
        <w:t>.</w:t>
      </w:r>
    </w:p>
    <w:p w14:paraId="16221945" w14:textId="17210B05" w:rsidR="00E958CE" w:rsidRPr="00DB1B20" w:rsidRDefault="00411480" w:rsidP="48897896">
      <w:pPr>
        <w:spacing w:after="0" w:line="240" w:lineRule="auto"/>
        <w:jc w:val="center"/>
        <w:rPr>
          <w:rFonts w:ascii="Arial" w:hAnsi="Arial" w:cs="Arial"/>
          <w:b/>
          <w:bCs/>
          <w:sz w:val="26"/>
          <w:szCs w:val="26"/>
        </w:rPr>
      </w:pPr>
      <w:r w:rsidRPr="00DB1B20">
        <w:rPr>
          <w:rFonts w:ascii="Arial" w:hAnsi="Arial" w:cs="Arial"/>
          <w:b/>
          <w:bCs/>
          <w:sz w:val="26"/>
          <w:szCs w:val="26"/>
        </w:rPr>
        <w:t>Propuesta de actualización.</w:t>
      </w:r>
    </w:p>
    <w:p w14:paraId="628E3900" w14:textId="77777777" w:rsidR="00EC42DE" w:rsidRPr="00E958CE" w:rsidRDefault="00EC42DE" w:rsidP="48897896">
      <w:pPr>
        <w:spacing w:after="0" w:line="240" w:lineRule="auto"/>
        <w:jc w:val="center"/>
        <w:rPr>
          <w:b/>
          <w:bCs/>
          <w:i/>
          <w:iCs/>
          <w:sz w:val="26"/>
          <w:szCs w:val="26"/>
        </w:rPr>
      </w:pPr>
    </w:p>
    <w:tbl>
      <w:tblPr>
        <w:tblW w:w="14024" w:type="dxa"/>
        <w:jc w:val="center"/>
        <w:tblCellMar>
          <w:left w:w="70" w:type="dxa"/>
          <w:right w:w="70" w:type="dxa"/>
        </w:tblCellMar>
        <w:tblLook w:val="04A0" w:firstRow="1" w:lastRow="0" w:firstColumn="1" w:lastColumn="0" w:noHBand="0" w:noVBand="1"/>
      </w:tblPr>
      <w:tblGrid>
        <w:gridCol w:w="1561"/>
        <w:gridCol w:w="4525"/>
        <w:gridCol w:w="4677"/>
        <w:gridCol w:w="3261"/>
      </w:tblGrid>
      <w:tr w:rsidR="00F549A4" w:rsidRPr="00E958CE" w14:paraId="5F101B06" w14:textId="29B0563D" w:rsidTr="00FC3DCE">
        <w:trPr>
          <w:trHeight w:val="435"/>
          <w:jc w:val="center"/>
        </w:trPr>
        <w:tc>
          <w:tcPr>
            <w:tcW w:w="1561"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hideMark/>
          </w:tcPr>
          <w:p w14:paraId="42BED55E" w14:textId="77777777" w:rsidR="00F549A4" w:rsidRPr="00F549A4" w:rsidRDefault="00F549A4" w:rsidP="00416939">
            <w:pPr>
              <w:spacing w:after="0" w:line="240" w:lineRule="auto"/>
              <w:jc w:val="center"/>
              <w:rPr>
                <w:rFonts w:ascii="Calibri" w:eastAsia="Times New Roman" w:hAnsi="Calibri" w:cs="Calibri"/>
                <w:b/>
                <w:bCs/>
                <w:color w:val="FFFFFF"/>
                <w:sz w:val="28"/>
                <w:szCs w:val="28"/>
                <w:lang w:eastAsia="es-MX"/>
              </w:rPr>
            </w:pPr>
            <w:r w:rsidRPr="00F549A4">
              <w:rPr>
                <w:rFonts w:ascii="Calibri" w:eastAsia="Times New Roman" w:hAnsi="Calibri" w:cs="Calibri"/>
                <w:b/>
                <w:bCs/>
                <w:color w:val="FFFFFF"/>
                <w:sz w:val="28"/>
                <w:szCs w:val="28"/>
                <w:lang w:eastAsia="es-MX"/>
              </w:rPr>
              <w:t>Referencia</w:t>
            </w:r>
          </w:p>
        </w:tc>
        <w:tc>
          <w:tcPr>
            <w:tcW w:w="4525"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14:paraId="2E0C5CFA" w14:textId="77777777" w:rsidR="00F549A4" w:rsidRPr="00F549A4" w:rsidRDefault="00F549A4" w:rsidP="00416939">
            <w:pPr>
              <w:spacing w:after="0" w:line="240" w:lineRule="auto"/>
              <w:jc w:val="center"/>
              <w:rPr>
                <w:rFonts w:ascii="Calibri" w:eastAsia="Times New Roman" w:hAnsi="Calibri" w:cs="Calibri"/>
                <w:b/>
                <w:bCs/>
                <w:color w:val="FFFFFF"/>
                <w:sz w:val="28"/>
                <w:szCs w:val="28"/>
                <w:lang w:eastAsia="es-MX"/>
              </w:rPr>
            </w:pPr>
            <w:r w:rsidRPr="00F549A4">
              <w:rPr>
                <w:rFonts w:ascii="Calibri" w:eastAsia="Times New Roman" w:hAnsi="Calibri" w:cs="Calibri"/>
                <w:b/>
                <w:bCs/>
                <w:color w:val="FFFFFF"/>
                <w:sz w:val="28"/>
                <w:szCs w:val="28"/>
                <w:lang w:eastAsia="es-MX"/>
              </w:rPr>
              <w:t>Dice:</w:t>
            </w:r>
          </w:p>
        </w:tc>
        <w:tc>
          <w:tcPr>
            <w:tcW w:w="4677"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14:paraId="2B57B6E4" w14:textId="77777777" w:rsidR="00F549A4" w:rsidRPr="00F549A4" w:rsidRDefault="00F549A4" w:rsidP="00416939">
            <w:pPr>
              <w:spacing w:after="0" w:line="240" w:lineRule="auto"/>
              <w:jc w:val="center"/>
              <w:rPr>
                <w:rFonts w:ascii="Calibri" w:eastAsia="Times New Roman" w:hAnsi="Calibri" w:cs="Calibri"/>
                <w:b/>
                <w:bCs/>
                <w:color w:val="FFFFFF"/>
                <w:sz w:val="28"/>
                <w:szCs w:val="28"/>
                <w:lang w:eastAsia="es-MX"/>
              </w:rPr>
            </w:pPr>
            <w:r w:rsidRPr="00F549A4">
              <w:rPr>
                <w:rFonts w:ascii="Calibri" w:eastAsia="Times New Roman" w:hAnsi="Calibri" w:cs="Calibri"/>
                <w:b/>
                <w:bCs/>
                <w:color w:val="FFFFFF"/>
                <w:sz w:val="28"/>
                <w:szCs w:val="28"/>
                <w:lang w:eastAsia="es-MX"/>
              </w:rPr>
              <w:t>Debe decir:</w:t>
            </w:r>
          </w:p>
        </w:tc>
        <w:tc>
          <w:tcPr>
            <w:tcW w:w="3261" w:type="dxa"/>
            <w:tcBorders>
              <w:top w:val="single" w:sz="8" w:space="0" w:color="auto"/>
              <w:left w:val="nil"/>
              <w:bottom w:val="single" w:sz="8" w:space="0" w:color="auto"/>
              <w:right w:val="single" w:sz="8" w:space="0" w:color="auto"/>
            </w:tcBorders>
            <w:shd w:val="clear" w:color="auto" w:fill="808080" w:themeFill="background1" w:themeFillShade="80"/>
          </w:tcPr>
          <w:p w14:paraId="6CE93E05" w14:textId="289FD7A8" w:rsidR="00F549A4" w:rsidRPr="00F549A4" w:rsidRDefault="00F549A4" w:rsidP="00416939">
            <w:pPr>
              <w:spacing w:after="0" w:line="240" w:lineRule="auto"/>
              <w:jc w:val="center"/>
              <w:rPr>
                <w:rFonts w:ascii="Calibri" w:eastAsia="Times New Roman" w:hAnsi="Calibri" w:cs="Calibri"/>
                <w:b/>
                <w:bCs/>
                <w:color w:val="FFFFFF"/>
                <w:sz w:val="28"/>
                <w:szCs w:val="28"/>
                <w:lang w:eastAsia="es-MX"/>
              </w:rPr>
            </w:pPr>
            <w:r>
              <w:rPr>
                <w:rFonts w:ascii="Calibri" w:eastAsia="Times New Roman" w:hAnsi="Calibri" w:cs="Calibri"/>
                <w:b/>
                <w:bCs/>
                <w:color w:val="FFFFFF"/>
                <w:sz w:val="28"/>
                <w:szCs w:val="28"/>
                <w:lang w:eastAsia="es-MX"/>
              </w:rPr>
              <w:t>Justificación</w:t>
            </w:r>
            <w:r w:rsidR="00014E5E">
              <w:rPr>
                <w:rFonts w:ascii="Calibri" w:eastAsia="Times New Roman" w:hAnsi="Calibri" w:cs="Calibri"/>
                <w:b/>
                <w:bCs/>
                <w:color w:val="FFFFFF"/>
                <w:sz w:val="28"/>
                <w:szCs w:val="28"/>
                <w:lang w:eastAsia="es-MX"/>
              </w:rPr>
              <w:t>.</w:t>
            </w:r>
          </w:p>
        </w:tc>
      </w:tr>
      <w:tr w:rsidR="00F549A4" w:rsidRPr="00FC3DCE" w14:paraId="493D99AA" w14:textId="4AFD3A2E" w:rsidTr="00FC3DCE">
        <w:trPr>
          <w:trHeight w:val="600"/>
          <w:jc w:val="center"/>
        </w:trPr>
        <w:tc>
          <w:tcPr>
            <w:tcW w:w="1561" w:type="dxa"/>
            <w:tcBorders>
              <w:top w:val="nil"/>
              <w:left w:val="single" w:sz="4" w:space="0" w:color="auto"/>
              <w:bottom w:val="single" w:sz="4" w:space="0" w:color="auto"/>
              <w:right w:val="single" w:sz="4" w:space="0" w:color="auto"/>
            </w:tcBorders>
            <w:shd w:val="clear" w:color="auto" w:fill="D9E1F2"/>
            <w:hideMark/>
          </w:tcPr>
          <w:p w14:paraId="07E998FD" w14:textId="77777777" w:rsidR="00F549A4" w:rsidRPr="00FC3DCE" w:rsidRDefault="00F549A4" w:rsidP="0081741F">
            <w:pPr>
              <w:spacing w:after="0" w:line="240" w:lineRule="auto"/>
              <w:jc w:val="both"/>
              <w:rPr>
                <w:rFonts w:ascii="Arial" w:eastAsia="Times New Roman" w:hAnsi="Arial" w:cs="Arial"/>
                <w:color w:val="000000"/>
                <w:sz w:val="20"/>
                <w:szCs w:val="20"/>
                <w:lang w:eastAsia="es-MX"/>
              </w:rPr>
            </w:pPr>
            <w:r w:rsidRPr="00FC3DCE">
              <w:rPr>
                <w:rFonts w:ascii="Arial" w:eastAsia="Times New Roman" w:hAnsi="Arial" w:cs="Arial"/>
                <w:color w:val="000000"/>
                <w:sz w:val="20"/>
                <w:szCs w:val="20"/>
                <w:lang w:eastAsia="es-MX"/>
              </w:rPr>
              <w:t>Portada.</w:t>
            </w:r>
          </w:p>
        </w:tc>
        <w:tc>
          <w:tcPr>
            <w:tcW w:w="4525" w:type="dxa"/>
            <w:tcBorders>
              <w:top w:val="nil"/>
              <w:left w:val="nil"/>
              <w:bottom w:val="single" w:sz="4" w:space="0" w:color="auto"/>
              <w:right w:val="single" w:sz="4" w:space="0" w:color="auto"/>
            </w:tcBorders>
            <w:shd w:val="clear" w:color="auto" w:fill="D9E1F2"/>
            <w:hideMark/>
          </w:tcPr>
          <w:p w14:paraId="279ED34A" w14:textId="77777777" w:rsidR="00F549A4" w:rsidRPr="00FC3DCE" w:rsidRDefault="00F549A4" w:rsidP="0081741F">
            <w:pPr>
              <w:spacing w:after="0" w:line="240" w:lineRule="auto"/>
              <w:jc w:val="both"/>
              <w:rPr>
                <w:rFonts w:ascii="Arial" w:eastAsia="Times New Roman" w:hAnsi="Arial" w:cs="Arial"/>
                <w:color w:val="000000"/>
                <w:sz w:val="20"/>
                <w:szCs w:val="20"/>
                <w:lang w:eastAsia="es-MX"/>
              </w:rPr>
            </w:pPr>
            <w:r w:rsidRPr="00FC3DCE">
              <w:rPr>
                <w:rFonts w:ascii="Arial" w:eastAsia="Times New Roman" w:hAnsi="Arial" w:cs="Arial"/>
                <w:color w:val="000000"/>
                <w:sz w:val="20"/>
                <w:szCs w:val="20"/>
                <w:lang w:eastAsia="es-MX"/>
              </w:rPr>
              <w:t>DIRECCIÓN GENERAL DEL SERVICIO PÚBLICO DE INFORMACIÓN</w:t>
            </w:r>
          </w:p>
        </w:tc>
        <w:tc>
          <w:tcPr>
            <w:tcW w:w="4677" w:type="dxa"/>
            <w:tcBorders>
              <w:top w:val="nil"/>
              <w:left w:val="nil"/>
              <w:bottom w:val="single" w:sz="4" w:space="0" w:color="auto"/>
              <w:right w:val="single" w:sz="4" w:space="0" w:color="auto"/>
            </w:tcBorders>
            <w:shd w:val="clear" w:color="auto" w:fill="D9E1F2"/>
            <w:hideMark/>
          </w:tcPr>
          <w:p w14:paraId="56F14CB1" w14:textId="07FB6504" w:rsidR="00F549A4" w:rsidRPr="003F07BE" w:rsidRDefault="00F549A4" w:rsidP="0081741F">
            <w:pPr>
              <w:spacing w:after="0" w:line="240" w:lineRule="auto"/>
              <w:jc w:val="both"/>
              <w:rPr>
                <w:rFonts w:ascii="Arial" w:eastAsia="Times New Roman" w:hAnsi="Arial" w:cs="Arial"/>
                <w:color w:val="2E74B5" w:themeColor="accent5" w:themeShade="BF"/>
                <w:sz w:val="20"/>
                <w:szCs w:val="20"/>
                <w:lang w:eastAsia="es-MX"/>
              </w:rPr>
            </w:pPr>
            <w:r w:rsidRPr="00FC3DCE">
              <w:rPr>
                <w:rFonts w:ascii="Arial" w:eastAsia="Times New Roman" w:hAnsi="Arial" w:cs="Arial"/>
                <w:color w:val="000000"/>
                <w:sz w:val="20"/>
                <w:szCs w:val="20"/>
                <w:lang w:eastAsia="es-MX"/>
              </w:rPr>
              <w:t xml:space="preserve">DIRECCIÓN GENERAL </w:t>
            </w:r>
            <w:r w:rsidRPr="003F07BE">
              <w:rPr>
                <w:rFonts w:ascii="Arial" w:eastAsia="Times New Roman" w:hAnsi="Arial" w:cs="Arial"/>
                <w:color w:val="2E74B5" w:themeColor="accent5" w:themeShade="BF"/>
                <w:sz w:val="20"/>
                <w:szCs w:val="20"/>
                <w:lang w:eastAsia="es-MX"/>
              </w:rPr>
              <w:t xml:space="preserve">DE </w:t>
            </w:r>
            <w:r w:rsidR="00E03F1C" w:rsidRPr="003F07BE">
              <w:rPr>
                <w:rFonts w:ascii="Arial" w:eastAsia="Times New Roman" w:hAnsi="Arial" w:cs="Arial"/>
                <w:color w:val="2E74B5" w:themeColor="accent5" w:themeShade="BF"/>
                <w:sz w:val="20"/>
                <w:szCs w:val="20"/>
                <w:lang w:eastAsia="es-MX"/>
              </w:rPr>
              <w:t>INTEGRACIÓN, ANÁLISIS E INVESTIGACIÓN</w:t>
            </w:r>
            <w:r w:rsidRPr="003F07BE">
              <w:rPr>
                <w:rFonts w:ascii="Arial" w:eastAsia="Times New Roman" w:hAnsi="Arial" w:cs="Arial"/>
                <w:color w:val="2E74B5" w:themeColor="accent5" w:themeShade="BF"/>
                <w:sz w:val="20"/>
                <w:szCs w:val="20"/>
                <w:lang w:eastAsia="es-MX"/>
              </w:rPr>
              <w:t xml:space="preserve"> </w:t>
            </w:r>
          </w:p>
          <w:p w14:paraId="43045664" w14:textId="77777777" w:rsidR="00416939" w:rsidRPr="00FC3DCE" w:rsidRDefault="00416939" w:rsidP="0081741F">
            <w:pPr>
              <w:spacing w:after="0" w:line="240" w:lineRule="auto"/>
              <w:jc w:val="both"/>
              <w:rPr>
                <w:rFonts w:ascii="Arial" w:eastAsia="Times New Roman" w:hAnsi="Arial" w:cs="Arial"/>
                <w:color w:val="000000"/>
                <w:sz w:val="20"/>
                <w:szCs w:val="20"/>
                <w:lang w:eastAsia="es-MX"/>
              </w:rPr>
            </w:pPr>
          </w:p>
          <w:p w14:paraId="131C8C43" w14:textId="77777777" w:rsidR="00F549A4" w:rsidRPr="00FC3DCE" w:rsidRDefault="00F549A4" w:rsidP="0081741F">
            <w:pPr>
              <w:spacing w:after="0" w:line="240" w:lineRule="auto"/>
              <w:jc w:val="both"/>
              <w:rPr>
                <w:rFonts w:ascii="Arial" w:eastAsia="Times New Roman" w:hAnsi="Arial" w:cs="Arial"/>
                <w:color w:val="000000"/>
                <w:sz w:val="20"/>
                <w:szCs w:val="20"/>
                <w:lang w:eastAsia="es-MX"/>
              </w:rPr>
            </w:pPr>
          </w:p>
        </w:tc>
        <w:tc>
          <w:tcPr>
            <w:tcW w:w="3261" w:type="dxa"/>
            <w:tcBorders>
              <w:top w:val="nil"/>
              <w:left w:val="nil"/>
              <w:bottom w:val="single" w:sz="4" w:space="0" w:color="auto"/>
              <w:right w:val="single" w:sz="4" w:space="0" w:color="auto"/>
            </w:tcBorders>
            <w:shd w:val="clear" w:color="auto" w:fill="D9E1F2"/>
          </w:tcPr>
          <w:p w14:paraId="6FADD3FE" w14:textId="1C07FE61" w:rsidR="00F549A4" w:rsidRPr="00FC3DCE" w:rsidRDefault="00F549A4" w:rsidP="0081741F">
            <w:pPr>
              <w:spacing w:after="0" w:line="240" w:lineRule="auto"/>
              <w:jc w:val="both"/>
              <w:rPr>
                <w:rFonts w:ascii="Arial" w:eastAsia="Times New Roman" w:hAnsi="Arial" w:cs="Arial"/>
                <w:color w:val="000000"/>
                <w:sz w:val="20"/>
                <w:szCs w:val="20"/>
                <w:lang w:eastAsia="es-MX"/>
              </w:rPr>
            </w:pPr>
            <w:r w:rsidRPr="00FC3DCE">
              <w:rPr>
                <w:rFonts w:ascii="Arial" w:eastAsia="Times New Roman" w:hAnsi="Arial" w:cs="Arial"/>
                <w:color w:val="000000"/>
                <w:sz w:val="20"/>
                <w:szCs w:val="20"/>
                <w:lang w:eastAsia="es-MX"/>
              </w:rPr>
              <w:t>Actualización.</w:t>
            </w:r>
          </w:p>
        </w:tc>
      </w:tr>
      <w:tr w:rsidR="00F549A4" w:rsidRPr="00FC3DCE" w14:paraId="61E04A96" w14:textId="7AAABCF1" w:rsidTr="00FC3DCE">
        <w:trPr>
          <w:trHeight w:val="645"/>
          <w:jc w:val="center"/>
        </w:trPr>
        <w:tc>
          <w:tcPr>
            <w:tcW w:w="1561" w:type="dxa"/>
            <w:tcBorders>
              <w:top w:val="nil"/>
              <w:left w:val="single" w:sz="4" w:space="0" w:color="auto"/>
              <w:bottom w:val="single" w:sz="4" w:space="0" w:color="auto"/>
              <w:right w:val="single" w:sz="4" w:space="0" w:color="auto"/>
            </w:tcBorders>
            <w:shd w:val="clear" w:color="auto" w:fill="D9E1F2"/>
            <w:hideMark/>
          </w:tcPr>
          <w:p w14:paraId="5B3CF8DB" w14:textId="77777777" w:rsidR="00F549A4" w:rsidRPr="00FC3DCE" w:rsidRDefault="00F549A4" w:rsidP="0081741F">
            <w:pPr>
              <w:spacing w:after="0" w:line="240" w:lineRule="auto"/>
              <w:jc w:val="both"/>
              <w:rPr>
                <w:rFonts w:ascii="Arial" w:eastAsia="Times New Roman" w:hAnsi="Arial" w:cs="Arial"/>
                <w:color w:val="000000"/>
                <w:sz w:val="20"/>
                <w:szCs w:val="20"/>
                <w:lang w:eastAsia="es-MX"/>
              </w:rPr>
            </w:pPr>
            <w:r w:rsidRPr="00FC3DCE">
              <w:rPr>
                <w:rFonts w:ascii="Arial" w:eastAsia="Times New Roman" w:hAnsi="Arial" w:cs="Arial"/>
                <w:color w:val="000000"/>
                <w:sz w:val="20"/>
                <w:szCs w:val="20"/>
                <w:lang w:eastAsia="es-MX"/>
              </w:rPr>
              <w:t>Portada.</w:t>
            </w:r>
          </w:p>
        </w:tc>
        <w:tc>
          <w:tcPr>
            <w:tcW w:w="4525" w:type="dxa"/>
            <w:tcBorders>
              <w:top w:val="nil"/>
              <w:left w:val="nil"/>
              <w:bottom w:val="single" w:sz="4" w:space="0" w:color="auto"/>
              <w:right w:val="single" w:sz="4" w:space="0" w:color="auto"/>
            </w:tcBorders>
            <w:shd w:val="clear" w:color="auto" w:fill="D9E1F2"/>
            <w:hideMark/>
          </w:tcPr>
          <w:p w14:paraId="4D23CB31" w14:textId="77777777" w:rsidR="00F549A4" w:rsidRPr="00FC3DCE" w:rsidRDefault="00F549A4" w:rsidP="0081741F">
            <w:pPr>
              <w:spacing w:after="0" w:line="240" w:lineRule="auto"/>
              <w:jc w:val="both"/>
              <w:rPr>
                <w:rFonts w:ascii="Arial" w:eastAsia="Times New Roman" w:hAnsi="Arial" w:cs="Arial"/>
                <w:color w:val="000000"/>
                <w:sz w:val="20"/>
                <w:szCs w:val="20"/>
                <w:lang w:eastAsia="es-MX"/>
              </w:rPr>
            </w:pPr>
            <w:r w:rsidRPr="00FC3DCE">
              <w:rPr>
                <w:rFonts w:ascii="Arial" w:eastAsia="Times New Roman" w:hAnsi="Arial" w:cs="Arial"/>
                <w:color w:val="000000"/>
                <w:sz w:val="20"/>
                <w:szCs w:val="20"/>
                <w:lang w:eastAsia="es-MX"/>
              </w:rPr>
              <w:t>Agosto de 2010</w:t>
            </w:r>
          </w:p>
        </w:tc>
        <w:tc>
          <w:tcPr>
            <w:tcW w:w="4677" w:type="dxa"/>
            <w:tcBorders>
              <w:top w:val="nil"/>
              <w:left w:val="nil"/>
              <w:bottom w:val="single" w:sz="4" w:space="0" w:color="auto"/>
              <w:right w:val="single" w:sz="4" w:space="0" w:color="auto"/>
            </w:tcBorders>
            <w:shd w:val="clear" w:color="auto" w:fill="D9E1F2"/>
            <w:hideMark/>
          </w:tcPr>
          <w:p w14:paraId="7136E446" w14:textId="413FAC49" w:rsidR="00F549A4" w:rsidRPr="003F07BE" w:rsidRDefault="003F07BE" w:rsidP="0081741F">
            <w:pPr>
              <w:spacing w:after="0" w:line="240" w:lineRule="auto"/>
              <w:jc w:val="both"/>
              <w:rPr>
                <w:rFonts w:ascii="Arial" w:eastAsia="Times New Roman" w:hAnsi="Arial" w:cs="Arial"/>
                <w:color w:val="2E74B5" w:themeColor="accent5" w:themeShade="BF"/>
                <w:sz w:val="20"/>
                <w:szCs w:val="20"/>
                <w:lang w:eastAsia="es-MX"/>
              </w:rPr>
            </w:pPr>
            <w:r w:rsidRPr="003F07BE">
              <w:rPr>
                <w:rFonts w:ascii="Arial" w:eastAsia="Times New Roman" w:hAnsi="Arial" w:cs="Arial"/>
                <w:color w:val="2E74B5" w:themeColor="accent5" w:themeShade="BF"/>
                <w:sz w:val="20"/>
                <w:szCs w:val="20"/>
                <w:lang w:eastAsia="es-MX"/>
              </w:rPr>
              <w:t>Diciembre</w:t>
            </w:r>
            <w:r w:rsidR="00F549A4" w:rsidRPr="003F07BE">
              <w:rPr>
                <w:rFonts w:ascii="Arial" w:eastAsia="Times New Roman" w:hAnsi="Arial" w:cs="Arial"/>
                <w:color w:val="2E74B5" w:themeColor="accent5" w:themeShade="BF"/>
                <w:sz w:val="20"/>
                <w:szCs w:val="20"/>
                <w:lang w:eastAsia="es-MX"/>
              </w:rPr>
              <w:t xml:space="preserve"> de 2021</w:t>
            </w:r>
          </w:p>
        </w:tc>
        <w:tc>
          <w:tcPr>
            <w:tcW w:w="3261" w:type="dxa"/>
            <w:tcBorders>
              <w:top w:val="nil"/>
              <w:left w:val="nil"/>
              <w:bottom w:val="single" w:sz="4" w:space="0" w:color="auto"/>
              <w:right w:val="single" w:sz="4" w:space="0" w:color="auto"/>
            </w:tcBorders>
            <w:shd w:val="clear" w:color="auto" w:fill="D9E1F2"/>
          </w:tcPr>
          <w:p w14:paraId="031F6B8E" w14:textId="24C8FA92" w:rsidR="00F549A4" w:rsidRPr="00FC3DCE" w:rsidRDefault="00F549A4" w:rsidP="0081741F">
            <w:pPr>
              <w:spacing w:after="0" w:line="240" w:lineRule="auto"/>
              <w:jc w:val="both"/>
              <w:rPr>
                <w:rFonts w:ascii="Arial" w:eastAsia="Times New Roman" w:hAnsi="Arial" w:cs="Arial"/>
                <w:color w:val="000000"/>
                <w:sz w:val="20"/>
                <w:szCs w:val="20"/>
                <w:lang w:eastAsia="es-MX"/>
              </w:rPr>
            </w:pPr>
            <w:r w:rsidRPr="00FC3DCE">
              <w:rPr>
                <w:rFonts w:ascii="Arial" w:eastAsia="Times New Roman" w:hAnsi="Arial" w:cs="Arial"/>
                <w:color w:val="000000"/>
                <w:sz w:val="20"/>
                <w:szCs w:val="20"/>
                <w:lang w:eastAsia="es-MX"/>
              </w:rPr>
              <w:t>Actualización.</w:t>
            </w:r>
          </w:p>
        </w:tc>
      </w:tr>
      <w:tr w:rsidR="00851621" w:rsidRPr="00FC3DCE" w14:paraId="0DD4BC4D" w14:textId="77777777" w:rsidTr="00FC3DCE">
        <w:trPr>
          <w:trHeight w:val="645"/>
          <w:jc w:val="center"/>
        </w:trPr>
        <w:tc>
          <w:tcPr>
            <w:tcW w:w="1561" w:type="dxa"/>
            <w:tcBorders>
              <w:top w:val="nil"/>
              <w:left w:val="single" w:sz="4" w:space="0" w:color="auto"/>
              <w:bottom w:val="single" w:sz="4" w:space="0" w:color="auto"/>
              <w:right w:val="single" w:sz="4" w:space="0" w:color="auto"/>
            </w:tcBorders>
            <w:shd w:val="clear" w:color="auto" w:fill="D9E1F2"/>
          </w:tcPr>
          <w:p w14:paraId="670F8D89" w14:textId="72689153" w:rsidR="00851621" w:rsidRPr="00FC3DCE" w:rsidRDefault="00851621" w:rsidP="00851621">
            <w:pPr>
              <w:spacing w:after="0" w:line="240" w:lineRule="auto"/>
              <w:jc w:val="both"/>
              <w:rPr>
                <w:rFonts w:ascii="Arial" w:eastAsia="Times New Roman" w:hAnsi="Arial" w:cs="Arial"/>
                <w:color w:val="000000"/>
                <w:sz w:val="20"/>
                <w:szCs w:val="20"/>
                <w:lang w:eastAsia="es-MX"/>
              </w:rPr>
            </w:pPr>
            <w:r w:rsidRPr="00FC3DCE">
              <w:rPr>
                <w:rFonts w:ascii="Arial" w:eastAsia="Times New Roman" w:hAnsi="Arial" w:cs="Arial"/>
                <w:color w:val="000000"/>
                <w:sz w:val="20"/>
                <w:szCs w:val="20"/>
                <w:lang w:eastAsia="es-MX"/>
              </w:rPr>
              <w:t xml:space="preserve">Introducción, 2º párrafo. </w:t>
            </w:r>
          </w:p>
        </w:tc>
        <w:tc>
          <w:tcPr>
            <w:tcW w:w="4525" w:type="dxa"/>
            <w:tcBorders>
              <w:top w:val="nil"/>
              <w:left w:val="nil"/>
              <w:bottom w:val="single" w:sz="4" w:space="0" w:color="auto"/>
              <w:right w:val="single" w:sz="4" w:space="0" w:color="auto"/>
            </w:tcBorders>
            <w:shd w:val="clear" w:color="auto" w:fill="D9E1F2"/>
          </w:tcPr>
          <w:p w14:paraId="5AB5BC7A" w14:textId="6A60A131" w:rsidR="00851621" w:rsidRPr="00FC3DCE" w:rsidRDefault="00851621" w:rsidP="00851621">
            <w:pPr>
              <w:jc w:val="both"/>
              <w:rPr>
                <w:rFonts w:ascii="Arial" w:eastAsia="Times New Roman" w:hAnsi="Arial" w:cs="Arial"/>
                <w:color w:val="000000"/>
                <w:sz w:val="20"/>
                <w:szCs w:val="20"/>
                <w:lang w:eastAsia="es-MX"/>
              </w:rPr>
            </w:pPr>
            <w:r w:rsidRPr="00FC3DCE">
              <w:rPr>
                <w:rFonts w:ascii="Arial" w:hAnsi="Arial" w:cs="Arial"/>
                <w:sz w:val="20"/>
                <w:szCs w:val="20"/>
              </w:rPr>
              <w:t xml:space="preserve">Considerando la dinámica demográfica, económica, social, geográfica y ambiental de los Estados Unidos Mexicanos, se requiere una actualización periódica de carácter conceptual y metodológico para la generación e integración de información, que permita un mejor conocimiento y medición de los fenómenos. Por otro lado, en la medida en que el desarrollo de la ciencia ofrece nuevas formas de entender los fenómenos, y las tecnologías proveen de nuevas herramientas, es necesario revisar e innovar permanentemente las metodologías de generación de información estadística y geográfica. Asimismo, la LSNIEG establece que para </w:t>
            </w:r>
          </w:p>
        </w:tc>
        <w:tc>
          <w:tcPr>
            <w:tcW w:w="4677" w:type="dxa"/>
            <w:tcBorders>
              <w:top w:val="nil"/>
              <w:left w:val="nil"/>
              <w:bottom w:val="single" w:sz="4" w:space="0" w:color="auto"/>
              <w:right w:val="single" w:sz="4" w:space="0" w:color="auto"/>
            </w:tcBorders>
            <w:shd w:val="clear" w:color="auto" w:fill="D9E1F2"/>
          </w:tcPr>
          <w:p w14:paraId="72DD0B57" w14:textId="77777777" w:rsidR="00851621" w:rsidRDefault="00851621" w:rsidP="00851621">
            <w:pPr>
              <w:jc w:val="both"/>
              <w:rPr>
                <w:rFonts w:ascii="Arial" w:hAnsi="Arial" w:cs="Arial"/>
                <w:sz w:val="20"/>
                <w:szCs w:val="20"/>
              </w:rPr>
            </w:pPr>
            <w:r w:rsidRPr="00FC3DCE">
              <w:rPr>
                <w:rFonts w:ascii="Arial" w:hAnsi="Arial" w:cs="Arial"/>
                <w:sz w:val="20"/>
                <w:szCs w:val="20"/>
              </w:rPr>
              <w:t xml:space="preserve">Considerando la dinámica demográfica, económica, social, geográfica, ambiental y </w:t>
            </w:r>
            <w:r w:rsidRPr="003F07BE">
              <w:rPr>
                <w:rFonts w:ascii="Arial" w:hAnsi="Arial" w:cs="Arial"/>
                <w:color w:val="2E74B5" w:themeColor="accent5" w:themeShade="BF"/>
                <w:sz w:val="20"/>
                <w:szCs w:val="20"/>
              </w:rPr>
              <w:t xml:space="preserve">de gobierno </w:t>
            </w:r>
            <w:r w:rsidRPr="00FC3DCE">
              <w:rPr>
                <w:rFonts w:ascii="Arial" w:hAnsi="Arial" w:cs="Arial"/>
                <w:sz w:val="20"/>
                <w:szCs w:val="20"/>
              </w:rPr>
              <w:t>de los Estados Unidos Mexicanos, se requiere una actualización periódica de carácter conceptual y metodológico para la generación e integración de información, que permita un mejor conocimiento y medición de los fenómenos. Por otro lado, en la medida en que el desarrollo de la ciencia ofrece nuevas formas de entender los fenómenos, y las tecnologías proveen de nuevas herramientas, es necesario revisar e innovar permanentemente las metodologías de generación de información estadística y geográfica. Asimismo, la LSNIEG establece que</w:t>
            </w:r>
            <w:r w:rsidRPr="0039301F">
              <w:rPr>
                <w:rFonts w:ascii="Arial" w:hAnsi="Arial" w:cs="Arial"/>
                <w:color w:val="2E74B5" w:themeColor="accent5" w:themeShade="BF"/>
                <w:sz w:val="20"/>
                <w:szCs w:val="20"/>
              </w:rPr>
              <w:t>,</w:t>
            </w:r>
            <w:r w:rsidRPr="00FC3DCE">
              <w:rPr>
                <w:rFonts w:ascii="Arial" w:hAnsi="Arial" w:cs="Arial"/>
                <w:sz w:val="20"/>
                <w:szCs w:val="20"/>
              </w:rPr>
              <w:t xml:space="preserve"> para </w:t>
            </w:r>
          </w:p>
          <w:p w14:paraId="090C69E4" w14:textId="2F83EB0D" w:rsidR="00FC3DCE" w:rsidRPr="00FC3DCE" w:rsidRDefault="00FC3DCE" w:rsidP="00851621">
            <w:pPr>
              <w:jc w:val="both"/>
              <w:rPr>
                <w:rFonts w:ascii="Arial" w:eastAsia="Times New Roman" w:hAnsi="Arial" w:cs="Arial"/>
                <w:color w:val="FF0000"/>
                <w:sz w:val="20"/>
                <w:szCs w:val="20"/>
                <w:lang w:eastAsia="es-MX"/>
              </w:rPr>
            </w:pPr>
          </w:p>
        </w:tc>
        <w:tc>
          <w:tcPr>
            <w:tcW w:w="3261" w:type="dxa"/>
            <w:tcBorders>
              <w:top w:val="nil"/>
              <w:left w:val="nil"/>
              <w:bottom w:val="single" w:sz="4" w:space="0" w:color="auto"/>
              <w:right w:val="single" w:sz="4" w:space="0" w:color="auto"/>
            </w:tcBorders>
            <w:shd w:val="clear" w:color="auto" w:fill="D9E1F2"/>
          </w:tcPr>
          <w:p w14:paraId="3C4713F0" w14:textId="3EA67971" w:rsidR="00851621" w:rsidRPr="00FC3DCE" w:rsidRDefault="00851621" w:rsidP="00851621">
            <w:pPr>
              <w:spacing w:after="0" w:line="240" w:lineRule="auto"/>
              <w:jc w:val="both"/>
              <w:rPr>
                <w:rFonts w:ascii="Arial" w:eastAsia="Times New Roman" w:hAnsi="Arial" w:cs="Arial"/>
                <w:color w:val="000000"/>
                <w:sz w:val="20"/>
                <w:szCs w:val="20"/>
                <w:lang w:eastAsia="es-MX"/>
              </w:rPr>
            </w:pPr>
            <w:r w:rsidRPr="00FC3DCE">
              <w:rPr>
                <w:rFonts w:ascii="Arial" w:eastAsia="Times New Roman" w:hAnsi="Arial" w:cs="Arial"/>
                <w:color w:val="000000"/>
                <w:sz w:val="20"/>
                <w:szCs w:val="20"/>
                <w:lang w:eastAsia="es-MX"/>
              </w:rPr>
              <w:t xml:space="preserve">Actualización y </w:t>
            </w:r>
            <w:r w:rsidR="008C2B6B">
              <w:rPr>
                <w:rFonts w:ascii="Arial" w:eastAsia="Times New Roman" w:hAnsi="Arial" w:cs="Arial"/>
                <w:color w:val="000000"/>
                <w:sz w:val="20"/>
                <w:szCs w:val="20"/>
                <w:lang w:eastAsia="es-MX"/>
              </w:rPr>
              <w:t>puntuación</w:t>
            </w:r>
            <w:r w:rsidRPr="00FC3DCE">
              <w:rPr>
                <w:rFonts w:ascii="Arial" w:eastAsia="Times New Roman" w:hAnsi="Arial" w:cs="Arial"/>
                <w:color w:val="000000"/>
                <w:sz w:val="20"/>
                <w:szCs w:val="20"/>
                <w:lang w:eastAsia="es-MX"/>
              </w:rPr>
              <w:t xml:space="preserve">. </w:t>
            </w:r>
          </w:p>
        </w:tc>
      </w:tr>
      <w:tr w:rsidR="00851621" w:rsidRPr="00FC3DCE" w14:paraId="12CC5D7A" w14:textId="676DDFC1" w:rsidTr="00FC3DCE">
        <w:trPr>
          <w:trHeight w:val="600"/>
          <w:jc w:val="center"/>
        </w:trPr>
        <w:tc>
          <w:tcPr>
            <w:tcW w:w="1561" w:type="dxa"/>
            <w:tcBorders>
              <w:top w:val="nil"/>
              <w:left w:val="single" w:sz="4" w:space="0" w:color="auto"/>
              <w:bottom w:val="single" w:sz="4" w:space="0" w:color="auto"/>
              <w:right w:val="single" w:sz="4" w:space="0" w:color="auto"/>
            </w:tcBorders>
            <w:shd w:val="clear" w:color="auto" w:fill="D9E1F2"/>
            <w:hideMark/>
          </w:tcPr>
          <w:p w14:paraId="749A51C1" w14:textId="1DEA83F3" w:rsidR="00851621" w:rsidRPr="00FC3DCE" w:rsidRDefault="00851621" w:rsidP="00851621">
            <w:pPr>
              <w:spacing w:after="0" w:line="240" w:lineRule="auto"/>
              <w:jc w:val="both"/>
              <w:rPr>
                <w:rFonts w:ascii="Arial" w:eastAsia="Times New Roman" w:hAnsi="Arial" w:cs="Arial"/>
                <w:color w:val="000000"/>
                <w:sz w:val="20"/>
                <w:szCs w:val="20"/>
                <w:lang w:eastAsia="es-MX"/>
              </w:rPr>
            </w:pPr>
            <w:r w:rsidRPr="00FC3DCE">
              <w:rPr>
                <w:rFonts w:ascii="Arial" w:eastAsia="Times New Roman" w:hAnsi="Arial" w:cs="Arial"/>
                <w:color w:val="000000"/>
                <w:sz w:val="20"/>
                <w:szCs w:val="20"/>
                <w:lang w:eastAsia="es-MX"/>
              </w:rPr>
              <w:t>Lineamiento 3, IV.</w:t>
            </w:r>
          </w:p>
        </w:tc>
        <w:tc>
          <w:tcPr>
            <w:tcW w:w="4525" w:type="dxa"/>
            <w:tcBorders>
              <w:top w:val="nil"/>
              <w:left w:val="nil"/>
              <w:bottom w:val="single" w:sz="4" w:space="0" w:color="auto"/>
              <w:right w:val="single" w:sz="4" w:space="0" w:color="auto"/>
            </w:tcBorders>
            <w:shd w:val="clear" w:color="auto" w:fill="D9E1F2"/>
          </w:tcPr>
          <w:p w14:paraId="349C9294" w14:textId="77777777" w:rsidR="00C97FF7" w:rsidRPr="00FC3DCE" w:rsidRDefault="00C97FF7" w:rsidP="00C97FF7">
            <w:pPr>
              <w:spacing w:after="0"/>
              <w:jc w:val="both"/>
              <w:rPr>
                <w:rFonts w:ascii="Arial" w:hAnsi="Arial" w:cs="Arial"/>
                <w:b/>
                <w:sz w:val="20"/>
                <w:szCs w:val="20"/>
              </w:rPr>
            </w:pPr>
            <w:r w:rsidRPr="00FC3DCE">
              <w:rPr>
                <w:rFonts w:ascii="Arial" w:hAnsi="Arial" w:cs="Arial"/>
                <w:b/>
                <w:sz w:val="20"/>
                <w:szCs w:val="20"/>
              </w:rPr>
              <w:t>Participación:</w:t>
            </w:r>
            <w:r w:rsidRPr="00FC3DCE">
              <w:rPr>
                <w:rFonts w:ascii="Arial" w:hAnsi="Arial" w:cs="Arial"/>
                <w:sz w:val="20"/>
                <w:szCs w:val="20"/>
              </w:rPr>
              <w:t xml:space="preserve"> considerar la opinión de la sociedad sobre los proyectos de las metodologías a utilizar en la generación e integración de la información estadística y geográfica de Interés Nacional.</w:t>
            </w:r>
          </w:p>
          <w:p w14:paraId="5F3F3D37" w14:textId="26ECF655" w:rsidR="00851621" w:rsidRPr="00FC3DCE" w:rsidRDefault="00851621" w:rsidP="00851621">
            <w:pPr>
              <w:spacing w:after="0" w:line="240" w:lineRule="auto"/>
              <w:jc w:val="both"/>
              <w:rPr>
                <w:rFonts w:ascii="Arial" w:eastAsia="Times New Roman" w:hAnsi="Arial" w:cs="Arial"/>
                <w:color w:val="000000"/>
                <w:sz w:val="20"/>
                <w:szCs w:val="20"/>
                <w:lang w:eastAsia="es-MX"/>
              </w:rPr>
            </w:pPr>
          </w:p>
        </w:tc>
        <w:tc>
          <w:tcPr>
            <w:tcW w:w="4677" w:type="dxa"/>
            <w:tcBorders>
              <w:top w:val="nil"/>
              <w:left w:val="nil"/>
              <w:bottom w:val="single" w:sz="4" w:space="0" w:color="auto"/>
              <w:right w:val="single" w:sz="4" w:space="0" w:color="auto"/>
            </w:tcBorders>
            <w:shd w:val="clear" w:color="auto" w:fill="D9E1F2"/>
          </w:tcPr>
          <w:p w14:paraId="28FCDFDB" w14:textId="77777777" w:rsidR="00C97FF7" w:rsidRPr="00FC3DCE" w:rsidRDefault="00C97FF7" w:rsidP="00C97FF7">
            <w:pPr>
              <w:spacing w:after="0"/>
              <w:jc w:val="both"/>
              <w:rPr>
                <w:rFonts w:ascii="Arial" w:hAnsi="Arial" w:cs="Arial"/>
                <w:b/>
                <w:sz w:val="20"/>
                <w:szCs w:val="20"/>
              </w:rPr>
            </w:pPr>
            <w:r w:rsidRPr="00FC3DCE">
              <w:rPr>
                <w:rFonts w:ascii="Arial" w:hAnsi="Arial" w:cs="Arial"/>
                <w:b/>
                <w:sz w:val="20"/>
                <w:szCs w:val="20"/>
              </w:rPr>
              <w:t>Participación:</w:t>
            </w:r>
            <w:r w:rsidRPr="00FC3DCE">
              <w:rPr>
                <w:rFonts w:ascii="Arial" w:hAnsi="Arial" w:cs="Arial"/>
                <w:sz w:val="20"/>
                <w:szCs w:val="20"/>
              </w:rPr>
              <w:t xml:space="preserve"> considerar la opinión de la sociedad sobre las metodologías </w:t>
            </w:r>
            <w:r w:rsidRPr="003F07BE">
              <w:rPr>
                <w:rFonts w:ascii="Arial" w:hAnsi="Arial" w:cs="Arial"/>
                <w:color w:val="2E74B5" w:themeColor="accent5" w:themeShade="BF"/>
                <w:sz w:val="20"/>
                <w:szCs w:val="20"/>
              </w:rPr>
              <w:t>que los programas de información utilizan</w:t>
            </w:r>
            <w:r w:rsidRPr="00FC3DCE">
              <w:rPr>
                <w:rFonts w:ascii="Arial" w:hAnsi="Arial" w:cs="Arial"/>
                <w:sz w:val="20"/>
                <w:szCs w:val="20"/>
              </w:rPr>
              <w:t xml:space="preserve"> en la generación e integración de la información estadística y geográfica de Interés Nacional.</w:t>
            </w:r>
          </w:p>
          <w:p w14:paraId="181C5A99" w14:textId="48D4CDEE" w:rsidR="00851621" w:rsidRPr="00FC3DCE" w:rsidRDefault="00851621" w:rsidP="00851621">
            <w:pPr>
              <w:spacing w:after="0" w:line="240" w:lineRule="auto"/>
              <w:jc w:val="both"/>
              <w:rPr>
                <w:rFonts w:ascii="Arial" w:eastAsia="Times New Roman" w:hAnsi="Arial" w:cs="Arial"/>
                <w:color w:val="000000"/>
                <w:sz w:val="20"/>
                <w:szCs w:val="20"/>
                <w:lang w:eastAsia="es-MX"/>
              </w:rPr>
            </w:pPr>
          </w:p>
        </w:tc>
        <w:tc>
          <w:tcPr>
            <w:tcW w:w="3261" w:type="dxa"/>
            <w:tcBorders>
              <w:top w:val="nil"/>
              <w:left w:val="nil"/>
              <w:bottom w:val="single" w:sz="4" w:space="0" w:color="auto"/>
              <w:right w:val="single" w:sz="4" w:space="0" w:color="auto"/>
            </w:tcBorders>
            <w:shd w:val="clear" w:color="auto" w:fill="D9E1F2"/>
          </w:tcPr>
          <w:p w14:paraId="1371B4EF" w14:textId="6AD5E4C3" w:rsidR="00851621" w:rsidRPr="00FC3DCE" w:rsidRDefault="00851621" w:rsidP="00851621">
            <w:pPr>
              <w:spacing w:after="0" w:line="240" w:lineRule="auto"/>
              <w:jc w:val="both"/>
              <w:rPr>
                <w:rFonts w:ascii="Arial" w:hAnsi="Arial" w:cs="Arial"/>
                <w:bCs/>
                <w:sz w:val="20"/>
                <w:szCs w:val="20"/>
              </w:rPr>
            </w:pPr>
            <w:r w:rsidRPr="00FC3DCE">
              <w:rPr>
                <w:rFonts w:ascii="Arial" w:hAnsi="Arial" w:cs="Arial"/>
                <w:bCs/>
                <w:sz w:val="20"/>
                <w:szCs w:val="20"/>
              </w:rPr>
              <w:t xml:space="preserve">Sustitución de concepto por </w:t>
            </w:r>
            <w:r w:rsidR="00D90431">
              <w:rPr>
                <w:rFonts w:ascii="Arial" w:hAnsi="Arial" w:cs="Arial"/>
                <w:bCs/>
                <w:sz w:val="20"/>
                <w:szCs w:val="20"/>
              </w:rPr>
              <w:t>el</w:t>
            </w:r>
            <w:r w:rsidRPr="00FC3DCE">
              <w:rPr>
                <w:rFonts w:ascii="Arial" w:hAnsi="Arial" w:cs="Arial"/>
                <w:bCs/>
                <w:sz w:val="20"/>
                <w:szCs w:val="20"/>
              </w:rPr>
              <w:t xml:space="preserve"> utilizado en la </w:t>
            </w:r>
            <w:r w:rsidRPr="00FC3DCE">
              <w:rPr>
                <w:rFonts w:ascii="Arial" w:hAnsi="Arial" w:cs="Arial"/>
                <w:sz w:val="20"/>
                <w:szCs w:val="20"/>
              </w:rPr>
              <w:t>Norma Técnica del Proceso de Producción de Información Estadística y Geográfica</w:t>
            </w:r>
            <w:r w:rsidRPr="00FC3DCE">
              <w:rPr>
                <w:rFonts w:ascii="Arial" w:hAnsi="Arial" w:cs="Arial"/>
                <w:bCs/>
                <w:sz w:val="20"/>
                <w:szCs w:val="20"/>
              </w:rPr>
              <w:t>.</w:t>
            </w:r>
          </w:p>
          <w:p w14:paraId="0706CD7B" w14:textId="77777777" w:rsidR="00FC3DCE" w:rsidRDefault="00FC3DCE" w:rsidP="00851621">
            <w:pPr>
              <w:spacing w:after="0" w:line="240" w:lineRule="auto"/>
              <w:jc w:val="both"/>
              <w:rPr>
                <w:rFonts w:ascii="Arial" w:hAnsi="Arial" w:cs="Arial"/>
                <w:sz w:val="20"/>
                <w:szCs w:val="20"/>
              </w:rPr>
            </w:pPr>
          </w:p>
          <w:p w14:paraId="7D2DDFA8" w14:textId="515FA511" w:rsidR="00FC3DCE" w:rsidRPr="00FC3DCE" w:rsidRDefault="00FC3DCE" w:rsidP="00851621">
            <w:pPr>
              <w:spacing w:after="0" w:line="240" w:lineRule="auto"/>
              <w:jc w:val="both"/>
              <w:rPr>
                <w:rFonts w:ascii="Arial" w:hAnsi="Arial" w:cs="Arial"/>
                <w:sz w:val="20"/>
                <w:szCs w:val="20"/>
              </w:rPr>
            </w:pPr>
          </w:p>
        </w:tc>
      </w:tr>
      <w:tr w:rsidR="00E64BF4" w:rsidRPr="00E958CE" w14:paraId="482DBA55" w14:textId="77777777" w:rsidTr="00FC3DCE">
        <w:trPr>
          <w:trHeight w:val="435"/>
          <w:jc w:val="center"/>
        </w:trPr>
        <w:tc>
          <w:tcPr>
            <w:tcW w:w="1561"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hideMark/>
          </w:tcPr>
          <w:p w14:paraId="5BE308FF" w14:textId="77777777" w:rsidR="00E64BF4" w:rsidRPr="00F549A4" w:rsidRDefault="00E64BF4" w:rsidP="00FC5025">
            <w:pPr>
              <w:spacing w:after="0" w:line="240" w:lineRule="auto"/>
              <w:jc w:val="center"/>
              <w:rPr>
                <w:rFonts w:ascii="Calibri" w:eastAsia="Times New Roman" w:hAnsi="Calibri" w:cs="Calibri"/>
                <w:b/>
                <w:bCs/>
                <w:color w:val="FFFFFF"/>
                <w:sz w:val="28"/>
                <w:szCs w:val="28"/>
                <w:lang w:eastAsia="es-MX"/>
              </w:rPr>
            </w:pPr>
            <w:r w:rsidRPr="00F549A4">
              <w:rPr>
                <w:rFonts w:ascii="Calibri" w:eastAsia="Times New Roman" w:hAnsi="Calibri" w:cs="Calibri"/>
                <w:b/>
                <w:bCs/>
                <w:color w:val="FFFFFF"/>
                <w:sz w:val="28"/>
                <w:szCs w:val="28"/>
                <w:lang w:eastAsia="es-MX"/>
              </w:rPr>
              <w:lastRenderedPageBreak/>
              <w:t>Referencia</w:t>
            </w:r>
          </w:p>
        </w:tc>
        <w:tc>
          <w:tcPr>
            <w:tcW w:w="4525"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14:paraId="2FDD17A6" w14:textId="77777777" w:rsidR="00E64BF4" w:rsidRPr="00F549A4" w:rsidRDefault="00E64BF4" w:rsidP="00FC5025">
            <w:pPr>
              <w:spacing w:after="0" w:line="240" w:lineRule="auto"/>
              <w:jc w:val="center"/>
              <w:rPr>
                <w:rFonts w:ascii="Calibri" w:eastAsia="Times New Roman" w:hAnsi="Calibri" w:cs="Calibri"/>
                <w:b/>
                <w:bCs/>
                <w:color w:val="FFFFFF"/>
                <w:sz w:val="28"/>
                <w:szCs w:val="28"/>
                <w:lang w:eastAsia="es-MX"/>
              </w:rPr>
            </w:pPr>
            <w:r w:rsidRPr="00F549A4">
              <w:rPr>
                <w:rFonts w:ascii="Calibri" w:eastAsia="Times New Roman" w:hAnsi="Calibri" w:cs="Calibri"/>
                <w:b/>
                <w:bCs/>
                <w:color w:val="FFFFFF"/>
                <w:sz w:val="28"/>
                <w:szCs w:val="28"/>
                <w:lang w:eastAsia="es-MX"/>
              </w:rPr>
              <w:t>Dice:</w:t>
            </w:r>
          </w:p>
        </w:tc>
        <w:tc>
          <w:tcPr>
            <w:tcW w:w="4677"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14:paraId="4FE0FC31" w14:textId="77777777" w:rsidR="00E64BF4" w:rsidRPr="00F549A4" w:rsidRDefault="00E64BF4" w:rsidP="00FC5025">
            <w:pPr>
              <w:spacing w:after="0" w:line="240" w:lineRule="auto"/>
              <w:jc w:val="center"/>
              <w:rPr>
                <w:rFonts w:ascii="Calibri" w:eastAsia="Times New Roman" w:hAnsi="Calibri" w:cs="Calibri"/>
                <w:b/>
                <w:bCs/>
                <w:color w:val="FFFFFF"/>
                <w:sz w:val="28"/>
                <w:szCs w:val="28"/>
                <w:lang w:eastAsia="es-MX"/>
              </w:rPr>
            </w:pPr>
            <w:r w:rsidRPr="00F549A4">
              <w:rPr>
                <w:rFonts w:ascii="Calibri" w:eastAsia="Times New Roman" w:hAnsi="Calibri" w:cs="Calibri"/>
                <w:b/>
                <w:bCs/>
                <w:color w:val="FFFFFF"/>
                <w:sz w:val="28"/>
                <w:szCs w:val="28"/>
                <w:lang w:eastAsia="es-MX"/>
              </w:rPr>
              <w:t>Debe decir:</w:t>
            </w:r>
          </w:p>
        </w:tc>
        <w:tc>
          <w:tcPr>
            <w:tcW w:w="3261" w:type="dxa"/>
            <w:tcBorders>
              <w:top w:val="single" w:sz="8" w:space="0" w:color="auto"/>
              <w:left w:val="nil"/>
              <w:bottom w:val="single" w:sz="8" w:space="0" w:color="auto"/>
              <w:right w:val="single" w:sz="8" w:space="0" w:color="auto"/>
            </w:tcBorders>
            <w:shd w:val="clear" w:color="auto" w:fill="808080" w:themeFill="background1" w:themeFillShade="80"/>
          </w:tcPr>
          <w:p w14:paraId="0537C92F" w14:textId="77777777" w:rsidR="00E64BF4" w:rsidRPr="00F549A4" w:rsidRDefault="00E64BF4" w:rsidP="00FC5025">
            <w:pPr>
              <w:spacing w:after="0" w:line="240" w:lineRule="auto"/>
              <w:jc w:val="center"/>
              <w:rPr>
                <w:rFonts w:ascii="Calibri" w:eastAsia="Times New Roman" w:hAnsi="Calibri" w:cs="Calibri"/>
                <w:b/>
                <w:bCs/>
                <w:color w:val="FFFFFF"/>
                <w:sz w:val="28"/>
                <w:szCs w:val="28"/>
                <w:lang w:eastAsia="es-MX"/>
              </w:rPr>
            </w:pPr>
            <w:r>
              <w:rPr>
                <w:rFonts w:ascii="Calibri" w:eastAsia="Times New Roman" w:hAnsi="Calibri" w:cs="Calibri"/>
                <w:b/>
                <w:bCs/>
                <w:color w:val="FFFFFF"/>
                <w:sz w:val="28"/>
                <w:szCs w:val="28"/>
                <w:lang w:eastAsia="es-MX"/>
              </w:rPr>
              <w:t>Justificación</w:t>
            </w:r>
          </w:p>
        </w:tc>
      </w:tr>
      <w:tr w:rsidR="00C97FF7" w:rsidRPr="00FC3DCE" w14:paraId="2CA51647" w14:textId="77777777" w:rsidTr="00FC3DCE">
        <w:trPr>
          <w:trHeight w:val="600"/>
          <w:jc w:val="center"/>
        </w:trPr>
        <w:tc>
          <w:tcPr>
            <w:tcW w:w="1561" w:type="dxa"/>
            <w:tcBorders>
              <w:top w:val="single" w:sz="4" w:space="0" w:color="auto"/>
              <w:left w:val="single" w:sz="4" w:space="0" w:color="auto"/>
              <w:bottom w:val="single" w:sz="4" w:space="0" w:color="auto"/>
              <w:right w:val="single" w:sz="4" w:space="0" w:color="auto"/>
            </w:tcBorders>
            <w:shd w:val="clear" w:color="auto" w:fill="D9E1F2"/>
          </w:tcPr>
          <w:p w14:paraId="600DCDFC" w14:textId="0F1901DB" w:rsidR="00C97FF7" w:rsidRPr="00FC3DCE" w:rsidRDefault="00C97FF7" w:rsidP="00C97FF7">
            <w:pPr>
              <w:spacing w:after="0" w:line="240" w:lineRule="auto"/>
              <w:jc w:val="both"/>
              <w:rPr>
                <w:rFonts w:ascii="Arial" w:eastAsia="Times New Roman" w:hAnsi="Arial" w:cs="Arial"/>
                <w:color w:val="000000"/>
                <w:sz w:val="20"/>
                <w:szCs w:val="20"/>
                <w:lang w:eastAsia="es-MX"/>
              </w:rPr>
            </w:pPr>
            <w:r w:rsidRPr="00FC3DCE">
              <w:rPr>
                <w:rFonts w:ascii="Arial" w:eastAsia="Times New Roman" w:hAnsi="Arial" w:cs="Arial"/>
                <w:color w:val="000000"/>
                <w:sz w:val="20"/>
                <w:szCs w:val="20"/>
                <w:lang w:eastAsia="es-MX"/>
              </w:rPr>
              <w:t>Lineamiento 4, V.</w:t>
            </w:r>
          </w:p>
        </w:tc>
        <w:tc>
          <w:tcPr>
            <w:tcW w:w="4525" w:type="dxa"/>
            <w:tcBorders>
              <w:top w:val="single" w:sz="4" w:space="0" w:color="auto"/>
              <w:left w:val="single" w:sz="4" w:space="0" w:color="auto"/>
              <w:bottom w:val="single" w:sz="4" w:space="0" w:color="auto"/>
              <w:right w:val="single" w:sz="4" w:space="0" w:color="auto"/>
            </w:tcBorders>
            <w:shd w:val="clear" w:color="auto" w:fill="D9E1F2"/>
          </w:tcPr>
          <w:p w14:paraId="43A411A0" w14:textId="77777777" w:rsidR="00101212" w:rsidRPr="00FC3DCE" w:rsidRDefault="00101212" w:rsidP="00101212">
            <w:pPr>
              <w:spacing w:after="0"/>
              <w:jc w:val="both"/>
              <w:rPr>
                <w:rFonts w:ascii="Arial" w:hAnsi="Arial" w:cs="Arial"/>
                <w:sz w:val="20"/>
                <w:szCs w:val="20"/>
              </w:rPr>
            </w:pPr>
            <w:r w:rsidRPr="00FC3DCE">
              <w:rPr>
                <w:rFonts w:ascii="Arial" w:hAnsi="Arial" w:cs="Arial"/>
                <w:b/>
                <w:sz w:val="20"/>
                <w:szCs w:val="20"/>
              </w:rPr>
              <w:t>Metodología:</w:t>
            </w:r>
            <w:r w:rsidRPr="00FC3DCE">
              <w:rPr>
                <w:rFonts w:ascii="Arial" w:hAnsi="Arial" w:cs="Arial"/>
                <w:sz w:val="20"/>
                <w:szCs w:val="20"/>
              </w:rPr>
              <w:t xml:space="preserve"> procedimiento que ordena y articula el conjunto particular de actividades necesarias para producir información estadística y geográfica.  </w:t>
            </w:r>
          </w:p>
          <w:p w14:paraId="1126412C" w14:textId="77777777" w:rsidR="00C97FF7" w:rsidRPr="00FC3DCE" w:rsidRDefault="00C97FF7" w:rsidP="00C97FF7">
            <w:pPr>
              <w:spacing w:after="0" w:line="240" w:lineRule="auto"/>
              <w:jc w:val="both"/>
              <w:rPr>
                <w:rFonts w:ascii="Arial" w:hAnsi="Arial" w:cs="Arial"/>
                <w:b/>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D9E1F2"/>
          </w:tcPr>
          <w:p w14:paraId="00885CB8" w14:textId="2DA2271C" w:rsidR="00C97FF7" w:rsidRPr="003F07BE" w:rsidRDefault="00101212" w:rsidP="00C97FF7">
            <w:pPr>
              <w:spacing w:after="0" w:line="240" w:lineRule="auto"/>
              <w:jc w:val="both"/>
              <w:rPr>
                <w:rFonts w:ascii="Arial" w:hAnsi="Arial" w:cs="Arial"/>
                <w:color w:val="2E74B5" w:themeColor="accent5" w:themeShade="BF"/>
                <w:sz w:val="20"/>
                <w:szCs w:val="20"/>
              </w:rPr>
            </w:pPr>
            <w:r w:rsidRPr="003F07BE">
              <w:rPr>
                <w:rFonts w:ascii="Arial" w:hAnsi="Arial" w:cs="Arial"/>
                <w:b/>
                <w:bCs/>
                <w:color w:val="2E74B5" w:themeColor="accent5" w:themeShade="BF"/>
                <w:sz w:val="20"/>
                <w:szCs w:val="20"/>
              </w:rPr>
              <w:t xml:space="preserve">Metodología científicamente sustentada o metodología: </w:t>
            </w:r>
            <w:r w:rsidRPr="003F07BE">
              <w:rPr>
                <w:rFonts w:ascii="Arial" w:hAnsi="Arial" w:cs="Arial"/>
                <w:color w:val="2E74B5" w:themeColor="accent5" w:themeShade="BF"/>
                <w:sz w:val="20"/>
                <w:szCs w:val="20"/>
              </w:rPr>
              <w:t>Método fundamentado en marcos conceptuales, herramientas, procedimientos y conocimientos rigurosos que responden a la aplicación del método científico, así como a las mejores prácticas y recomendaciones internacionales;</w:t>
            </w:r>
          </w:p>
        </w:tc>
        <w:tc>
          <w:tcPr>
            <w:tcW w:w="3261" w:type="dxa"/>
            <w:tcBorders>
              <w:top w:val="single" w:sz="4" w:space="0" w:color="auto"/>
              <w:left w:val="single" w:sz="4" w:space="0" w:color="auto"/>
              <w:bottom w:val="single" w:sz="4" w:space="0" w:color="auto"/>
              <w:right w:val="single" w:sz="4" w:space="0" w:color="auto"/>
            </w:tcBorders>
            <w:shd w:val="clear" w:color="auto" w:fill="D9E1F2"/>
          </w:tcPr>
          <w:p w14:paraId="0A59A895" w14:textId="6F5C184E" w:rsidR="00C97FF7" w:rsidRPr="00FC3DCE" w:rsidRDefault="00C97FF7" w:rsidP="00C97FF7">
            <w:pPr>
              <w:spacing w:after="0" w:line="240" w:lineRule="auto"/>
              <w:jc w:val="both"/>
              <w:rPr>
                <w:rFonts w:ascii="Arial" w:hAnsi="Arial" w:cs="Arial"/>
                <w:bCs/>
                <w:sz w:val="20"/>
                <w:szCs w:val="20"/>
              </w:rPr>
            </w:pPr>
            <w:r w:rsidRPr="00FC3DCE">
              <w:rPr>
                <w:rFonts w:ascii="Arial" w:hAnsi="Arial" w:cs="Arial"/>
                <w:sz w:val="20"/>
                <w:szCs w:val="20"/>
              </w:rPr>
              <w:t xml:space="preserve">Se retoma la definición </w:t>
            </w:r>
            <w:r w:rsidR="00193EC1">
              <w:rPr>
                <w:rFonts w:ascii="Arial" w:hAnsi="Arial" w:cs="Arial"/>
                <w:sz w:val="20"/>
                <w:szCs w:val="20"/>
              </w:rPr>
              <w:t>de la</w:t>
            </w:r>
            <w:r w:rsidRPr="00FC3DCE">
              <w:rPr>
                <w:rFonts w:ascii="Arial" w:hAnsi="Arial" w:cs="Arial"/>
                <w:sz w:val="20"/>
                <w:szCs w:val="20"/>
              </w:rPr>
              <w:t xml:space="preserve"> </w:t>
            </w:r>
            <w:r w:rsidR="00E64BF4" w:rsidRPr="00FC3DCE">
              <w:rPr>
                <w:rFonts w:ascii="Arial" w:hAnsi="Arial" w:cs="Arial"/>
                <w:sz w:val="20"/>
                <w:szCs w:val="20"/>
              </w:rPr>
              <w:t>Norma Técnica del Proceso de Producción de Información Estadística y Geográfica</w:t>
            </w:r>
            <w:r w:rsidRPr="00FC3DCE">
              <w:rPr>
                <w:rFonts w:ascii="Arial" w:hAnsi="Arial" w:cs="Arial"/>
                <w:sz w:val="20"/>
                <w:szCs w:val="20"/>
              </w:rPr>
              <w:t>.</w:t>
            </w:r>
          </w:p>
        </w:tc>
      </w:tr>
      <w:tr w:rsidR="00C97FF7" w:rsidRPr="00FC3DCE" w14:paraId="1FDE1112" w14:textId="77777777" w:rsidTr="00FC3DCE">
        <w:trPr>
          <w:trHeight w:val="600"/>
          <w:jc w:val="center"/>
        </w:trPr>
        <w:tc>
          <w:tcPr>
            <w:tcW w:w="1561" w:type="dxa"/>
            <w:tcBorders>
              <w:top w:val="nil"/>
              <w:left w:val="single" w:sz="4" w:space="0" w:color="auto"/>
              <w:bottom w:val="single" w:sz="4" w:space="0" w:color="auto"/>
              <w:right w:val="single" w:sz="4" w:space="0" w:color="auto"/>
            </w:tcBorders>
            <w:shd w:val="clear" w:color="auto" w:fill="D9E1F2"/>
          </w:tcPr>
          <w:p w14:paraId="360FFBD4" w14:textId="77777777" w:rsidR="00C97FF7" w:rsidRPr="00FC3DCE" w:rsidRDefault="00C97FF7" w:rsidP="00C97FF7">
            <w:pPr>
              <w:spacing w:after="0" w:line="240" w:lineRule="auto"/>
              <w:jc w:val="both"/>
              <w:rPr>
                <w:rFonts w:ascii="Arial" w:eastAsia="Times New Roman" w:hAnsi="Arial" w:cs="Arial"/>
                <w:color w:val="000000"/>
                <w:sz w:val="20"/>
                <w:szCs w:val="20"/>
                <w:lang w:eastAsia="es-MX"/>
              </w:rPr>
            </w:pPr>
            <w:r w:rsidRPr="00FC3DCE">
              <w:rPr>
                <w:rFonts w:ascii="Arial" w:eastAsia="Times New Roman" w:hAnsi="Arial" w:cs="Arial"/>
                <w:color w:val="000000"/>
                <w:sz w:val="20"/>
                <w:szCs w:val="20"/>
                <w:lang w:eastAsia="es-MX"/>
              </w:rPr>
              <w:t>Lineamiento 4, VI.</w:t>
            </w:r>
          </w:p>
        </w:tc>
        <w:tc>
          <w:tcPr>
            <w:tcW w:w="4525" w:type="dxa"/>
            <w:tcBorders>
              <w:top w:val="nil"/>
              <w:left w:val="nil"/>
              <w:bottom w:val="single" w:sz="4" w:space="0" w:color="auto"/>
              <w:right w:val="single" w:sz="4" w:space="0" w:color="auto"/>
            </w:tcBorders>
            <w:shd w:val="clear" w:color="auto" w:fill="D9E1F2"/>
          </w:tcPr>
          <w:p w14:paraId="1E3CCF35" w14:textId="77777777" w:rsidR="00C97FF7" w:rsidRPr="00FC3DCE" w:rsidRDefault="00C97FF7" w:rsidP="00C97FF7">
            <w:pPr>
              <w:spacing w:after="0" w:line="240" w:lineRule="auto"/>
              <w:jc w:val="both"/>
              <w:rPr>
                <w:rFonts w:ascii="Arial" w:hAnsi="Arial" w:cs="Arial"/>
                <w:sz w:val="20"/>
                <w:szCs w:val="20"/>
              </w:rPr>
            </w:pPr>
            <w:r w:rsidRPr="00FC3DCE">
              <w:rPr>
                <w:rFonts w:ascii="Arial" w:hAnsi="Arial" w:cs="Arial"/>
                <w:b/>
                <w:sz w:val="20"/>
                <w:szCs w:val="20"/>
              </w:rPr>
              <w:t>Metadato</w:t>
            </w:r>
            <w:r w:rsidRPr="00FC3DCE">
              <w:rPr>
                <w:rFonts w:ascii="Arial" w:hAnsi="Arial" w:cs="Arial"/>
                <w:sz w:val="20"/>
                <w:szCs w:val="20"/>
              </w:rPr>
              <w:t>: los datos estructurados que describen las características de contenido, calidad, condición, acceso y distribución de la información estadística o geográfica.</w:t>
            </w:r>
          </w:p>
          <w:p w14:paraId="1DE5D9E8" w14:textId="77777777" w:rsidR="00C97FF7" w:rsidRPr="00FC3DCE" w:rsidRDefault="00C97FF7" w:rsidP="00C97FF7">
            <w:pPr>
              <w:spacing w:after="0" w:line="240" w:lineRule="auto"/>
              <w:jc w:val="both"/>
              <w:rPr>
                <w:rFonts w:ascii="Arial" w:hAnsi="Arial" w:cs="Arial"/>
                <w:b/>
                <w:sz w:val="20"/>
                <w:szCs w:val="20"/>
              </w:rPr>
            </w:pPr>
          </w:p>
        </w:tc>
        <w:tc>
          <w:tcPr>
            <w:tcW w:w="4677" w:type="dxa"/>
            <w:tcBorders>
              <w:top w:val="nil"/>
              <w:left w:val="nil"/>
              <w:bottom w:val="single" w:sz="4" w:space="0" w:color="auto"/>
              <w:right w:val="single" w:sz="4" w:space="0" w:color="auto"/>
            </w:tcBorders>
            <w:shd w:val="clear" w:color="auto" w:fill="D9E1F2"/>
          </w:tcPr>
          <w:p w14:paraId="64985B54" w14:textId="77777777" w:rsidR="00E64BF4" w:rsidRPr="003F07BE" w:rsidRDefault="00E64BF4" w:rsidP="00E64BF4">
            <w:pPr>
              <w:spacing w:after="0"/>
              <w:jc w:val="both"/>
              <w:rPr>
                <w:rFonts w:ascii="Arial" w:hAnsi="Arial" w:cs="Arial"/>
                <w:color w:val="2E74B5" w:themeColor="accent5" w:themeShade="BF"/>
                <w:sz w:val="20"/>
                <w:szCs w:val="20"/>
              </w:rPr>
            </w:pPr>
            <w:r w:rsidRPr="003F07BE">
              <w:rPr>
                <w:rFonts w:ascii="Arial" w:hAnsi="Arial" w:cs="Arial"/>
                <w:b/>
                <w:bCs/>
                <w:color w:val="2E74B5" w:themeColor="accent5" w:themeShade="BF"/>
                <w:sz w:val="20"/>
                <w:szCs w:val="20"/>
              </w:rPr>
              <w:t>Metadatos:</w:t>
            </w:r>
            <w:r w:rsidRPr="003F07BE">
              <w:rPr>
                <w:rFonts w:ascii="Arial" w:hAnsi="Arial" w:cs="Arial"/>
                <w:color w:val="2E74B5" w:themeColor="accent5" w:themeShade="BF"/>
                <w:sz w:val="20"/>
                <w:szCs w:val="20"/>
              </w:rPr>
              <w:t xml:space="preserve"> Datos estructurados que describen las características del contenido, captura, procesamiento, calidad, condición, acceso y distribución de la información estadística o geográfica, para facilitar su uso y aprovechamiento;</w:t>
            </w:r>
          </w:p>
          <w:p w14:paraId="190EFC88" w14:textId="77777777" w:rsidR="00C97FF7" w:rsidRPr="003F07BE" w:rsidRDefault="00C97FF7" w:rsidP="00C97FF7">
            <w:pPr>
              <w:spacing w:after="0" w:line="240" w:lineRule="auto"/>
              <w:jc w:val="both"/>
              <w:rPr>
                <w:rFonts w:ascii="Arial" w:hAnsi="Arial" w:cs="Arial"/>
                <w:color w:val="2E74B5" w:themeColor="accent5" w:themeShade="BF"/>
                <w:sz w:val="20"/>
                <w:szCs w:val="20"/>
              </w:rPr>
            </w:pPr>
          </w:p>
        </w:tc>
        <w:tc>
          <w:tcPr>
            <w:tcW w:w="3261" w:type="dxa"/>
            <w:tcBorders>
              <w:top w:val="nil"/>
              <w:left w:val="nil"/>
              <w:bottom w:val="single" w:sz="4" w:space="0" w:color="auto"/>
              <w:right w:val="single" w:sz="4" w:space="0" w:color="auto"/>
            </w:tcBorders>
            <w:shd w:val="clear" w:color="auto" w:fill="D9E1F2"/>
          </w:tcPr>
          <w:p w14:paraId="6EFAA021" w14:textId="2FFCE2F2" w:rsidR="00C97FF7" w:rsidRPr="00FC3DCE" w:rsidRDefault="006F7E2E" w:rsidP="00C97FF7">
            <w:pPr>
              <w:spacing w:after="0" w:line="240" w:lineRule="auto"/>
              <w:jc w:val="both"/>
              <w:rPr>
                <w:rFonts w:ascii="Arial" w:hAnsi="Arial" w:cs="Arial"/>
                <w:bCs/>
                <w:sz w:val="20"/>
                <w:szCs w:val="20"/>
              </w:rPr>
            </w:pPr>
            <w:r w:rsidRPr="00FC3DCE">
              <w:rPr>
                <w:rFonts w:ascii="Arial" w:hAnsi="Arial" w:cs="Arial"/>
                <w:sz w:val="20"/>
                <w:szCs w:val="20"/>
              </w:rPr>
              <w:t xml:space="preserve">Se retoma la definición </w:t>
            </w:r>
            <w:r>
              <w:rPr>
                <w:rFonts w:ascii="Arial" w:hAnsi="Arial" w:cs="Arial"/>
                <w:sz w:val="20"/>
                <w:szCs w:val="20"/>
              </w:rPr>
              <w:t>de la</w:t>
            </w:r>
            <w:r w:rsidRPr="00FC3DCE">
              <w:rPr>
                <w:rFonts w:ascii="Arial" w:hAnsi="Arial" w:cs="Arial"/>
                <w:sz w:val="20"/>
                <w:szCs w:val="20"/>
              </w:rPr>
              <w:t xml:space="preserve"> Norma Técnica del Proceso de Producción de Información Estadística y Geográfica</w:t>
            </w:r>
            <w:r>
              <w:rPr>
                <w:rFonts w:ascii="Arial" w:hAnsi="Arial" w:cs="Arial"/>
                <w:sz w:val="20"/>
                <w:szCs w:val="20"/>
              </w:rPr>
              <w:t>.</w:t>
            </w:r>
          </w:p>
        </w:tc>
      </w:tr>
      <w:tr w:rsidR="00851621" w:rsidRPr="00FC3DCE" w14:paraId="1BDFFDE6" w14:textId="77777777" w:rsidTr="00FC3DCE">
        <w:trPr>
          <w:trHeight w:val="600"/>
          <w:jc w:val="center"/>
        </w:trPr>
        <w:tc>
          <w:tcPr>
            <w:tcW w:w="1561" w:type="dxa"/>
            <w:tcBorders>
              <w:top w:val="nil"/>
              <w:left w:val="single" w:sz="4" w:space="0" w:color="auto"/>
              <w:bottom w:val="single" w:sz="4" w:space="0" w:color="auto"/>
              <w:right w:val="single" w:sz="4" w:space="0" w:color="auto"/>
            </w:tcBorders>
            <w:shd w:val="clear" w:color="auto" w:fill="D9E1F2"/>
          </w:tcPr>
          <w:p w14:paraId="51A544EE" w14:textId="131D4B11" w:rsidR="00851621" w:rsidRPr="00FC3DCE" w:rsidRDefault="00851621" w:rsidP="00851621">
            <w:pPr>
              <w:spacing w:after="0" w:line="240" w:lineRule="auto"/>
              <w:jc w:val="both"/>
              <w:rPr>
                <w:rFonts w:ascii="Arial" w:eastAsia="Times New Roman" w:hAnsi="Arial" w:cs="Arial"/>
                <w:color w:val="000000"/>
                <w:sz w:val="20"/>
                <w:szCs w:val="20"/>
                <w:lang w:eastAsia="es-MX"/>
              </w:rPr>
            </w:pPr>
            <w:r w:rsidRPr="00FC3DCE">
              <w:rPr>
                <w:rFonts w:ascii="Arial" w:eastAsia="Times New Roman" w:hAnsi="Arial" w:cs="Arial"/>
                <w:color w:val="000000"/>
                <w:sz w:val="20"/>
                <w:szCs w:val="20"/>
                <w:lang w:eastAsia="es-MX"/>
              </w:rPr>
              <w:t>Lineamiento 4, VII.</w:t>
            </w:r>
          </w:p>
        </w:tc>
        <w:tc>
          <w:tcPr>
            <w:tcW w:w="4525" w:type="dxa"/>
            <w:tcBorders>
              <w:top w:val="nil"/>
              <w:left w:val="nil"/>
              <w:bottom w:val="single" w:sz="4" w:space="0" w:color="auto"/>
              <w:right w:val="single" w:sz="4" w:space="0" w:color="auto"/>
            </w:tcBorders>
            <w:shd w:val="clear" w:color="auto" w:fill="D9E1F2"/>
          </w:tcPr>
          <w:p w14:paraId="4C5232AE" w14:textId="2DDCC106" w:rsidR="00851621" w:rsidRPr="00FC3DCE" w:rsidRDefault="00E64BF4" w:rsidP="00851621">
            <w:pPr>
              <w:spacing w:after="0" w:line="240" w:lineRule="auto"/>
              <w:jc w:val="both"/>
              <w:rPr>
                <w:rFonts w:ascii="Arial" w:hAnsi="Arial" w:cs="Arial"/>
                <w:bCs/>
                <w:sz w:val="20"/>
                <w:szCs w:val="20"/>
              </w:rPr>
            </w:pPr>
            <w:r w:rsidRPr="00FC3DCE">
              <w:rPr>
                <w:rFonts w:ascii="Arial" w:hAnsi="Arial" w:cs="Arial"/>
                <w:bCs/>
                <w:sz w:val="20"/>
                <w:szCs w:val="20"/>
              </w:rPr>
              <w:t>Sin correlativo.</w:t>
            </w:r>
          </w:p>
        </w:tc>
        <w:tc>
          <w:tcPr>
            <w:tcW w:w="4677" w:type="dxa"/>
            <w:tcBorders>
              <w:top w:val="nil"/>
              <w:left w:val="nil"/>
              <w:bottom w:val="single" w:sz="4" w:space="0" w:color="auto"/>
              <w:right w:val="single" w:sz="4" w:space="0" w:color="auto"/>
            </w:tcBorders>
            <w:shd w:val="clear" w:color="auto" w:fill="D9E1F2"/>
          </w:tcPr>
          <w:p w14:paraId="4BA85187" w14:textId="77777777" w:rsidR="00851621" w:rsidRPr="003F07BE" w:rsidRDefault="00851621" w:rsidP="00851621">
            <w:pPr>
              <w:spacing w:after="0" w:line="240" w:lineRule="auto"/>
              <w:jc w:val="both"/>
              <w:rPr>
                <w:rFonts w:ascii="Arial" w:hAnsi="Arial" w:cs="Arial"/>
                <w:color w:val="2E74B5" w:themeColor="accent5" w:themeShade="BF"/>
                <w:sz w:val="20"/>
                <w:szCs w:val="20"/>
              </w:rPr>
            </w:pPr>
            <w:r w:rsidRPr="003F07BE">
              <w:rPr>
                <w:rFonts w:ascii="Arial" w:hAnsi="Arial" w:cs="Arial"/>
                <w:b/>
                <w:bCs/>
                <w:color w:val="2E74B5" w:themeColor="accent5" w:themeShade="BF"/>
                <w:sz w:val="20"/>
                <w:szCs w:val="20"/>
              </w:rPr>
              <w:t>Programa de Información o Programa:</w:t>
            </w:r>
            <w:r w:rsidRPr="003F07BE">
              <w:rPr>
                <w:rFonts w:ascii="Arial" w:hAnsi="Arial" w:cs="Arial"/>
                <w:color w:val="2E74B5" w:themeColor="accent5" w:themeShade="BF"/>
                <w:sz w:val="20"/>
                <w:szCs w:val="20"/>
              </w:rPr>
              <w:t xml:space="preserve"> Conjunto de actividades mediante el cual se establecen los objetivos, metas y estrategias para la ejecución de uno o más procesos de producción para atender Necesidades Estructuradas de Información, de las cuales podrán resultar uno o más productos estadísticos y geográficos.</w:t>
            </w:r>
          </w:p>
          <w:p w14:paraId="086F1D59" w14:textId="337C8934" w:rsidR="00851621" w:rsidRPr="003F07BE" w:rsidRDefault="00851621" w:rsidP="00851621">
            <w:pPr>
              <w:spacing w:after="0" w:line="240" w:lineRule="auto"/>
              <w:jc w:val="both"/>
              <w:rPr>
                <w:rFonts w:ascii="Arial" w:hAnsi="Arial" w:cs="Arial"/>
                <w:color w:val="2E74B5" w:themeColor="accent5" w:themeShade="BF"/>
                <w:sz w:val="20"/>
                <w:szCs w:val="20"/>
              </w:rPr>
            </w:pPr>
          </w:p>
        </w:tc>
        <w:tc>
          <w:tcPr>
            <w:tcW w:w="3261" w:type="dxa"/>
            <w:tcBorders>
              <w:top w:val="nil"/>
              <w:left w:val="nil"/>
              <w:bottom w:val="single" w:sz="4" w:space="0" w:color="auto"/>
              <w:right w:val="single" w:sz="4" w:space="0" w:color="auto"/>
            </w:tcBorders>
            <w:shd w:val="clear" w:color="auto" w:fill="D9E1F2"/>
          </w:tcPr>
          <w:p w14:paraId="29C59488" w14:textId="54F27EB0" w:rsidR="00851621" w:rsidRPr="00FC3DCE" w:rsidRDefault="00193EC1" w:rsidP="00851621">
            <w:pPr>
              <w:spacing w:after="0" w:line="240" w:lineRule="auto"/>
              <w:jc w:val="both"/>
              <w:rPr>
                <w:rFonts w:ascii="Arial" w:hAnsi="Arial" w:cs="Arial"/>
                <w:sz w:val="20"/>
                <w:szCs w:val="20"/>
              </w:rPr>
            </w:pPr>
            <w:r w:rsidRPr="00FC3DCE">
              <w:rPr>
                <w:rFonts w:ascii="Arial" w:hAnsi="Arial" w:cs="Arial"/>
                <w:sz w:val="20"/>
                <w:szCs w:val="20"/>
              </w:rPr>
              <w:t xml:space="preserve">Se retoma la definición </w:t>
            </w:r>
            <w:r>
              <w:rPr>
                <w:rFonts w:ascii="Arial" w:hAnsi="Arial" w:cs="Arial"/>
                <w:sz w:val="20"/>
                <w:szCs w:val="20"/>
              </w:rPr>
              <w:t>de la</w:t>
            </w:r>
            <w:r w:rsidRPr="00FC3DCE">
              <w:rPr>
                <w:rFonts w:ascii="Arial" w:hAnsi="Arial" w:cs="Arial"/>
                <w:sz w:val="20"/>
                <w:szCs w:val="20"/>
              </w:rPr>
              <w:t xml:space="preserve"> Norma Técnica del Proceso de Producción de Información Estadística y Geográfica</w:t>
            </w:r>
            <w:r>
              <w:rPr>
                <w:rFonts w:ascii="Arial" w:hAnsi="Arial" w:cs="Arial"/>
                <w:sz w:val="20"/>
                <w:szCs w:val="20"/>
              </w:rPr>
              <w:t>.</w:t>
            </w:r>
          </w:p>
        </w:tc>
      </w:tr>
      <w:tr w:rsidR="00851621" w:rsidRPr="00FC3DCE" w14:paraId="1944173D" w14:textId="63EA1A21" w:rsidTr="00FC3DCE">
        <w:trPr>
          <w:trHeight w:val="1408"/>
          <w:jc w:val="center"/>
        </w:trPr>
        <w:tc>
          <w:tcPr>
            <w:tcW w:w="1561" w:type="dxa"/>
            <w:tcBorders>
              <w:top w:val="single" w:sz="4" w:space="0" w:color="auto"/>
              <w:left w:val="single" w:sz="4" w:space="0" w:color="auto"/>
              <w:bottom w:val="single" w:sz="4" w:space="0" w:color="auto"/>
              <w:right w:val="single" w:sz="4" w:space="0" w:color="auto"/>
            </w:tcBorders>
            <w:shd w:val="clear" w:color="auto" w:fill="D9E1F2"/>
            <w:hideMark/>
          </w:tcPr>
          <w:p w14:paraId="452AC625" w14:textId="57FA792D" w:rsidR="00851621" w:rsidRPr="00FC3DCE" w:rsidRDefault="00851621" w:rsidP="00851621">
            <w:pPr>
              <w:spacing w:after="0" w:line="240" w:lineRule="auto"/>
              <w:jc w:val="both"/>
              <w:rPr>
                <w:rFonts w:ascii="Arial" w:eastAsia="Times New Roman" w:hAnsi="Arial" w:cs="Arial"/>
                <w:color w:val="000000"/>
                <w:sz w:val="20"/>
                <w:szCs w:val="20"/>
                <w:lang w:eastAsia="es-MX"/>
              </w:rPr>
            </w:pPr>
            <w:r w:rsidRPr="00FC3DCE">
              <w:rPr>
                <w:rFonts w:ascii="Arial" w:eastAsia="Times New Roman" w:hAnsi="Arial" w:cs="Arial"/>
                <w:color w:val="000000"/>
                <w:sz w:val="20"/>
                <w:szCs w:val="20"/>
                <w:lang w:eastAsia="es-MX"/>
              </w:rPr>
              <w:t>Lineamiento 5, tercer párrafo.</w:t>
            </w:r>
          </w:p>
        </w:tc>
        <w:tc>
          <w:tcPr>
            <w:tcW w:w="4525" w:type="dxa"/>
            <w:tcBorders>
              <w:top w:val="single" w:sz="4" w:space="0" w:color="auto"/>
              <w:left w:val="single" w:sz="4" w:space="0" w:color="auto"/>
              <w:bottom w:val="single" w:sz="4" w:space="0" w:color="auto"/>
              <w:right w:val="single" w:sz="4" w:space="0" w:color="auto"/>
            </w:tcBorders>
            <w:shd w:val="clear" w:color="auto" w:fill="D9E1F2"/>
          </w:tcPr>
          <w:p w14:paraId="15005575" w14:textId="3CB30716" w:rsidR="00851621" w:rsidRPr="00FC3DCE" w:rsidRDefault="00851621" w:rsidP="00851621">
            <w:pPr>
              <w:spacing w:after="0" w:line="240" w:lineRule="auto"/>
              <w:jc w:val="both"/>
              <w:rPr>
                <w:rFonts w:ascii="Arial" w:hAnsi="Arial" w:cs="Arial"/>
                <w:sz w:val="20"/>
                <w:szCs w:val="20"/>
              </w:rPr>
            </w:pPr>
            <w:r w:rsidRPr="00FC3DCE">
              <w:rPr>
                <w:rFonts w:ascii="Arial" w:hAnsi="Arial" w:cs="Arial"/>
                <w:sz w:val="20"/>
                <w:szCs w:val="20"/>
              </w:rPr>
              <w:t xml:space="preserve">La Junta de Gobierno procederá a someter a consulta pública estas metodologías por un período de 10 días hábiles. Al final del plazo establecido, la Junta de Gobierno evaluará las observaciones recibidas y, en caso de considerarlas procedentes, las notificará al Comité Ejecutivo correspondiente para que éste solicite a la Unidad responsable de la información la atención de </w:t>
            </w:r>
            <w:proofErr w:type="gramStart"/>
            <w:r w:rsidRPr="00FC3DCE">
              <w:rPr>
                <w:rFonts w:ascii="Arial" w:hAnsi="Arial" w:cs="Arial"/>
                <w:sz w:val="20"/>
                <w:szCs w:val="20"/>
              </w:rPr>
              <w:t>las mismas</w:t>
            </w:r>
            <w:proofErr w:type="gramEnd"/>
            <w:r w:rsidRPr="00FC3DCE">
              <w:rPr>
                <w:rFonts w:ascii="Arial" w:hAnsi="Arial" w:cs="Arial"/>
                <w:sz w:val="20"/>
                <w:szCs w:val="20"/>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D9E1F2"/>
          </w:tcPr>
          <w:p w14:paraId="48DB1F14" w14:textId="0A3EFDD6" w:rsidR="00851621" w:rsidRPr="00FC3DCE" w:rsidRDefault="00D41C2C" w:rsidP="007D08CB">
            <w:pPr>
              <w:spacing w:after="0"/>
              <w:jc w:val="both"/>
              <w:rPr>
                <w:rFonts w:ascii="Arial" w:hAnsi="Arial" w:cs="Arial"/>
                <w:sz w:val="20"/>
                <w:szCs w:val="20"/>
              </w:rPr>
            </w:pPr>
            <w:r w:rsidRPr="00FC3DCE">
              <w:rPr>
                <w:rFonts w:ascii="Arial" w:hAnsi="Arial" w:cs="Arial"/>
                <w:sz w:val="20"/>
                <w:szCs w:val="20"/>
              </w:rPr>
              <w:t xml:space="preserve">La Junta de Gobierno procederá a someter a consulta pública estas metodologías por un período de </w:t>
            </w:r>
            <w:r w:rsidRPr="003F07BE">
              <w:rPr>
                <w:rFonts w:ascii="Arial" w:hAnsi="Arial" w:cs="Arial"/>
                <w:color w:val="2E74B5" w:themeColor="accent5" w:themeShade="BF"/>
                <w:sz w:val="20"/>
                <w:szCs w:val="20"/>
              </w:rPr>
              <w:t>20</w:t>
            </w:r>
            <w:r w:rsidRPr="00FC3DCE">
              <w:rPr>
                <w:rFonts w:ascii="Arial" w:hAnsi="Arial" w:cs="Arial"/>
                <w:sz w:val="20"/>
                <w:szCs w:val="20"/>
              </w:rPr>
              <w:t xml:space="preserve"> días hábiles, </w:t>
            </w:r>
            <w:r w:rsidRPr="003F07BE">
              <w:rPr>
                <w:rFonts w:ascii="Arial" w:hAnsi="Arial" w:cs="Arial"/>
                <w:color w:val="2E74B5" w:themeColor="accent5" w:themeShade="BF"/>
                <w:sz w:val="20"/>
                <w:szCs w:val="20"/>
              </w:rPr>
              <w:t xml:space="preserve">con la finalidad de recabar comentarios y opiniones de otras Unidades del Estado u otras instancias interesadas en el tema. Asimismo, determinará la conveniencia de ampliar el plazo de consulta hasta por 10 días hábiles. </w:t>
            </w:r>
            <w:r w:rsidRPr="00FC3DCE">
              <w:rPr>
                <w:rFonts w:ascii="Arial" w:hAnsi="Arial" w:cs="Arial"/>
                <w:sz w:val="20"/>
                <w:szCs w:val="20"/>
              </w:rPr>
              <w:t xml:space="preserve">Al final del plazo establecido, la Junta de Gobierno evaluará las observaciones recibidas y, en caso de considerarlas procedentes, las notificará al Comité Ejecutivo correspondiente para que éste solicite a la Unidad responsable de la información la atención de </w:t>
            </w:r>
            <w:r w:rsidRPr="003F07BE">
              <w:rPr>
                <w:rFonts w:ascii="Arial" w:hAnsi="Arial" w:cs="Arial"/>
                <w:color w:val="2E74B5" w:themeColor="accent5" w:themeShade="BF"/>
                <w:sz w:val="20"/>
                <w:szCs w:val="20"/>
              </w:rPr>
              <w:t>estas.</w:t>
            </w:r>
          </w:p>
        </w:tc>
        <w:tc>
          <w:tcPr>
            <w:tcW w:w="3261" w:type="dxa"/>
            <w:tcBorders>
              <w:top w:val="single" w:sz="4" w:space="0" w:color="auto"/>
              <w:left w:val="single" w:sz="4" w:space="0" w:color="auto"/>
              <w:bottom w:val="single" w:sz="4" w:space="0" w:color="auto"/>
              <w:right w:val="single" w:sz="4" w:space="0" w:color="auto"/>
            </w:tcBorders>
            <w:shd w:val="clear" w:color="auto" w:fill="D9E1F2"/>
          </w:tcPr>
          <w:p w14:paraId="26F9459F" w14:textId="169A0195" w:rsidR="00DB1B20" w:rsidRPr="00DB1B20" w:rsidRDefault="00A75D87" w:rsidP="00851621">
            <w:pPr>
              <w:spacing w:after="0" w:line="240" w:lineRule="auto"/>
              <w:jc w:val="both"/>
              <w:rPr>
                <w:rFonts w:ascii="Arial" w:hAnsi="Arial" w:cs="Arial"/>
                <w:sz w:val="20"/>
                <w:szCs w:val="20"/>
              </w:rPr>
            </w:pPr>
            <w:r>
              <w:rPr>
                <w:rFonts w:ascii="Arial" w:hAnsi="Arial" w:cs="Arial"/>
                <w:sz w:val="20"/>
                <w:szCs w:val="20"/>
              </w:rPr>
              <w:t xml:space="preserve">Se homologan los plazos para la realización de las consultas públicas entre los </w:t>
            </w:r>
            <w:r w:rsidR="00851621" w:rsidRPr="00FC3DCE">
              <w:rPr>
                <w:rFonts w:ascii="Arial" w:hAnsi="Arial" w:cs="Arial"/>
                <w:sz w:val="20"/>
                <w:szCs w:val="20"/>
              </w:rPr>
              <w:t>Lineamientos y las RDIIN.</w:t>
            </w:r>
          </w:p>
        </w:tc>
      </w:tr>
      <w:tr w:rsidR="00FC3DCE" w:rsidRPr="00E958CE" w14:paraId="1BCD2A21" w14:textId="77777777" w:rsidTr="00FC5025">
        <w:trPr>
          <w:trHeight w:val="435"/>
          <w:jc w:val="center"/>
        </w:trPr>
        <w:tc>
          <w:tcPr>
            <w:tcW w:w="1561"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hideMark/>
          </w:tcPr>
          <w:p w14:paraId="6B76200A" w14:textId="77777777" w:rsidR="00FC3DCE" w:rsidRPr="00F549A4" w:rsidRDefault="00FC3DCE" w:rsidP="00FC3DCE">
            <w:pPr>
              <w:spacing w:after="0" w:line="240" w:lineRule="auto"/>
              <w:jc w:val="center"/>
              <w:rPr>
                <w:rFonts w:ascii="Calibri" w:eastAsia="Times New Roman" w:hAnsi="Calibri" w:cs="Calibri"/>
                <w:b/>
                <w:bCs/>
                <w:color w:val="FFFFFF"/>
                <w:sz w:val="28"/>
                <w:szCs w:val="28"/>
                <w:lang w:eastAsia="es-MX"/>
              </w:rPr>
            </w:pPr>
            <w:r w:rsidRPr="00F549A4">
              <w:rPr>
                <w:rFonts w:ascii="Calibri" w:eastAsia="Times New Roman" w:hAnsi="Calibri" w:cs="Calibri"/>
                <w:b/>
                <w:bCs/>
                <w:color w:val="FFFFFF"/>
                <w:sz w:val="28"/>
                <w:szCs w:val="28"/>
                <w:lang w:eastAsia="es-MX"/>
              </w:rPr>
              <w:lastRenderedPageBreak/>
              <w:t>Referencia</w:t>
            </w:r>
          </w:p>
        </w:tc>
        <w:tc>
          <w:tcPr>
            <w:tcW w:w="4525"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14:paraId="2DB81BF1" w14:textId="77777777" w:rsidR="00FC3DCE" w:rsidRPr="00F549A4" w:rsidRDefault="00FC3DCE" w:rsidP="00FC3DCE">
            <w:pPr>
              <w:spacing w:after="0" w:line="240" w:lineRule="auto"/>
              <w:jc w:val="center"/>
              <w:rPr>
                <w:rFonts w:ascii="Calibri" w:eastAsia="Times New Roman" w:hAnsi="Calibri" w:cs="Calibri"/>
                <w:b/>
                <w:bCs/>
                <w:color w:val="FFFFFF"/>
                <w:sz w:val="28"/>
                <w:szCs w:val="28"/>
                <w:lang w:eastAsia="es-MX"/>
              </w:rPr>
            </w:pPr>
            <w:r w:rsidRPr="00F549A4">
              <w:rPr>
                <w:rFonts w:ascii="Calibri" w:eastAsia="Times New Roman" w:hAnsi="Calibri" w:cs="Calibri"/>
                <w:b/>
                <w:bCs/>
                <w:color w:val="FFFFFF"/>
                <w:sz w:val="28"/>
                <w:szCs w:val="28"/>
                <w:lang w:eastAsia="es-MX"/>
              </w:rPr>
              <w:t>Dice:</w:t>
            </w:r>
          </w:p>
        </w:tc>
        <w:tc>
          <w:tcPr>
            <w:tcW w:w="4677"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14:paraId="0B14AD38" w14:textId="77777777" w:rsidR="00FC3DCE" w:rsidRPr="00F549A4" w:rsidRDefault="00FC3DCE" w:rsidP="00FC3DCE">
            <w:pPr>
              <w:spacing w:after="0" w:line="240" w:lineRule="auto"/>
              <w:jc w:val="center"/>
              <w:rPr>
                <w:rFonts w:ascii="Calibri" w:eastAsia="Times New Roman" w:hAnsi="Calibri" w:cs="Calibri"/>
                <w:b/>
                <w:bCs/>
                <w:color w:val="FFFFFF"/>
                <w:sz w:val="28"/>
                <w:szCs w:val="28"/>
                <w:lang w:eastAsia="es-MX"/>
              </w:rPr>
            </w:pPr>
            <w:r w:rsidRPr="00F549A4">
              <w:rPr>
                <w:rFonts w:ascii="Calibri" w:eastAsia="Times New Roman" w:hAnsi="Calibri" w:cs="Calibri"/>
                <w:b/>
                <w:bCs/>
                <w:color w:val="FFFFFF"/>
                <w:sz w:val="28"/>
                <w:szCs w:val="28"/>
                <w:lang w:eastAsia="es-MX"/>
              </w:rPr>
              <w:t>Debe decir:</w:t>
            </w:r>
          </w:p>
        </w:tc>
        <w:tc>
          <w:tcPr>
            <w:tcW w:w="3261" w:type="dxa"/>
            <w:tcBorders>
              <w:top w:val="single" w:sz="8" w:space="0" w:color="auto"/>
              <w:left w:val="nil"/>
              <w:bottom w:val="single" w:sz="8" w:space="0" w:color="auto"/>
              <w:right w:val="single" w:sz="8" w:space="0" w:color="auto"/>
            </w:tcBorders>
            <w:shd w:val="clear" w:color="auto" w:fill="808080" w:themeFill="background1" w:themeFillShade="80"/>
          </w:tcPr>
          <w:p w14:paraId="3345E774" w14:textId="77777777" w:rsidR="00FC3DCE" w:rsidRPr="00F549A4" w:rsidRDefault="00FC3DCE" w:rsidP="00FC3DCE">
            <w:pPr>
              <w:spacing w:after="0" w:line="240" w:lineRule="auto"/>
              <w:jc w:val="center"/>
              <w:rPr>
                <w:rFonts w:ascii="Calibri" w:eastAsia="Times New Roman" w:hAnsi="Calibri" w:cs="Calibri"/>
                <w:b/>
                <w:bCs/>
                <w:color w:val="FFFFFF"/>
                <w:sz w:val="28"/>
                <w:szCs w:val="28"/>
                <w:lang w:eastAsia="es-MX"/>
              </w:rPr>
            </w:pPr>
            <w:r>
              <w:rPr>
                <w:rFonts w:ascii="Calibri" w:eastAsia="Times New Roman" w:hAnsi="Calibri" w:cs="Calibri"/>
                <w:b/>
                <w:bCs/>
                <w:color w:val="FFFFFF"/>
                <w:sz w:val="28"/>
                <w:szCs w:val="28"/>
                <w:lang w:eastAsia="es-MX"/>
              </w:rPr>
              <w:t>Justificación</w:t>
            </w:r>
          </w:p>
        </w:tc>
      </w:tr>
      <w:tr w:rsidR="007D08CB" w:rsidRPr="00FC3DCE" w14:paraId="0B3FF075" w14:textId="77777777" w:rsidTr="00FC3DCE">
        <w:trPr>
          <w:trHeight w:val="1408"/>
          <w:jc w:val="center"/>
        </w:trPr>
        <w:tc>
          <w:tcPr>
            <w:tcW w:w="1561" w:type="dxa"/>
            <w:tcBorders>
              <w:top w:val="single" w:sz="4" w:space="0" w:color="auto"/>
              <w:left w:val="single" w:sz="4" w:space="0" w:color="auto"/>
              <w:bottom w:val="single" w:sz="4" w:space="0" w:color="auto"/>
              <w:right w:val="single" w:sz="4" w:space="0" w:color="auto"/>
            </w:tcBorders>
            <w:shd w:val="clear" w:color="auto" w:fill="D9E1F2"/>
          </w:tcPr>
          <w:p w14:paraId="62C354B3" w14:textId="28EA5A17" w:rsidR="007D08CB" w:rsidRPr="00FC3DCE" w:rsidRDefault="007D08CB" w:rsidP="00851621">
            <w:pPr>
              <w:spacing w:after="0" w:line="240" w:lineRule="auto"/>
              <w:jc w:val="both"/>
              <w:rPr>
                <w:rFonts w:ascii="Arial" w:eastAsia="Times New Roman" w:hAnsi="Arial" w:cs="Arial"/>
                <w:color w:val="000000"/>
                <w:sz w:val="20"/>
                <w:szCs w:val="20"/>
                <w:lang w:eastAsia="es-MX"/>
              </w:rPr>
            </w:pPr>
            <w:r w:rsidRPr="00FC3DCE">
              <w:rPr>
                <w:rFonts w:ascii="Arial" w:eastAsia="Times New Roman" w:hAnsi="Arial" w:cs="Arial"/>
                <w:color w:val="000000"/>
                <w:sz w:val="20"/>
                <w:szCs w:val="20"/>
                <w:lang w:eastAsia="es-MX"/>
              </w:rPr>
              <w:t>Lineamiento 6.</w:t>
            </w:r>
          </w:p>
        </w:tc>
        <w:tc>
          <w:tcPr>
            <w:tcW w:w="4525" w:type="dxa"/>
            <w:tcBorders>
              <w:top w:val="single" w:sz="4" w:space="0" w:color="auto"/>
              <w:left w:val="single" w:sz="4" w:space="0" w:color="auto"/>
              <w:bottom w:val="single" w:sz="4" w:space="0" w:color="auto"/>
              <w:right w:val="single" w:sz="4" w:space="0" w:color="auto"/>
            </w:tcBorders>
            <w:shd w:val="clear" w:color="auto" w:fill="D9E1F2"/>
          </w:tcPr>
          <w:p w14:paraId="7A953CED" w14:textId="09BFA5C1" w:rsidR="007D08CB" w:rsidRPr="00FC3DCE" w:rsidRDefault="007D08CB" w:rsidP="007D08CB">
            <w:pPr>
              <w:spacing w:after="0"/>
              <w:jc w:val="both"/>
              <w:rPr>
                <w:rFonts w:ascii="Arial" w:hAnsi="Arial" w:cs="Arial"/>
                <w:sz w:val="20"/>
                <w:szCs w:val="20"/>
              </w:rPr>
            </w:pPr>
            <w:r w:rsidRPr="00FC3DCE">
              <w:rPr>
                <w:rFonts w:ascii="Arial" w:hAnsi="Arial" w:cs="Arial"/>
                <w:sz w:val="20"/>
                <w:szCs w:val="20"/>
              </w:rPr>
              <w:t>El Instituto analizará y, en su caso, atenderá las observaciones obtenidas durante la consulta. El responsable de la actividad presentará un informe a la Junta de Gobierno con un resumen de las observaciones y de las medidas adoptadas.</w:t>
            </w:r>
          </w:p>
        </w:tc>
        <w:tc>
          <w:tcPr>
            <w:tcW w:w="4677" w:type="dxa"/>
            <w:tcBorders>
              <w:top w:val="single" w:sz="4" w:space="0" w:color="auto"/>
              <w:left w:val="single" w:sz="4" w:space="0" w:color="auto"/>
              <w:bottom w:val="single" w:sz="4" w:space="0" w:color="auto"/>
              <w:right w:val="single" w:sz="4" w:space="0" w:color="auto"/>
            </w:tcBorders>
            <w:shd w:val="clear" w:color="auto" w:fill="D9E1F2"/>
          </w:tcPr>
          <w:p w14:paraId="241F8855" w14:textId="77777777" w:rsidR="007D08CB" w:rsidRPr="00FC3DCE" w:rsidRDefault="007D08CB" w:rsidP="007D08CB">
            <w:pPr>
              <w:spacing w:after="0"/>
              <w:jc w:val="both"/>
              <w:rPr>
                <w:rFonts w:ascii="Arial" w:hAnsi="Arial" w:cs="Arial"/>
                <w:sz w:val="20"/>
                <w:szCs w:val="20"/>
              </w:rPr>
            </w:pPr>
            <w:r w:rsidRPr="00FC3DCE">
              <w:rPr>
                <w:rFonts w:ascii="Arial" w:hAnsi="Arial" w:cs="Arial"/>
                <w:sz w:val="20"/>
                <w:szCs w:val="20"/>
              </w:rPr>
              <w:t xml:space="preserve">El Instituto, </w:t>
            </w:r>
            <w:r w:rsidRPr="00904EFF">
              <w:rPr>
                <w:rFonts w:ascii="Arial" w:hAnsi="Arial" w:cs="Arial"/>
                <w:color w:val="2E74B5" w:themeColor="accent5" w:themeShade="BF"/>
                <w:sz w:val="20"/>
                <w:szCs w:val="20"/>
              </w:rPr>
              <w:t xml:space="preserve">a través de la Unidad responsable, </w:t>
            </w:r>
            <w:r w:rsidRPr="00FC3DCE">
              <w:rPr>
                <w:rFonts w:ascii="Arial" w:hAnsi="Arial" w:cs="Arial"/>
                <w:sz w:val="20"/>
                <w:szCs w:val="20"/>
              </w:rPr>
              <w:t>analizará y, en su caso, atenderá las observaciones obtenidas durante la consulta. El responsable de la actividad presentará un informe a la Junta de Gobierno con un resumen de las observaciones y de las medidas adoptadas.</w:t>
            </w:r>
          </w:p>
          <w:p w14:paraId="4A4F5180" w14:textId="77777777" w:rsidR="007D08CB" w:rsidRPr="00FC3DCE" w:rsidRDefault="007D08CB" w:rsidP="007D08CB">
            <w:pPr>
              <w:spacing w:after="0"/>
              <w:jc w:val="both"/>
              <w:rPr>
                <w:rFonts w:ascii="Arial"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shd w:val="clear" w:color="auto" w:fill="D9E1F2"/>
          </w:tcPr>
          <w:p w14:paraId="5FF669A6" w14:textId="52B72EFA" w:rsidR="007D08CB" w:rsidRPr="00FC3DCE" w:rsidRDefault="00E62C1D" w:rsidP="00851621">
            <w:pPr>
              <w:spacing w:after="0" w:line="240" w:lineRule="auto"/>
              <w:jc w:val="both"/>
              <w:rPr>
                <w:rFonts w:ascii="Arial" w:hAnsi="Arial" w:cs="Arial"/>
                <w:sz w:val="20"/>
                <w:szCs w:val="20"/>
              </w:rPr>
            </w:pPr>
            <w:r>
              <w:rPr>
                <w:rFonts w:ascii="Arial" w:hAnsi="Arial" w:cs="Arial"/>
                <w:sz w:val="20"/>
                <w:szCs w:val="20"/>
              </w:rPr>
              <w:t>Precisión</w:t>
            </w:r>
            <w:r w:rsidR="007D08CB" w:rsidRPr="00FC3DCE">
              <w:rPr>
                <w:rFonts w:ascii="Arial" w:hAnsi="Arial" w:cs="Arial"/>
                <w:sz w:val="20"/>
                <w:szCs w:val="20"/>
              </w:rPr>
              <w:t xml:space="preserve">. </w:t>
            </w:r>
          </w:p>
        </w:tc>
      </w:tr>
      <w:tr w:rsidR="00851621" w:rsidRPr="00FC3DCE" w14:paraId="12476ED6" w14:textId="43F0B23D" w:rsidTr="00FC3DCE">
        <w:trPr>
          <w:trHeight w:val="1733"/>
          <w:jc w:val="center"/>
        </w:trPr>
        <w:tc>
          <w:tcPr>
            <w:tcW w:w="1561" w:type="dxa"/>
            <w:tcBorders>
              <w:top w:val="single" w:sz="4" w:space="0" w:color="auto"/>
              <w:left w:val="single" w:sz="4" w:space="0" w:color="auto"/>
              <w:bottom w:val="single" w:sz="4" w:space="0" w:color="auto"/>
              <w:right w:val="single" w:sz="4" w:space="0" w:color="auto"/>
            </w:tcBorders>
            <w:shd w:val="clear" w:color="auto" w:fill="D9E1F2"/>
          </w:tcPr>
          <w:p w14:paraId="643C31E2" w14:textId="06BA8B1A" w:rsidR="00851621" w:rsidRPr="00FC3DCE" w:rsidRDefault="00851621" w:rsidP="00851621">
            <w:pPr>
              <w:spacing w:after="0" w:line="240" w:lineRule="auto"/>
              <w:jc w:val="both"/>
              <w:rPr>
                <w:rFonts w:ascii="Arial" w:eastAsia="Times New Roman" w:hAnsi="Arial" w:cs="Arial"/>
                <w:color w:val="000000"/>
                <w:sz w:val="20"/>
                <w:szCs w:val="20"/>
                <w:lang w:eastAsia="es-MX"/>
              </w:rPr>
            </w:pPr>
            <w:r w:rsidRPr="00FC3DCE">
              <w:rPr>
                <w:rFonts w:ascii="Arial" w:eastAsia="Times New Roman" w:hAnsi="Arial" w:cs="Arial"/>
                <w:color w:val="000000"/>
                <w:sz w:val="20"/>
                <w:szCs w:val="20"/>
                <w:lang w:eastAsia="es-MX"/>
              </w:rPr>
              <w:t>Lineamiento 7, II.</w:t>
            </w:r>
          </w:p>
        </w:tc>
        <w:tc>
          <w:tcPr>
            <w:tcW w:w="4525" w:type="dxa"/>
            <w:tcBorders>
              <w:top w:val="single" w:sz="4" w:space="0" w:color="auto"/>
              <w:left w:val="nil"/>
              <w:bottom w:val="single" w:sz="4" w:space="0" w:color="auto"/>
              <w:right w:val="single" w:sz="4" w:space="0" w:color="auto"/>
            </w:tcBorders>
            <w:shd w:val="clear" w:color="auto" w:fill="D9E1F2"/>
          </w:tcPr>
          <w:p w14:paraId="7452AA2D" w14:textId="7F4CCFE2" w:rsidR="00851621" w:rsidRPr="00FC3DCE" w:rsidRDefault="00851621" w:rsidP="00851621">
            <w:pPr>
              <w:spacing w:after="0" w:line="240" w:lineRule="auto"/>
              <w:jc w:val="both"/>
              <w:rPr>
                <w:rFonts w:ascii="Arial" w:hAnsi="Arial" w:cs="Arial"/>
                <w:sz w:val="20"/>
                <w:szCs w:val="20"/>
              </w:rPr>
            </w:pPr>
            <w:r w:rsidRPr="00FC3DCE">
              <w:rPr>
                <w:rFonts w:ascii="Arial" w:hAnsi="Arial" w:cs="Arial"/>
                <w:sz w:val="20"/>
                <w:szCs w:val="20"/>
              </w:rPr>
              <w:t xml:space="preserve">En la sección de las metodologías que el INEGI ya está utilizando, en donde los usuarios podrán conocer tanto las versiones elaboradas con posterioridad a la consulta con la sociedad, como las metodologías correspondientes a los proyectos anteriores. </w:t>
            </w:r>
          </w:p>
        </w:tc>
        <w:tc>
          <w:tcPr>
            <w:tcW w:w="4677" w:type="dxa"/>
            <w:tcBorders>
              <w:top w:val="single" w:sz="4" w:space="0" w:color="auto"/>
              <w:left w:val="nil"/>
              <w:bottom w:val="single" w:sz="4" w:space="0" w:color="auto"/>
              <w:right w:val="single" w:sz="4" w:space="0" w:color="auto"/>
            </w:tcBorders>
            <w:shd w:val="clear" w:color="auto" w:fill="D9E1F2"/>
          </w:tcPr>
          <w:p w14:paraId="2A44F4FB" w14:textId="77777777" w:rsidR="00851621" w:rsidRPr="00FC3DCE" w:rsidRDefault="00851621" w:rsidP="00851621">
            <w:pPr>
              <w:spacing w:after="0" w:line="240" w:lineRule="auto"/>
              <w:jc w:val="both"/>
              <w:rPr>
                <w:rFonts w:ascii="Arial" w:hAnsi="Arial" w:cs="Arial"/>
                <w:sz w:val="20"/>
                <w:szCs w:val="20"/>
              </w:rPr>
            </w:pPr>
            <w:r w:rsidRPr="00FC3DCE">
              <w:rPr>
                <w:rFonts w:ascii="Arial" w:hAnsi="Arial" w:cs="Arial"/>
                <w:sz w:val="20"/>
                <w:szCs w:val="20"/>
              </w:rPr>
              <w:t xml:space="preserve">En la sección de las metodologías que el INEGI ya está utilizando, en donde los usuarios podrán conocer tanto las versiones elaboradas con posterioridad a la consulta con la sociedad, como las metodologías correspondientes a los </w:t>
            </w:r>
            <w:r w:rsidRPr="00904EFF">
              <w:rPr>
                <w:rFonts w:ascii="Arial" w:hAnsi="Arial" w:cs="Arial"/>
                <w:color w:val="2E74B5" w:themeColor="accent5" w:themeShade="BF"/>
                <w:sz w:val="20"/>
                <w:szCs w:val="20"/>
              </w:rPr>
              <w:t xml:space="preserve">programas </w:t>
            </w:r>
            <w:r w:rsidRPr="00FC3DCE">
              <w:rPr>
                <w:rFonts w:ascii="Arial" w:hAnsi="Arial" w:cs="Arial"/>
                <w:sz w:val="20"/>
                <w:szCs w:val="20"/>
              </w:rPr>
              <w:t xml:space="preserve">anteriores. </w:t>
            </w:r>
          </w:p>
          <w:p w14:paraId="225782F3" w14:textId="109E76EC" w:rsidR="00851621" w:rsidRPr="00FC3DCE" w:rsidRDefault="00851621" w:rsidP="00851621">
            <w:pPr>
              <w:spacing w:after="0" w:line="240" w:lineRule="auto"/>
              <w:jc w:val="both"/>
              <w:rPr>
                <w:rFonts w:ascii="Arial" w:hAnsi="Arial" w:cs="Arial"/>
                <w:sz w:val="20"/>
                <w:szCs w:val="20"/>
              </w:rPr>
            </w:pPr>
          </w:p>
        </w:tc>
        <w:tc>
          <w:tcPr>
            <w:tcW w:w="3261" w:type="dxa"/>
            <w:tcBorders>
              <w:top w:val="single" w:sz="4" w:space="0" w:color="auto"/>
              <w:left w:val="nil"/>
              <w:bottom w:val="single" w:sz="4" w:space="0" w:color="auto"/>
              <w:right w:val="single" w:sz="4" w:space="0" w:color="auto"/>
            </w:tcBorders>
            <w:shd w:val="clear" w:color="auto" w:fill="D9E1F2"/>
          </w:tcPr>
          <w:p w14:paraId="0B436B8B" w14:textId="77777777" w:rsidR="00E62C1D" w:rsidRPr="00FC3DCE" w:rsidRDefault="00E62C1D" w:rsidP="00E62C1D">
            <w:pPr>
              <w:spacing w:after="0" w:line="240" w:lineRule="auto"/>
              <w:jc w:val="both"/>
              <w:rPr>
                <w:rFonts w:ascii="Arial" w:hAnsi="Arial" w:cs="Arial"/>
                <w:bCs/>
                <w:sz w:val="20"/>
                <w:szCs w:val="20"/>
              </w:rPr>
            </w:pPr>
            <w:r w:rsidRPr="00FC3DCE">
              <w:rPr>
                <w:rFonts w:ascii="Arial" w:hAnsi="Arial" w:cs="Arial"/>
                <w:bCs/>
                <w:sz w:val="20"/>
                <w:szCs w:val="20"/>
              </w:rPr>
              <w:t xml:space="preserve">Sustitución de concepto por </w:t>
            </w:r>
            <w:r>
              <w:rPr>
                <w:rFonts w:ascii="Arial" w:hAnsi="Arial" w:cs="Arial"/>
                <w:bCs/>
                <w:sz w:val="20"/>
                <w:szCs w:val="20"/>
              </w:rPr>
              <w:t>el</w:t>
            </w:r>
            <w:r w:rsidRPr="00FC3DCE">
              <w:rPr>
                <w:rFonts w:ascii="Arial" w:hAnsi="Arial" w:cs="Arial"/>
                <w:bCs/>
                <w:sz w:val="20"/>
                <w:szCs w:val="20"/>
              </w:rPr>
              <w:t xml:space="preserve"> utilizado en la </w:t>
            </w:r>
            <w:r w:rsidRPr="00FC3DCE">
              <w:rPr>
                <w:rFonts w:ascii="Arial" w:hAnsi="Arial" w:cs="Arial"/>
                <w:sz w:val="20"/>
                <w:szCs w:val="20"/>
              </w:rPr>
              <w:t>Norma Técnica del Proceso de Producción de Información Estadística y Geográfica</w:t>
            </w:r>
            <w:r w:rsidRPr="00FC3DCE">
              <w:rPr>
                <w:rFonts w:ascii="Arial" w:hAnsi="Arial" w:cs="Arial"/>
                <w:bCs/>
                <w:sz w:val="20"/>
                <w:szCs w:val="20"/>
              </w:rPr>
              <w:t>.</w:t>
            </w:r>
          </w:p>
          <w:p w14:paraId="03F2A0F6" w14:textId="5C357E84" w:rsidR="00851621" w:rsidRPr="00FC3DCE" w:rsidRDefault="00851621" w:rsidP="00851621">
            <w:pPr>
              <w:spacing w:after="0" w:line="240" w:lineRule="auto"/>
              <w:jc w:val="both"/>
              <w:rPr>
                <w:rFonts w:ascii="Arial" w:eastAsia="Times New Roman" w:hAnsi="Arial" w:cs="Arial"/>
                <w:color w:val="000000"/>
                <w:sz w:val="20"/>
                <w:szCs w:val="20"/>
                <w:lang w:eastAsia="es-MX"/>
              </w:rPr>
            </w:pPr>
          </w:p>
        </w:tc>
      </w:tr>
      <w:tr w:rsidR="00851621" w:rsidRPr="00FC3DCE" w14:paraId="6CEA71D0" w14:textId="3F25108A" w:rsidTr="00FC3DCE">
        <w:trPr>
          <w:trHeight w:val="1500"/>
          <w:jc w:val="center"/>
        </w:trPr>
        <w:tc>
          <w:tcPr>
            <w:tcW w:w="1561" w:type="dxa"/>
            <w:tcBorders>
              <w:top w:val="single" w:sz="4" w:space="0" w:color="auto"/>
              <w:left w:val="single" w:sz="4" w:space="0" w:color="auto"/>
              <w:bottom w:val="single" w:sz="4" w:space="0" w:color="auto"/>
              <w:right w:val="single" w:sz="4" w:space="0" w:color="auto"/>
            </w:tcBorders>
            <w:shd w:val="clear" w:color="auto" w:fill="D9E1F2"/>
            <w:hideMark/>
          </w:tcPr>
          <w:p w14:paraId="53341755" w14:textId="77777777" w:rsidR="00851621" w:rsidRPr="00FC3DCE" w:rsidRDefault="00851621" w:rsidP="00851621">
            <w:pPr>
              <w:spacing w:after="0" w:line="240" w:lineRule="auto"/>
              <w:jc w:val="both"/>
              <w:rPr>
                <w:rFonts w:ascii="Arial" w:eastAsia="Times New Roman" w:hAnsi="Arial" w:cs="Arial"/>
                <w:color w:val="000000"/>
                <w:sz w:val="20"/>
                <w:szCs w:val="20"/>
                <w:lang w:eastAsia="es-MX"/>
              </w:rPr>
            </w:pPr>
            <w:r w:rsidRPr="00FC3DCE">
              <w:rPr>
                <w:rFonts w:ascii="Arial" w:eastAsia="Times New Roman" w:hAnsi="Arial" w:cs="Arial"/>
                <w:color w:val="000000"/>
                <w:sz w:val="20"/>
                <w:szCs w:val="20"/>
                <w:lang w:eastAsia="es-MX"/>
              </w:rPr>
              <w:t>Lineamiento 8.</w:t>
            </w:r>
          </w:p>
        </w:tc>
        <w:tc>
          <w:tcPr>
            <w:tcW w:w="4525" w:type="dxa"/>
            <w:tcBorders>
              <w:top w:val="single" w:sz="4" w:space="0" w:color="auto"/>
              <w:left w:val="single" w:sz="4" w:space="0" w:color="auto"/>
              <w:bottom w:val="single" w:sz="4" w:space="0" w:color="auto"/>
              <w:right w:val="single" w:sz="4" w:space="0" w:color="auto"/>
            </w:tcBorders>
            <w:shd w:val="clear" w:color="auto" w:fill="D9E1F2"/>
            <w:hideMark/>
          </w:tcPr>
          <w:p w14:paraId="106FF791" w14:textId="77777777" w:rsidR="00851621" w:rsidRPr="00FC3DCE" w:rsidRDefault="00851621" w:rsidP="00851621">
            <w:pPr>
              <w:spacing w:after="0" w:line="240" w:lineRule="auto"/>
              <w:jc w:val="both"/>
              <w:rPr>
                <w:rFonts w:ascii="Arial" w:eastAsia="Times New Roman" w:hAnsi="Arial" w:cs="Arial"/>
                <w:color w:val="000000"/>
                <w:sz w:val="20"/>
                <w:szCs w:val="20"/>
                <w:lang w:eastAsia="es-MX"/>
              </w:rPr>
            </w:pPr>
            <w:r w:rsidRPr="00FC3DCE">
              <w:rPr>
                <w:rFonts w:ascii="Arial" w:eastAsia="Times New Roman" w:hAnsi="Arial" w:cs="Arial"/>
                <w:color w:val="000000"/>
                <w:sz w:val="20"/>
                <w:szCs w:val="20"/>
                <w:lang w:eastAsia="es-MX"/>
              </w:rPr>
              <w:t>Sin menoscabo de lo anterior, el INEGI recibirá, en cualquier momento, las observaciones y sugerencias que la sociedad y las Unidades de Estado hagan a las metodologías que utiliza para la generación, integración y difusión de la Información de Interés Nacional.</w:t>
            </w:r>
          </w:p>
        </w:tc>
        <w:tc>
          <w:tcPr>
            <w:tcW w:w="4677" w:type="dxa"/>
            <w:tcBorders>
              <w:top w:val="single" w:sz="4" w:space="0" w:color="auto"/>
              <w:left w:val="single" w:sz="4" w:space="0" w:color="auto"/>
              <w:bottom w:val="single" w:sz="4" w:space="0" w:color="auto"/>
              <w:right w:val="single" w:sz="4" w:space="0" w:color="auto"/>
            </w:tcBorders>
            <w:shd w:val="clear" w:color="auto" w:fill="D9E1F2"/>
            <w:hideMark/>
          </w:tcPr>
          <w:p w14:paraId="68CD62A1" w14:textId="5987F659" w:rsidR="00851621" w:rsidRPr="00FC3DCE" w:rsidRDefault="00851621" w:rsidP="00851621">
            <w:pPr>
              <w:spacing w:after="0" w:line="240" w:lineRule="auto"/>
              <w:jc w:val="both"/>
              <w:rPr>
                <w:rFonts w:ascii="Arial" w:eastAsia="Times New Roman" w:hAnsi="Arial" w:cs="Arial"/>
                <w:color w:val="000000"/>
                <w:sz w:val="20"/>
                <w:szCs w:val="20"/>
                <w:lang w:eastAsia="es-MX"/>
              </w:rPr>
            </w:pPr>
            <w:r w:rsidRPr="00FC3DCE">
              <w:rPr>
                <w:rFonts w:ascii="Arial" w:eastAsia="Times New Roman" w:hAnsi="Arial" w:cs="Arial"/>
                <w:color w:val="000000"/>
                <w:sz w:val="20"/>
                <w:szCs w:val="20"/>
                <w:lang w:eastAsia="es-MX"/>
              </w:rPr>
              <w:t xml:space="preserve">Sin menoscabo de lo anterior, el INEGI recibirá, en cualquier momento, las observaciones y sugerencias que la sociedad y las Unidades </w:t>
            </w:r>
            <w:r w:rsidRPr="00904EFF">
              <w:rPr>
                <w:rFonts w:ascii="Arial" w:eastAsia="Times New Roman" w:hAnsi="Arial" w:cs="Arial"/>
                <w:color w:val="2E74B5" w:themeColor="accent5" w:themeShade="BF"/>
                <w:sz w:val="20"/>
                <w:szCs w:val="20"/>
                <w:lang w:eastAsia="es-MX"/>
              </w:rPr>
              <w:t xml:space="preserve">del </w:t>
            </w:r>
            <w:r w:rsidRPr="00FC3DCE">
              <w:rPr>
                <w:rFonts w:ascii="Arial" w:eastAsia="Times New Roman" w:hAnsi="Arial" w:cs="Arial"/>
                <w:color w:val="000000"/>
                <w:sz w:val="20"/>
                <w:szCs w:val="20"/>
                <w:lang w:eastAsia="es-MX"/>
              </w:rPr>
              <w:t>Estado hagan a las metodologías que utiliza para la generación, integración y difusión de la Información de Interés Nacional.</w:t>
            </w:r>
          </w:p>
          <w:p w14:paraId="5002A5C6" w14:textId="01C141DC" w:rsidR="00851621" w:rsidRPr="00FC3DCE" w:rsidRDefault="00851621" w:rsidP="00851621">
            <w:pPr>
              <w:spacing w:after="0" w:line="240" w:lineRule="auto"/>
              <w:jc w:val="both"/>
              <w:rPr>
                <w:rFonts w:ascii="Arial" w:eastAsia="Times New Roman" w:hAnsi="Arial" w:cs="Arial"/>
                <w:color w:val="000000"/>
                <w:sz w:val="20"/>
                <w:szCs w:val="20"/>
                <w:lang w:eastAsia="es-MX"/>
              </w:rPr>
            </w:pPr>
          </w:p>
          <w:p w14:paraId="6E084672" w14:textId="77777777" w:rsidR="00851621" w:rsidRPr="00FC3DCE" w:rsidRDefault="00851621" w:rsidP="00851621">
            <w:pPr>
              <w:spacing w:after="0" w:line="240" w:lineRule="auto"/>
              <w:jc w:val="both"/>
              <w:rPr>
                <w:rFonts w:ascii="Arial" w:eastAsia="Times New Roman" w:hAnsi="Arial" w:cs="Arial"/>
                <w:color w:val="000000"/>
                <w:sz w:val="20"/>
                <w:szCs w:val="20"/>
                <w:lang w:eastAsia="es-MX"/>
              </w:rPr>
            </w:pPr>
          </w:p>
          <w:p w14:paraId="3279276E" w14:textId="3FBDA0C4" w:rsidR="00851621" w:rsidRPr="00FC3DCE" w:rsidRDefault="00851621" w:rsidP="00851621">
            <w:pPr>
              <w:spacing w:after="0" w:line="240" w:lineRule="auto"/>
              <w:jc w:val="both"/>
              <w:rPr>
                <w:rFonts w:ascii="Arial" w:eastAsia="Times New Roman" w:hAnsi="Arial" w:cs="Arial"/>
                <w:color w:val="000000"/>
                <w:sz w:val="20"/>
                <w:szCs w:val="20"/>
                <w:lang w:eastAsia="es-MX"/>
              </w:rPr>
            </w:pPr>
          </w:p>
        </w:tc>
        <w:tc>
          <w:tcPr>
            <w:tcW w:w="3261" w:type="dxa"/>
            <w:tcBorders>
              <w:top w:val="single" w:sz="4" w:space="0" w:color="auto"/>
              <w:left w:val="single" w:sz="4" w:space="0" w:color="auto"/>
              <w:bottom w:val="single" w:sz="4" w:space="0" w:color="auto"/>
              <w:right w:val="single" w:sz="4" w:space="0" w:color="auto"/>
            </w:tcBorders>
            <w:shd w:val="clear" w:color="auto" w:fill="D9E1F2"/>
          </w:tcPr>
          <w:p w14:paraId="0BF8622A" w14:textId="038C73A3" w:rsidR="00851621" w:rsidRPr="00FC3DCE" w:rsidRDefault="00851621" w:rsidP="00851621">
            <w:pPr>
              <w:spacing w:after="0" w:line="240" w:lineRule="auto"/>
              <w:jc w:val="both"/>
              <w:rPr>
                <w:rFonts w:ascii="Arial" w:eastAsia="Times New Roman" w:hAnsi="Arial" w:cs="Arial"/>
                <w:color w:val="000000"/>
                <w:sz w:val="20"/>
                <w:szCs w:val="20"/>
                <w:lang w:eastAsia="es-MX"/>
              </w:rPr>
            </w:pPr>
            <w:r w:rsidRPr="00FC3DCE">
              <w:rPr>
                <w:rFonts w:ascii="Arial" w:eastAsia="Times New Roman" w:hAnsi="Arial" w:cs="Arial"/>
                <w:color w:val="000000" w:themeColor="text1"/>
                <w:sz w:val="20"/>
                <w:szCs w:val="20"/>
                <w:lang w:eastAsia="es-MX"/>
              </w:rPr>
              <w:t>Corrección; según la LSNIEG el concepto correcto es “Unidades del Estado”.</w:t>
            </w:r>
          </w:p>
        </w:tc>
      </w:tr>
      <w:tr w:rsidR="00004E45" w:rsidRPr="00FC3DCE" w14:paraId="6AADB7E8" w14:textId="77777777" w:rsidTr="00FC3DCE">
        <w:trPr>
          <w:trHeight w:val="1500"/>
          <w:jc w:val="center"/>
        </w:trPr>
        <w:tc>
          <w:tcPr>
            <w:tcW w:w="1561" w:type="dxa"/>
            <w:tcBorders>
              <w:top w:val="single" w:sz="4" w:space="0" w:color="auto"/>
              <w:left w:val="single" w:sz="4" w:space="0" w:color="auto"/>
              <w:bottom w:val="single" w:sz="4" w:space="0" w:color="auto"/>
              <w:right w:val="single" w:sz="4" w:space="0" w:color="auto"/>
            </w:tcBorders>
            <w:shd w:val="clear" w:color="auto" w:fill="D9E1F2"/>
          </w:tcPr>
          <w:p w14:paraId="73B046E1" w14:textId="2BFD531F" w:rsidR="00004E45" w:rsidRPr="00FC3DCE" w:rsidRDefault="00004E45" w:rsidP="00004E45">
            <w:pPr>
              <w:spacing w:after="0" w:line="240" w:lineRule="auto"/>
              <w:jc w:val="both"/>
              <w:rPr>
                <w:rFonts w:ascii="Arial" w:eastAsia="Times New Roman" w:hAnsi="Arial" w:cs="Arial"/>
                <w:color w:val="000000"/>
                <w:sz w:val="20"/>
                <w:szCs w:val="20"/>
                <w:lang w:eastAsia="es-MX"/>
              </w:rPr>
            </w:pPr>
            <w:r w:rsidRPr="00FC3DCE">
              <w:rPr>
                <w:rFonts w:ascii="Arial" w:eastAsia="Times New Roman" w:hAnsi="Arial" w:cs="Arial"/>
                <w:color w:val="000000"/>
                <w:sz w:val="20"/>
                <w:szCs w:val="20"/>
                <w:lang w:eastAsia="es-MX"/>
              </w:rPr>
              <w:t xml:space="preserve">Lineamiento </w:t>
            </w:r>
            <w:r>
              <w:rPr>
                <w:rFonts w:ascii="Arial" w:eastAsia="Times New Roman" w:hAnsi="Arial" w:cs="Arial"/>
                <w:color w:val="000000"/>
                <w:sz w:val="20"/>
                <w:szCs w:val="20"/>
                <w:lang w:eastAsia="es-MX"/>
              </w:rPr>
              <w:t>9</w:t>
            </w:r>
            <w:r w:rsidRPr="00FC3DCE">
              <w:rPr>
                <w:rFonts w:ascii="Arial" w:eastAsia="Times New Roman" w:hAnsi="Arial" w:cs="Arial"/>
                <w:color w:val="000000"/>
                <w:sz w:val="20"/>
                <w:szCs w:val="20"/>
                <w:lang w:eastAsia="es-MX"/>
              </w:rPr>
              <w:t>.</w:t>
            </w:r>
          </w:p>
        </w:tc>
        <w:tc>
          <w:tcPr>
            <w:tcW w:w="4525" w:type="dxa"/>
            <w:tcBorders>
              <w:top w:val="single" w:sz="4" w:space="0" w:color="auto"/>
              <w:left w:val="single" w:sz="4" w:space="0" w:color="auto"/>
              <w:bottom w:val="single" w:sz="4" w:space="0" w:color="auto"/>
              <w:right w:val="single" w:sz="4" w:space="0" w:color="auto"/>
            </w:tcBorders>
            <w:shd w:val="clear" w:color="auto" w:fill="D9E1F2"/>
          </w:tcPr>
          <w:p w14:paraId="4C9C2112" w14:textId="306A905F" w:rsidR="00004E45" w:rsidRPr="00FC3DCE" w:rsidRDefault="00004E45" w:rsidP="00004E45">
            <w:pPr>
              <w:spacing w:after="0" w:line="240" w:lineRule="auto"/>
              <w:jc w:val="both"/>
              <w:rPr>
                <w:rFonts w:ascii="Arial" w:eastAsia="Times New Roman" w:hAnsi="Arial" w:cs="Arial"/>
                <w:color w:val="000000"/>
                <w:sz w:val="20"/>
                <w:szCs w:val="20"/>
                <w:lang w:eastAsia="es-MX"/>
              </w:rPr>
            </w:pPr>
            <w:r w:rsidRPr="000C2FE5">
              <w:rPr>
                <w:rFonts w:ascii="Arial" w:eastAsia="Times New Roman" w:hAnsi="Arial" w:cs="Arial"/>
                <w:color w:val="000000"/>
                <w:sz w:val="20"/>
                <w:szCs w:val="20"/>
                <w:lang w:eastAsia="es-MX"/>
              </w:rPr>
              <w:t>Para las Actividades Estadísticas y Geográficas cuyas metodologías se sometan a consulta, el INEGI difundirá objetivos, temática y conceptos, tipo de proyecto, forma de captación de datos, tipo de procesamiento y principales productos para la divulgación y conservación de la información.</w:t>
            </w:r>
          </w:p>
        </w:tc>
        <w:tc>
          <w:tcPr>
            <w:tcW w:w="4677" w:type="dxa"/>
            <w:tcBorders>
              <w:top w:val="single" w:sz="4" w:space="0" w:color="auto"/>
              <w:left w:val="single" w:sz="4" w:space="0" w:color="auto"/>
              <w:bottom w:val="single" w:sz="4" w:space="0" w:color="auto"/>
              <w:right w:val="single" w:sz="4" w:space="0" w:color="auto"/>
            </w:tcBorders>
            <w:shd w:val="clear" w:color="auto" w:fill="D9E1F2"/>
          </w:tcPr>
          <w:p w14:paraId="1CAD88C8" w14:textId="3C9F3ABC" w:rsidR="00004E45" w:rsidRPr="00FC3DCE" w:rsidRDefault="00004E45" w:rsidP="00004E45">
            <w:pPr>
              <w:spacing w:after="0" w:line="240" w:lineRule="auto"/>
              <w:jc w:val="both"/>
              <w:rPr>
                <w:rFonts w:ascii="Arial" w:eastAsia="Times New Roman" w:hAnsi="Arial" w:cs="Arial"/>
                <w:color w:val="000000"/>
                <w:sz w:val="20"/>
                <w:szCs w:val="20"/>
                <w:lang w:eastAsia="es-MX"/>
              </w:rPr>
            </w:pPr>
            <w:r w:rsidRPr="00004E45">
              <w:rPr>
                <w:rFonts w:ascii="Arial" w:eastAsia="Times New Roman" w:hAnsi="Arial" w:cs="Arial"/>
                <w:color w:val="000000"/>
                <w:sz w:val="20"/>
                <w:szCs w:val="20"/>
                <w:lang w:eastAsia="es-MX"/>
              </w:rPr>
              <w:t xml:space="preserve">Para las Actividades Estadísticas y Geográficas cuyas metodologías se sometan a consulta, el INEGI difundirá objetivos, temática y conceptos, tipo de </w:t>
            </w:r>
            <w:r w:rsidRPr="00004E45">
              <w:rPr>
                <w:rFonts w:ascii="Arial" w:eastAsia="Times New Roman" w:hAnsi="Arial" w:cs="Arial"/>
                <w:color w:val="2E74B5" w:themeColor="accent5" w:themeShade="BF"/>
                <w:sz w:val="20"/>
                <w:szCs w:val="20"/>
                <w:lang w:eastAsia="es-MX"/>
              </w:rPr>
              <w:t>programa</w:t>
            </w:r>
            <w:r w:rsidRPr="00004E45">
              <w:rPr>
                <w:rFonts w:ascii="Arial" w:eastAsia="Times New Roman" w:hAnsi="Arial" w:cs="Arial"/>
                <w:color w:val="000000"/>
                <w:sz w:val="20"/>
                <w:szCs w:val="20"/>
                <w:lang w:eastAsia="es-MX"/>
              </w:rPr>
              <w:t>, forma de captación de datos, tipo de procesamiento y principales productos para la divulgación y conservación de la información.</w:t>
            </w:r>
          </w:p>
        </w:tc>
        <w:tc>
          <w:tcPr>
            <w:tcW w:w="3261" w:type="dxa"/>
            <w:tcBorders>
              <w:top w:val="single" w:sz="4" w:space="0" w:color="auto"/>
              <w:left w:val="single" w:sz="4" w:space="0" w:color="auto"/>
              <w:bottom w:val="single" w:sz="4" w:space="0" w:color="auto"/>
              <w:right w:val="single" w:sz="4" w:space="0" w:color="auto"/>
            </w:tcBorders>
            <w:shd w:val="clear" w:color="auto" w:fill="D9E1F2"/>
          </w:tcPr>
          <w:p w14:paraId="1355861B" w14:textId="77777777" w:rsidR="006805EF" w:rsidRPr="00FC3DCE" w:rsidRDefault="006805EF" w:rsidP="006805EF">
            <w:pPr>
              <w:spacing w:after="0" w:line="240" w:lineRule="auto"/>
              <w:jc w:val="both"/>
              <w:rPr>
                <w:rFonts w:ascii="Arial" w:hAnsi="Arial" w:cs="Arial"/>
                <w:bCs/>
                <w:sz w:val="20"/>
                <w:szCs w:val="20"/>
              </w:rPr>
            </w:pPr>
            <w:r w:rsidRPr="00FC3DCE">
              <w:rPr>
                <w:rFonts w:ascii="Arial" w:hAnsi="Arial" w:cs="Arial"/>
                <w:bCs/>
                <w:sz w:val="20"/>
                <w:szCs w:val="20"/>
              </w:rPr>
              <w:t xml:space="preserve">Sustitución de concepto por </w:t>
            </w:r>
            <w:r>
              <w:rPr>
                <w:rFonts w:ascii="Arial" w:hAnsi="Arial" w:cs="Arial"/>
                <w:bCs/>
                <w:sz w:val="20"/>
                <w:szCs w:val="20"/>
              </w:rPr>
              <w:t>el</w:t>
            </w:r>
            <w:r w:rsidRPr="00FC3DCE">
              <w:rPr>
                <w:rFonts w:ascii="Arial" w:hAnsi="Arial" w:cs="Arial"/>
                <w:bCs/>
                <w:sz w:val="20"/>
                <w:szCs w:val="20"/>
              </w:rPr>
              <w:t xml:space="preserve"> utilizado en la </w:t>
            </w:r>
            <w:r w:rsidRPr="00FC3DCE">
              <w:rPr>
                <w:rFonts w:ascii="Arial" w:hAnsi="Arial" w:cs="Arial"/>
                <w:sz w:val="20"/>
                <w:szCs w:val="20"/>
              </w:rPr>
              <w:t>Norma Técnica del Proceso de Producción de Información Estadística y Geográfica</w:t>
            </w:r>
            <w:r w:rsidRPr="00FC3DCE">
              <w:rPr>
                <w:rFonts w:ascii="Arial" w:hAnsi="Arial" w:cs="Arial"/>
                <w:bCs/>
                <w:sz w:val="20"/>
                <w:szCs w:val="20"/>
              </w:rPr>
              <w:t>.</w:t>
            </w:r>
          </w:p>
          <w:p w14:paraId="486520F2" w14:textId="444482AA" w:rsidR="00004E45" w:rsidRPr="00FC3DCE" w:rsidRDefault="00004E45" w:rsidP="00004E45">
            <w:pPr>
              <w:spacing w:after="0" w:line="240" w:lineRule="auto"/>
              <w:jc w:val="both"/>
              <w:rPr>
                <w:rFonts w:ascii="Arial" w:eastAsia="Times New Roman" w:hAnsi="Arial" w:cs="Arial"/>
                <w:color w:val="000000" w:themeColor="text1"/>
                <w:sz w:val="20"/>
                <w:szCs w:val="20"/>
                <w:lang w:eastAsia="es-MX"/>
              </w:rPr>
            </w:pPr>
          </w:p>
        </w:tc>
      </w:tr>
      <w:tr w:rsidR="00004E45" w:rsidRPr="00FC3DCE" w14:paraId="4FD42668" w14:textId="52DAAB8A" w:rsidTr="00FC3DCE">
        <w:trPr>
          <w:trHeight w:val="1200"/>
          <w:jc w:val="center"/>
        </w:trPr>
        <w:tc>
          <w:tcPr>
            <w:tcW w:w="1561" w:type="dxa"/>
            <w:tcBorders>
              <w:top w:val="single" w:sz="4" w:space="0" w:color="auto"/>
              <w:left w:val="single" w:sz="4" w:space="0" w:color="auto"/>
              <w:bottom w:val="single" w:sz="4" w:space="0" w:color="auto"/>
              <w:right w:val="single" w:sz="4" w:space="0" w:color="auto"/>
            </w:tcBorders>
            <w:shd w:val="clear" w:color="auto" w:fill="D9E1F2"/>
            <w:hideMark/>
          </w:tcPr>
          <w:p w14:paraId="6F106DDD" w14:textId="77777777" w:rsidR="00004E45" w:rsidRPr="00FC3DCE" w:rsidRDefault="00004E45" w:rsidP="00004E45">
            <w:pPr>
              <w:spacing w:after="0" w:line="240" w:lineRule="auto"/>
              <w:jc w:val="both"/>
              <w:rPr>
                <w:rFonts w:ascii="Arial" w:eastAsia="Times New Roman" w:hAnsi="Arial" w:cs="Arial"/>
                <w:color w:val="000000"/>
                <w:sz w:val="20"/>
                <w:szCs w:val="20"/>
                <w:lang w:eastAsia="es-MX"/>
              </w:rPr>
            </w:pPr>
            <w:r w:rsidRPr="00FC3DCE">
              <w:rPr>
                <w:rFonts w:ascii="Arial" w:eastAsia="Times New Roman" w:hAnsi="Arial" w:cs="Arial"/>
                <w:color w:val="000000"/>
                <w:sz w:val="20"/>
                <w:szCs w:val="20"/>
                <w:lang w:eastAsia="es-MX"/>
              </w:rPr>
              <w:t>Lineamiento 12.</w:t>
            </w:r>
          </w:p>
        </w:tc>
        <w:tc>
          <w:tcPr>
            <w:tcW w:w="4525" w:type="dxa"/>
            <w:tcBorders>
              <w:top w:val="single" w:sz="4" w:space="0" w:color="auto"/>
              <w:left w:val="nil"/>
              <w:bottom w:val="single" w:sz="4" w:space="0" w:color="auto"/>
              <w:right w:val="single" w:sz="4" w:space="0" w:color="auto"/>
            </w:tcBorders>
            <w:shd w:val="clear" w:color="auto" w:fill="D9E1F2"/>
            <w:hideMark/>
          </w:tcPr>
          <w:p w14:paraId="645399AA" w14:textId="2FFD6855" w:rsidR="00004E45" w:rsidRPr="00FC3DCE" w:rsidRDefault="00004E45" w:rsidP="00004E45">
            <w:pPr>
              <w:spacing w:after="0" w:line="240" w:lineRule="auto"/>
              <w:jc w:val="both"/>
              <w:rPr>
                <w:rFonts w:ascii="Arial" w:eastAsia="Times New Roman" w:hAnsi="Arial" w:cs="Arial"/>
                <w:color w:val="000000"/>
                <w:sz w:val="20"/>
                <w:szCs w:val="20"/>
                <w:lang w:eastAsia="es-MX"/>
              </w:rPr>
            </w:pPr>
            <w:r w:rsidRPr="00FC3DCE">
              <w:rPr>
                <w:rFonts w:ascii="Arial" w:hAnsi="Arial" w:cs="Arial"/>
                <w:sz w:val="20"/>
                <w:szCs w:val="20"/>
              </w:rPr>
              <w:t>La aplicación</w:t>
            </w:r>
            <w:r w:rsidRPr="00FC3DCE">
              <w:rPr>
                <w:rFonts w:ascii="Arial" w:hAnsi="Arial" w:cs="Arial"/>
                <w:b/>
                <w:sz w:val="20"/>
                <w:szCs w:val="20"/>
              </w:rPr>
              <w:t xml:space="preserve"> </w:t>
            </w:r>
            <w:r w:rsidRPr="00FC3DCE">
              <w:rPr>
                <w:rFonts w:ascii="Arial" w:hAnsi="Arial" w:cs="Arial"/>
                <w:sz w:val="20"/>
                <w:szCs w:val="20"/>
              </w:rPr>
              <w:t>e interpretación de los presentes Lineamientos, para efectos administrativos, corresponde a la Dirección General del Servicio Público de Información del INEGI, quien resolverá los casos no previstos en los mismos.</w:t>
            </w:r>
          </w:p>
        </w:tc>
        <w:tc>
          <w:tcPr>
            <w:tcW w:w="4677" w:type="dxa"/>
            <w:tcBorders>
              <w:top w:val="single" w:sz="4" w:space="0" w:color="auto"/>
              <w:left w:val="nil"/>
              <w:bottom w:val="single" w:sz="4" w:space="0" w:color="auto"/>
              <w:right w:val="single" w:sz="4" w:space="0" w:color="auto"/>
            </w:tcBorders>
            <w:shd w:val="clear" w:color="auto" w:fill="D9E1F2"/>
            <w:hideMark/>
          </w:tcPr>
          <w:p w14:paraId="763AFBA0" w14:textId="12BA0700" w:rsidR="00004E45" w:rsidRPr="00FC3DCE" w:rsidRDefault="00004E45" w:rsidP="00004E45">
            <w:pPr>
              <w:spacing w:after="0" w:line="240" w:lineRule="auto"/>
              <w:jc w:val="both"/>
              <w:rPr>
                <w:rFonts w:ascii="Arial" w:eastAsia="Times New Roman" w:hAnsi="Arial" w:cs="Arial"/>
                <w:color w:val="000000"/>
                <w:sz w:val="20"/>
                <w:szCs w:val="20"/>
                <w:lang w:eastAsia="es-MX"/>
              </w:rPr>
            </w:pPr>
            <w:r w:rsidRPr="00FC3DCE">
              <w:rPr>
                <w:rFonts w:ascii="Arial" w:hAnsi="Arial" w:cs="Arial"/>
                <w:sz w:val="20"/>
                <w:szCs w:val="20"/>
              </w:rPr>
              <w:t>La aplicación</w:t>
            </w:r>
            <w:r w:rsidRPr="00FC3DCE">
              <w:rPr>
                <w:rFonts w:ascii="Arial" w:hAnsi="Arial" w:cs="Arial"/>
                <w:b/>
                <w:sz w:val="20"/>
                <w:szCs w:val="20"/>
              </w:rPr>
              <w:t xml:space="preserve"> </w:t>
            </w:r>
            <w:r w:rsidRPr="00FC3DCE">
              <w:rPr>
                <w:rFonts w:ascii="Arial" w:hAnsi="Arial" w:cs="Arial"/>
                <w:sz w:val="20"/>
                <w:szCs w:val="20"/>
              </w:rPr>
              <w:t xml:space="preserve">e interpretación de los presentes Lineamientos, para efectos administrativos, corresponde a la </w:t>
            </w:r>
            <w:r w:rsidRPr="00904EFF">
              <w:rPr>
                <w:rFonts w:ascii="Arial" w:hAnsi="Arial" w:cs="Arial"/>
                <w:color w:val="2E74B5" w:themeColor="accent5" w:themeShade="BF"/>
                <w:sz w:val="20"/>
                <w:szCs w:val="20"/>
              </w:rPr>
              <w:t>Dirección de Integración, Análisis e Investigación</w:t>
            </w:r>
            <w:r w:rsidRPr="00FC3DCE">
              <w:rPr>
                <w:rFonts w:ascii="Arial" w:hAnsi="Arial" w:cs="Arial"/>
                <w:color w:val="FF0000"/>
                <w:sz w:val="20"/>
                <w:szCs w:val="20"/>
              </w:rPr>
              <w:t xml:space="preserve"> </w:t>
            </w:r>
            <w:r w:rsidRPr="00FC3DCE">
              <w:rPr>
                <w:rFonts w:ascii="Arial" w:hAnsi="Arial" w:cs="Arial"/>
                <w:sz w:val="20"/>
                <w:szCs w:val="20"/>
              </w:rPr>
              <w:t>del INEGI, quien resolverá los casos no previstos en los mismos.</w:t>
            </w:r>
          </w:p>
        </w:tc>
        <w:tc>
          <w:tcPr>
            <w:tcW w:w="3261" w:type="dxa"/>
            <w:tcBorders>
              <w:top w:val="single" w:sz="4" w:space="0" w:color="auto"/>
              <w:left w:val="nil"/>
              <w:bottom w:val="single" w:sz="4" w:space="0" w:color="auto"/>
              <w:right w:val="single" w:sz="4" w:space="0" w:color="auto"/>
            </w:tcBorders>
            <w:shd w:val="clear" w:color="auto" w:fill="D9E1F2"/>
          </w:tcPr>
          <w:p w14:paraId="29F3B582" w14:textId="4C031CEF" w:rsidR="00004E45" w:rsidRPr="00FC3DCE" w:rsidRDefault="00004E45" w:rsidP="00004E45">
            <w:pPr>
              <w:spacing w:after="0" w:line="240" w:lineRule="auto"/>
              <w:jc w:val="both"/>
              <w:rPr>
                <w:rFonts w:ascii="Arial" w:eastAsia="Times New Roman" w:hAnsi="Arial" w:cs="Arial"/>
                <w:color w:val="000000"/>
                <w:sz w:val="20"/>
                <w:szCs w:val="20"/>
                <w:lang w:eastAsia="es-MX"/>
              </w:rPr>
            </w:pPr>
            <w:r w:rsidRPr="00FC3DCE">
              <w:rPr>
                <w:rFonts w:ascii="Arial" w:eastAsia="Times New Roman" w:hAnsi="Arial" w:cs="Arial"/>
                <w:color w:val="000000"/>
                <w:sz w:val="20"/>
                <w:szCs w:val="20"/>
                <w:lang w:eastAsia="es-MX"/>
              </w:rPr>
              <w:t>Actualización.</w:t>
            </w:r>
          </w:p>
        </w:tc>
      </w:tr>
      <w:tr w:rsidR="00004E45" w:rsidRPr="00E958CE" w14:paraId="5C761DE5" w14:textId="77777777" w:rsidTr="00FC5025">
        <w:trPr>
          <w:trHeight w:val="435"/>
          <w:jc w:val="center"/>
        </w:trPr>
        <w:tc>
          <w:tcPr>
            <w:tcW w:w="1561"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hideMark/>
          </w:tcPr>
          <w:p w14:paraId="369C9AE0" w14:textId="77777777" w:rsidR="00004E45" w:rsidRPr="00F549A4" w:rsidRDefault="00004E45" w:rsidP="00004E45">
            <w:pPr>
              <w:spacing w:after="0" w:line="240" w:lineRule="auto"/>
              <w:jc w:val="center"/>
              <w:rPr>
                <w:rFonts w:ascii="Calibri" w:eastAsia="Times New Roman" w:hAnsi="Calibri" w:cs="Calibri"/>
                <w:b/>
                <w:bCs/>
                <w:color w:val="FFFFFF"/>
                <w:sz w:val="28"/>
                <w:szCs w:val="28"/>
                <w:lang w:eastAsia="es-MX"/>
              </w:rPr>
            </w:pPr>
            <w:r w:rsidRPr="00F549A4">
              <w:rPr>
                <w:rFonts w:ascii="Calibri" w:eastAsia="Times New Roman" w:hAnsi="Calibri" w:cs="Calibri"/>
                <w:b/>
                <w:bCs/>
                <w:color w:val="FFFFFF"/>
                <w:sz w:val="28"/>
                <w:szCs w:val="28"/>
                <w:lang w:eastAsia="es-MX"/>
              </w:rPr>
              <w:lastRenderedPageBreak/>
              <w:t>Referencia</w:t>
            </w:r>
          </w:p>
        </w:tc>
        <w:tc>
          <w:tcPr>
            <w:tcW w:w="4525"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14:paraId="30EE42B1" w14:textId="77777777" w:rsidR="00004E45" w:rsidRPr="00F549A4" w:rsidRDefault="00004E45" w:rsidP="00004E45">
            <w:pPr>
              <w:spacing w:after="0" w:line="240" w:lineRule="auto"/>
              <w:jc w:val="center"/>
              <w:rPr>
                <w:rFonts w:ascii="Calibri" w:eastAsia="Times New Roman" w:hAnsi="Calibri" w:cs="Calibri"/>
                <w:b/>
                <w:bCs/>
                <w:color w:val="FFFFFF"/>
                <w:sz w:val="28"/>
                <w:szCs w:val="28"/>
                <w:lang w:eastAsia="es-MX"/>
              </w:rPr>
            </w:pPr>
            <w:r w:rsidRPr="00F549A4">
              <w:rPr>
                <w:rFonts w:ascii="Calibri" w:eastAsia="Times New Roman" w:hAnsi="Calibri" w:cs="Calibri"/>
                <w:b/>
                <w:bCs/>
                <w:color w:val="FFFFFF"/>
                <w:sz w:val="28"/>
                <w:szCs w:val="28"/>
                <w:lang w:eastAsia="es-MX"/>
              </w:rPr>
              <w:t>Dice:</w:t>
            </w:r>
          </w:p>
        </w:tc>
        <w:tc>
          <w:tcPr>
            <w:tcW w:w="4677"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14:paraId="3F81466F" w14:textId="77777777" w:rsidR="00004E45" w:rsidRPr="00F549A4" w:rsidRDefault="00004E45" w:rsidP="00004E45">
            <w:pPr>
              <w:spacing w:after="0" w:line="240" w:lineRule="auto"/>
              <w:jc w:val="center"/>
              <w:rPr>
                <w:rFonts w:ascii="Calibri" w:eastAsia="Times New Roman" w:hAnsi="Calibri" w:cs="Calibri"/>
                <w:b/>
                <w:bCs/>
                <w:color w:val="FFFFFF"/>
                <w:sz w:val="28"/>
                <w:szCs w:val="28"/>
                <w:lang w:eastAsia="es-MX"/>
              </w:rPr>
            </w:pPr>
            <w:r w:rsidRPr="00F549A4">
              <w:rPr>
                <w:rFonts w:ascii="Calibri" w:eastAsia="Times New Roman" w:hAnsi="Calibri" w:cs="Calibri"/>
                <w:b/>
                <w:bCs/>
                <w:color w:val="FFFFFF"/>
                <w:sz w:val="28"/>
                <w:szCs w:val="28"/>
                <w:lang w:eastAsia="es-MX"/>
              </w:rPr>
              <w:t>Debe decir:</w:t>
            </w:r>
          </w:p>
        </w:tc>
        <w:tc>
          <w:tcPr>
            <w:tcW w:w="3261" w:type="dxa"/>
            <w:tcBorders>
              <w:top w:val="single" w:sz="8" w:space="0" w:color="auto"/>
              <w:left w:val="nil"/>
              <w:bottom w:val="single" w:sz="8" w:space="0" w:color="auto"/>
              <w:right w:val="single" w:sz="8" w:space="0" w:color="auto"/>
            </w:tcBorders>
            <w:shd w:val="clear" w:color="auto" w:fill="808080" w:themeFill="background1" w:themeFillShade="80"/>
          </w:tcPr>
          <w:p w14:paraId="5D77EAC3" w14:textId="77777777" w:rsidR="00004E45" w:rsidRPr="00F549A4" w:rsidRDefault="00004E45" w:rsidP="00004E45">
            <w:pPr>
              <w:spacing w:after="0" w:line="240" w:lineRule="auto"/>
              <w:jc w:val="center"/>
              <w:rPr>
                <w:rFonts w:ascii="Calibri" w:eastAsia="Times New Roman" w:hAnsi="Calibri" w:cs="Calibri"/>
                <w:b/>
                <w:bCs/>
                <w:color w:val="FFFFFF"/>
                <w:sz w:val="28"/>
                <w:szCs w:val="28"/>
                <w:lang w:eastAsia="es-MX"/>
              </w:rPr>
            </w:pPr>
            <w:r>
              <w:rPr>
                <w:rFonts w:ascii="Calibri" w:eastAsia="Times New Roman" w:hAnsi="Calibri" w:cs="Calibri"/>
                <w:b/>
                <w:bCs/>
                <w:color w:val="FFFFFF"/>
                <w:sz w:val="28"/>
                <w:szCs w:val="28"/>
                <w:lang w:eastAsia="es-MX"/>
              </w:rPr>
              <w:t>Justificación</w:t>
            </w:r>
          </w:p>
        </w:tc>
      </w:tr>
      <w:tr w:rsidR="00004E45" w:rsidRPr="00D87192" w14:paraId="5B2A08E2" w14:textId="0587170B" w:rsidTr="00FC3DCE">
        <w:trPr>
          <w:trHeight w:val="841"/>
          <w:jc w:val="center"/>
        </w:trPr>
        <w:tc>
          <w:tcPr>
            <w:tcW w:w="1561" w:type="dxa"/>
            <w:tcBorders>
              <w:top w:val="nil"/>
              <w:left w:val="single" w:sz="4" w:space="0" w:color="auto"/>
              <w:bottom w:val="single" w:sz="4" w:space="0" w:color="auto"/>
              <w:right w:val="single" w:sz="4" w:space="0" w:color="auto"/>
            </w:tcBorders>
            <w:shd w:val="clear" w:color="auto" w:fill="D9E1F2"/>
            <w:hideMark/>
          </w:tcPr>
          <w:p w14:paraId="18D2323C" w14:textId="77777777" w:rsidR="00004E45" w:rsidRPr="00D87192" w:rsidRDefault="00004E45" w:rsidP="00004E45">
            <w:pPr>
              <w:spacing w:after="0" w:line="240" w:lineRule="auto"/>
              <w:jc w:val="both"/>
              <w:rPr>
                <w:rFonts w:ascii="Arial" w:eastAsia="Times New Roman" w:hAnsi="Arial" w:cs="Arial"/>
                <w:color w:val="000000"/>
                <w:sz w:val="20"/>
                <w:szCs w:val="20"/>
                <w:lang w:eastAsia="es-MX"/>
              </w:rPr>
            </w:pPr>
            <w:r w:rsidRPr="00D87192">
              <w:rPr>
                <w:rFonts w:ascii="Arial" w:eastAsia="Times New Roman" w:hAnsi="Arial" w:cs="Arial"/>
                <w:color w:val="000000"/>
                <w:sz w:val="20"/>
                <w:szCs w:val="20"/>
                <w:lang w:eastAsia="es-MX"/>
              </w:rPr>
              <w:t>Transitorios, segundo párrafo.</w:t>
            </w:r>
          </w:p>
        </w:tc>
        <w:tc>
          <w:tcPr>
            <w:tcW w:w="4525" w:type="dxa"/>
            <w:tcBorders>
              <w:top w:val="nil"/>
              <w:left w:val="nil"/>
              <w:bottom w:val="single" w:sz="4" w:space="0" w:color="auto"/>
              <w:right w:val="single" w:sz="4" w:space="0" w:color="auto"/>
            </w:tcBorders>
            <w:shd w:val="clear" w:color="auto" w:fill="D9E1F2"/>
            <w:hideMark/>
          </w:tcPr>
          <w:p w14:paraId="52DDE217" w14:textId="569EAFC2" w:rsidR="00004E45" w:rsidRPr="00D87192" w:rsidRDefault="00004E45" w:rsidP="00004E45">
            <w:pPr>
              <w:autoSpaceDE w:val="0"/>
              <w:autoSpaceDN w:val="0"/>
              <w:adjustRightInd w:val="0"/>
              <w:jc w:val="both"/>
              <w:rPr>
                <w:rFonts w:ascii="Arial" w:hAnsi="Arial" w:cs="Arial"/>
                <w:sz w:val="20"/>
                <w:szCs w:val="20"/>
              </w:rPr>
            </w:pPr>
            <w:r w:rsidRPr="00D87192">
              <w:rPr>
                <w:rFonts w:ascii="Arial" w:hAnsi="Arial" w:cs="Arial"/>
                <w:sz w:val="20"/>
                <w:szCs w:val="20"/>
              </w:rPr>
              <w:t xml:space="preserve">Los presentes Lineamientos, se aprobaron mediante Acuerdo No.    /        / 2010, en la _________ Sesión de 2010 de la Junta de Gobierno del Instituto Nacional de Estadística y Geografía, celebrada el     de     de dos mil </w:t>
            </w:r>
            <w:proofErr w:type="gramStart"/>
            <w:r w:rsidRPr="00D87192">
              <w:rPr>
                <w:rFonts w:ascii="Arial" w:hAnsi="Arial" w:cs="Arial"/>
                <w:sz w:val="20"/>
                <w:szCs w:val="20"/>
              </w:rPr>
              <w:t>diez.-</w:t>
            </w:r>
            <w:proofErr w:type="gramEnd"/>
            <w:r w:rsidRPr="00D87192">
              <w:rPr>
                <w:rFonts w:ascii="Arial" w:hAnsi="Arial" w:cs="Arial"/>
                <w:sz w:val="20"/>
                <w:szCs w:val="20"/>
              </w:rPr>
              <w:t xml:space="preserve"> Presidente, </w:t>
            </w:r>
            <w:r w:rsidRPr="00D87192">
              <w:rPr>
                <w:rFonts w:ascii="Arial" w:hAnsi="Arial" w:cs="Arial"/>
                <w:b/>
                <w:sz w:val="20"/>
                <w:szCs w:val="20"/>
              </w:rPr>
              <w:t>Eduardo Sojo Garza Aldape</w:t>
            </w:r>
            <w:r w:rsidRPr="00D87192">
              <w:rPr>
                <w:rFonts w:ascii="Arial" w:hAnsi="Arial" w:cs="Arial"/>
                <w:sz w:val="20"/>
                <w:szCs w:val="20"/>
              </w:rPr>
              <w:t xml:space="preserve">; Vicepresidentes: </w:t>
            </w:r>
            <w:r w:rsidRPr="00D87192">
              <w:rPr>
                <w:rFonts w:ascii="Arial" w:hAnsi="Arial" w:cs="Arial"/>
                <w:b/>
                <w:sz w:val="20"/>
                <w:szCs w:val="20"/>
              </w:rPr>
              <w:t>Enrique De Alba Guerra, Mario Palma Rojo, José Antonio Mejía Guerra, María del Rocío Ruiz Chávez</w:t>
            </w:r>
            <w:r w:rsidRPr="00D87192">
              <w:rPr>
                <w:rFonts w:ascii="Arial" w:hAnsi="Arial" w:cs="Arial"/>
                <w:sz w:val="20"/>
                <w:szCs w:val="20"/>
              </w:rPr>
              <w:t>.- Rúbricas.</w:t>
            </w:r>
          </w:p>
        </w:tc>
        <w:tc>
          <w:tcPr>
            <w:tcW w:w="4677" w:type="dxa"/>
            <w:tcBorders>
              <w:top w:val="nil"/>
              <w:left w:val="nil"/>
              <w:bottom w:val="single" w:sz="4" w:space="0" w:color="auto"/>
              <w:right w:val="single" w:sz="4" w:space="0" w:color="auto"/>
            </w:tcBorders>
            <w:shd w:val="clear" w:color="auto" w:fill="D9E1F2"/>
            <w:hideMark/>
          </w:tcPr>
          <w:p w14:paraId="352BF34D" w14:textId="13C6052F" w:rsidR="00004E45" w:rsidRPr="00D87192" w:rsidRDefault="00004E45" w:rsidP="00004E45">
            <w:pPr>
              <w:autoSpaceDE w:val="0"/>
              <w:autoSpaceDN w:val="0"/>
              <w:adjustRightInd w:val="0"/>
              <w:jc w:val="both"/>
              <w:rPr>
                <w:rFonts w:ascii="Arial" w:hAnsi="Arial" w:cs="Arial"/>
                <w:sz w:val="20"/>
                <w:szCs w:val="20"/>
              </w:rPr>
            </w:pPr>
            <w:r w:rsidRPr="00D87192">
              <w:rPr>
                <w:rFonts w:ascii="Arial" w:hAnsi="Arial" w:cs="Arial"/>
                <w:sz w:val="20"/>
                <w:szCs w:val="20"/>
              </w:rPr>
              <w:t>Los presentes Lineamientos, se aprobaron mediante Acuerdo No.    /        / 20</w:t>
            </w:r>
            <w:r w:rsidRPr="00904EFF">
              <w:rPr>
                <w:rFonts w:ascii="Arial" w:hAnsi="Arial" w:cs="Arial"/>
                <w:color w:val="2E74B5" w:themeColor="accent5" w:themeShade="BF"/>
                <w:sz w:val="20"/>
                <w:szCs w:val="20"/>
              </w:rPr>
              <w:t>21</w:t>
            </w:r>
            <w:r w:rsidRPr="00D87192">
              <w:rPr>
                <w:rFonts w:ascii="Arial" w:hAnsi="Arial" w:cs="Arial"/>
                <w:sz w:val="20"/>
                <w:szCs w:val="20"/>
              </w:rPr>
              <w:t>, en la _________ Sesión de 20</w:t>
            </w:r>
            <w:r w:rsidRPr="00904EFF">
              <w:rPr>
                <w:rFonts w:ascii="Arial" w:hAnsi="Arial" w:cs="Arial"/>
                <w:color w:val="2E74B5" w:themeColor="accent5" w:themeShade="BF"/>
                <w:sz w:val="20"/>
                <w:szCs w:val="20"/>
              </w:rPr>
              <w:t>21</w:t>
            </w:r>
            <w:r w:rsidRPr="00D87192">
              <w:rPr>
                <w:rFonts w:ascii="Arial" w:hAnsi="Arial" w:cs="Arial"/>
                <w:sz w:val="20"/>
                <w:szCs w:val="20"/>
              </w:rPr>
              <w:t xml:space="preserve"> de la Junta de Gobierno del Instituto Nacional de Estadística y Geografía, celebrada el     de     de dos mil </w:t>
            </w:r>
            <w:r w:rsidRPr="00904EFF">
              <w:rPr>
                <w:rFonts w:ascii="Arial" w:hAnsi="Arial" w:cs="Arial"/>
                <w:color w:val="2E74B5" w:themeColor="accent5" w:themeShade="BF"/>
                <w:sz w:val="20"/>
                <w:szCs w:val="20"/>
              </w:rPr>
              <w:t>veintiuno</w:t>
            </w:r>
            <w:r w:rsidRPr="00D87192">
              <w:rPr>
                <w:rFonts w:ascii="Arial" w:hAnsi="Arial" w:cs="Arial"/>
                <w:sz w:val="20"/>
                <w:szCs w:val="20"/>
              </w:rPr>
              <w:t xml:space="preserve">. - Presidente, </w:t>
            </w:r>
            <w:r w:rsidRPr="00904EFF">
              <w:rPr>
                <w:rFonts w:ascii="Arial" w:hAnsi="Arial" w:cs="Arial"/>
                <w:b/>
                <w:color w:val="2E74B5" w:themeColor="accent5" w:themeShade="BF"/>
                <w:sz w:val="20"/>
                <w:szCs w:val="20"/>
              </w:rPr>
              <w:t>Julio Alfonso Santaella Castell</w:t>
            </w:r>
            <w:r w:rsidRPr="00D87192">
              <w:rPr>
                <w:rFonts w:ascii="Arial" w:hAnsi="Arial" w:cs="Arial"/>
                <w:sz w:val="20"/>
                <w:szCs w:val="20"/>
              </w:rPr>
              <w:t xml:space="preserve">. - Vicepresidentes: </w:t>
            </w:r>
            <w:r w:rsidRPr="00D87192">
              <w:rPr>
                <w:rFonts w:ascii="Arial" w:hAnsi="Arial" w:cs="Arial"/>
                <w:b/>
                <w:sz w:val="20"/>
                <w:szCs w:val="20"/>
              </w:rPr>
              <w:t xml:space="preserve">Enrique De Alba Guerra, </w:t>
            </w:r>
            <w:r w:rsidRPr="00904EFF">
              <w:rPr>
                <w:rFonts w:ascii="Arial" w:hAnsi="Arial" w:cs="Arial"/>
                <w:b/>
                <w:color w:val="2E74B5" w:themeColor="accent5" w:themeShade="BF"/>
                <w:sz w:val="20"/>
                <w:szCs w:val="20"/>
              </w:rPr>
              <w:t xml:space="preserve">Adrián Franco Barrios, </w:t>
            </w:r>
            <w:r w:rsidR="00F16697" w:rsidRPr="00F16697">
              <w:rPr>
                <w:rFonts w:ascii="Arial" w:hAnsi="Arial" w:cs="Arial"/>
                <w:b/>
                <w:color w:val="2E74B5" w:themeColor="accent5" w:themeShade="BF"/>
                <w:sz w:val="20"/>
                <w:szCs w:val="20"/>
              </w:rPr>
              <w:t xml:space="preserve">Graciela Márquez Colín y Paloma Merodio </w:t>
            </w:r>
            <w:proofErr w:type="gramStart"/>
            <w:r w:rsidR="00F16697" w:rsidRPr="00F16697">
              <w:rPr>
                <w:rFonts w:ascii="Arial" w:hAnsi="Arial" w:cs="Arial"/>
                <w:b/>
                <w:color w:val="2E74B5" w:themeColor="accent5" w:themeShade="BF"/>
                <w:sz w:val="20"/>
                <w:szCs w:val="20"/>
              </w:rPr>
              <w:t>Gómez</w:t>
            </w:r>
            <w:r w:rsidRPr="00904EFF">
              <w:rPr>
                <w:rFonts w:ascii="Arial" w:hAnsi="Arial" w:cs="Arial"/>
                <w:color w:val="2E74B5" w:themeColor="accent5" w:themeShade="BF"/>
                <w:sz w:val="20"/>
                <w:szCs w:val="20"/>
              </w:rPr>
              <w:t>.</w:t>
            </w:r>
            <w:r w:rsidRPr="00D87192">
              <w:rPr>
                <w:rFonts w:ascii="Arial" w:hAnsi="Arial" w:cs="Arial"/>
                <w:sz w:val="20"/>
                <w:szCs w:val="20"/>
              </w:rPr>
              <w:t>-</w:t>
            </w:r>
            <w:proofErr w:type="gramEnd"/>
            <w:r w:rsidRPr="00D87192">
              <w:rPr>
                <w:rFonts w:ascii="Arial" w:hAnsi="Arial" w:cs="Arial"/>
                <w:sz w:val="20"/>
                <w:szCs w:val="20"/>
              </w:rPr>
              <w:t xml:space="preserve"> Rúbricas.</w:t>
            </w:r>
          </w:p>
          <w:p w14:paraId="25377256" w14:textId="76C1247C" w:rsidR="00004E45" w:rsidRPr="00D87192" w:rsidRDefault="00004E45" w:rsidP="00004E45">
            <w:pPr>
              <w:spacing w:after="0" w:line="240" w:lineRule="auto"/>
              <w:jc w:val="both"/>
              <w:rPr>
                <w:rFonts w:ascii="Arial" w:eastAsia="Times New Roman" w:hAnsi="Arial" w:cs="Arial"/>
                <w:color w:val="000000"/>
                <w:sz w:val="20"/>
                <w:szCs w:val="20"/>
                <w:lang w:eastAsia="es-MX"/>
              </w:rPr>
            </w:pPr>
          </w:p>
        </w:tc>
        <w:tc>
          <w:tcPr>
            <w:tcW w:w="3261" w:type="dxa"/>
            <w:tcBorders>
              <w:top w:val="nil"/>
              <w:left w:val="nil"/>
              <w:bottom w:val="single" w:sz="4" w:space="0" w:color="auto"/>
              <w:right w:val="single" w:sz="4" w:space="0" w:color="auto"/>
            </w:tcBorders>
            <w:shd w:val="clear" w:color="auto" w:fill="D9E1F2"/>
          </w:tcPr>
          <w:p w14:paraId="2A8BBA2B" w14:textId="12C79009" w:rsidR="00004E45" w:rsidRPr="00D87192" w:rsidRDefault="00004E45" w:rsidP="00004E45">
            <w:pPr>
              <w:spacing w:after="0" w:line="240" w:lineRule="auto"/>
              <w:jc w:val="both"/>
              <w:rPr>
                <w:rFonts w:ascii="Arial" w:eastAsia="Times New Roman" w:hAnsi="Arial" w:cs="Arial"/>
                <w:color w:val="000000"/>
                <w:sz w:val="20"/>
                <w:szCs w:val="20"/>
                <w:lang w:eastAsia="es-MX"/>
              </w:rPr>
            </w:pPr>
            <w:r w:rsidRPr="00D87192">
              <w:rPr>
                <w:rFonts w:ascii="Arial" w:eastAsia="Times New Roman" w:hAnsi="Arial" w:cs="Arial"/>
                <w:color w:val="000000"/>
                <w:sz w:val="20"/>
                <w:szCs w:val="20"/>
                <w:lang w:eastAsia="es-MX"/>
              </w:rPr>
              <w:t>Actualización.</w:t>
            </w:r>
          </w:p>
        </w:tc>
      </w:tr>
    </w:tbl>
    <w:p w14:paraId="5B9CE0B5" w14:textId="77777777" w:rsidR="00E958CE" w:rsidRDefault="00E958CE"/>
    <w:sectPr w:rsidR="00E958CE" w:rsidSect="00E958CE">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3FF5"/>
    <w:multiLevelType w:val="hybridMultilevel"/>
    <w:tmpl w:val="F21817F2"/>
    <w:lvl w:ilvl="0" w:tplc="FDEABDF0">
      <w:start w:val="1"/>
      <w:numFmt w:val="upperRoman"/>
      <w:lvlText w:val="%1."/>
      <w:lvlJc w:val="left"/>
      <w:pPr>
        <w:ind w:left="2847" w:hanging="720"/>
      </w:pPr>
      <w:rPr>
        <w:rFonts w:hint="default"/>
        <w:b/>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1" w15:restartNumberingAfterBreak="0">
    <w:nsid w:val="741A51AA"/>
    <w:multiLevelType w:val="hybridMultilevel"/>
    <w:tmpl w:val="1BD4E078"/>
    <w:lvl w:ilvl="0" w:tplc="D70EDBB6">
      <w:start w:val="1"/>
      <w:numFmt w:val="upperRoman"/>
      <w:lvlText w:val="%1."/>
      <w:lvlJc w:val="left"/>
      <w:pPr>
        <w:ind w:left="1287" w:hanging="360"/>
      </w:pPr>
      <w:rPr>
        <w:rFonts w:ascii="Arial" w:hAnsi="Arial" w:cs="Arial" w:hint="default"/>
        <w:b/>
        <w:i w:val="0"/>
        <w:color w:val="auto"/>
        <w:sz w:val="20"/>
        <w:szCs w:val="2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 w15:restartNumberingAfterBreak="0">
    <w:nsid w:val="78383E65"/>
    <w:multiLevelType w:val="hybridMultilevel"/>
    <w:tmpl w:val="E5BC08EE"/>
    <w:lvl w:ilvl="0" w:tplc="AFAC03D8">
      <w:start w:val="1"/>
      <w:numFmt w:val="upperRoman"/>
      <w:lvlText w:val="%1."/>
      <w:lvlJc w:val="left"/>
      <w:pPr>
        <w:ind w:left="862"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CE"/>
    <w:rsid w:val="00004E45"/>
    <w:rsid w:val="00014E5E"/>
    <w:rsid w:val="00030BB7"/>
    <w:rsid w:val="000C2FE5"/>
    <w:rsid w:val="000F69F6"/>
    <w:rsid w:val="00101212"/>
    <w:rsid w:val="00133EA1"/>
    <w:rsid w:val="00157049"/>
    <w:rsid w:val="00193EC1"/>
    <w:rsid w:val="002856A3"/>
    <w:rsid w:val="002A04C1"/>
    <w:rsid w:val="00380DEE"/>
    <w:rsid w:val="0039301F"/>
    <w:rsid w:val="003E6CAC"/>
    <w:rsid w:val="003F07BE"/>
    <w:rsid w:val="00411480"/>
    <w:rsid w:val="00416939"/>
    <w:rsid w:val="00420777"/>
    <w:rsid w:val="00433AB9"/>
    <w:rsid w:val="00525768"/>
    <w:rsid w:val="00573DBC"/>
    <w:rsid w:val="005E0A28"/>
    <w:rsid w:val="00636493"/>
    <w:rsid w:val="00651BCA"/>
    <w:rsid w:val="006777A1"/>
    <w:rsid w:val="006805EF"/>
    <w:rsid w:val="006F7E2E"/>
    <w:rsid w:val="007D08CB"/>
    <w:rsid w:val="0081741F"/>
    <w:rsid w:val="00847C50"/>
    <w:rsid w:val="00851621"/>
    <w:rsid w:val="008C2B6B"/>
    <w:rsid w:val="00904EFF"/>
    <w:rsid w:val="00A073C7"/>
    <w:rsid w:val="00A302B6"/>
    <w:rsid w:val="00A66771"/>
    <w:rsid w:val="00A75D87"/>
    <w:rsid w:val="00AC4459"/>
    <w:rsid w:val="00AD48A5"/>
    <w:rsid w:val="00BD253B"/>
    <w:rsid w:val="00C706F2"/>
    <w:rsid w:val="00C97FF7"/>
    <w:rsid w:val="00D41C2C"/>
    <w:rsid w:val="00D87192"/>
    <w:rsid w:val="00D90431"/>
    <w:rsid w:val="00DB1B20"/>
    <w:rsid w:val="00E03F1C"/>
    <w:rsid w:val="00E62C1D"/>
    <w:rsid w:val="00E64BF4"/>
    <w:rsid w:val="00E92EC9"/>
    <w:rsid w:val="00E958CE"/>
    <w:rsid w:val="00EC42DE"/>
    <w:rsid w:val="00ED738E"/>
    <w:rsid w:val="00F16697"/>
    <w:rsid w:val="00F549A4"/>
    <w:rsid w:val="00FC3DCE"/>
    <w:rsid w:val="06664F60"/>
    <w:rsid w:val="2D6BFDB6"/>
    <w:rsid w:val="3029EA21"/>
    <w:rsid w:val="3A2693C3"/>
    <w:rsid w:val="43C83F64"/>
    <w:rsid w:val="48897896"/>
    <w:rsid w:val="6651C992"/>
    <w:rsid w:val="6B7D1ADE"/>
    <w:rsid w:val="75AA7732"/>
    <w:rsid w:val="7E609B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2649"/>
  <w15:chartTrackingRefBased/>
  <w15:docId w15:val="{0FE3D060-2D65-4D8D-AB0F-4B437DBF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69F6"/>
    <w:pPr>
      <w:spacing w:after="240" w:line="240" w:lineRule="auto"/>
      <w:ind w:left="720"/>
      <w:contextualSpacing/>
      <w:jc w:val="center"/>
    </w:pPr>
    <w:rPr>
      <w:rFonts w:ascii="Calibri" w:eastAsia="Calibri" w:hAnsi="Calibri" w:cs="Times New Roman"/>
    </w:rPr>
  </w:style>
  <w:style w:type="paragraph" w:styleId="Textocomentario">
    <w:name w:val="annotation text"/>
    <w:basedOn w:val="Normal"/>
    <w:link w:val="TextocomentarioCar"/>
    <w:uiPriority w:val="99"/>
    <w:semiHidden/>
    <w:unhideWhenUsed/>
    <w:rsid w:val="00ED738E"/>
    <w:pPr>
      <w:spacing w:after="200" w:line="240" w:lineRule="auto"/>
      <w:ind w:left="511" w:hanging="227"/>
      <w:jc w:val="both"/>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ED738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55013D4F5B7841B82A9094EA6E91B7" ma:contentTypeVersion="12" ma:contentTypeDescription="Crear nuevo documento." ma:contentTypeScope="" ma:versionID="fe6e085aebcda622b155c56759eab6ac">
  <xsd:schema xmlns:xsd="http://www.w3.org/2001/XMLSchema" xmlns:xs="http://www.w3.org/2001/XMLSchema" xmlns:p="http://schemas.microsoft.com/office/2006/metadata/properties" xmlns:ns2="2cf6ad0d-2af8-40e6-b30a-97e8352d3afd" xmlns:ns3="bcc1e82b-ca09-43ad-88a8-c1c64ce950e8" targetNamespace="http://schemas.microsoft.com/office/2006/metadata/properties" ma:root="true" ma:fieldsID="920fd05695e9fd7f7a38f9c27016ef4b" ns2:_="" ns3:_="">
    <xsd:import namespace="2cf6ad0d-2af8-40e6-b30a-97e8352d3afd"/>
    <xsd:import namespace="bcc1e82b-ca09-43ad-88a8-c1c64ce950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6ad0d-2af8-40e6-b30a-97e8352d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1e82b-ca09-43ad-88a8-c1c64ce950e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cc1e82b-ca09-43ad-88a8-c1c64ce950e8">
      <UserInfo>
        <DisplayName>VAZQUEZ FLORES DOMINGO</DisplayName>
        <AccountId>161</AccountId>
        <AccountType/>
      </UserInfo>
      <UserInfo>
        <DisplayName>LUJAN SALAZAR JOSE DE JESUS</DisplayName>
        <AccountId>155</AccountId>
        <AccountType/>
      </UserInfo>
      <UserInfo>
        <DisplayName>LOPEZ AVELAR JUAN RAMON</DisplayName>
        <AccountId>172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251F3-1B12-4B44-9541-4FC3900F4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6ad0d-2af8-40e6-b30a-97e8352d3afd"/>
    <ds:schemaRef ds:uri="bcc1e82b-ca09-43ad-88a8-c1c64ce95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481CD-A81C-4C2F-A8F0-63489DCC70B5}">
  <ds:schemaRefs>
    <ds:schemaRef ds:uri="http://schemas.microsoft.com/office/2006/metadata/properties"/>
    <ds:schemaRef ds:uri="http://schemas.microsoft.com/office/infopath/2007/PartnerControls"/>
    <ds:schemaRef ds:uri="bcc1e82b-ca09-43ad-88a8-c1c64ce950e8"/>
  </ds:schemaRefs>
</ds:datastoreItem>
</file>

<file path=customXml/itemProps3.xml><?xml version="1.0" encoding="utf-8"?>
<ds:datastoreItem xmlns:ds="http://schemas.openxmlformats.org/officeDocument/2006/customXml" ds:itemID="{88F23B79-4F4B-45B5-B374-A5F2FB6219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1375</Words>
  <Characters>7567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AVELAR JUAN RAMON</dc:creator>
  <cp:keywords/>
  <dc:description/>
  <cp:lastModifiedBy>LUJAN SALAZAR JOSE DE JESUS</cp:lastModifiedBy>
  <cp:revision>16</cp:revision>
  <dcterms:created xsi:type="dcterms:W3CDTF">2021-11-24T22:29:00Z</dcterms:created>
  <dcterms:modified xsi:type="dcterms:W3CDTF">2021-11-25T17:30:00Z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0x0101006355013D4F5B7841B82A9094EA6E91B7</vt:lpwstr>
  </property>
</Properties>
</file>