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3608" w:type="dxa"/>
        <w:tblLook w:val="04A0" w:firstRow="1" w:lastRow="0" w:firstColumn="1" w:lastColumn="0" w:noHBand="0" w:noVBand="1"/>
      </w:tblPr>
      <w:tblGrid>
        <w:gridCol w:w="4962"/>
        <w:gridCol w:w="8646"/>
      </w:tblGrid>
      <w:tr w:rsidR="00F560FD" w:rsidRPr="00296E53" w14:paraId="573F0F03" w14:textId="77777777" w:rsidTr="00F560FD">
        <w:tc>
          <w:tcPr>
            <w:tcW w:w="4962" w:type="dxa"/>
            <w:vAlign w:val="center"/>
          </w:tcPr>
          <w:p w14:paraId="5BB2879B" w14:textId="77777777" w:rsidR="00F560FD" w:rsidRPr="00D10FAA" w:rsidRDefault="00F560FD" w:rsidP="006A0658">
            <w:pPr>
              <w:spacing w:before="40" w:after="40"/>
              <w:jc w:val="center"/>
              <w:rPr>
                <w:rFonts w:ascii="Century Gothic" w:hAnsi="Century Gothic"/>
              </w:rPr>
            </w:pPr>
          </w:p>
        </w:tc>
        <w:tc>
          <w:tcPr>
            <w:tcW w:w="8646" w:type="dxa"/>
            <w:vAlign w:val="center"/>
          </w:tcPr>
          <w:p w14:paraId="6B091A33" w14:textId="77777777" w:rsidR="00F560FD" w:rsidRPr="00296E53" w:rsidRDefault="00F560FD" w:rsidP="006A0658">
            <w:pPr>
              <w:spacing w:before="40" w:after="40"/>
              <w:jc w:val="right"/>
              <w:rPr>
                <w:rFonts w:ascii="Century Gothic" w:hAnsi="Century Gothic"/>
              </w:rPr>
            </w:pPr>
            <w:r w:rsidRPr="00296E53">
              <w:rPr>
                <w:rFonts w:ascii="Century Gothic" w:hAnsi="Century Gothic"/>
                <w:noProof/>
                <w:lang w:eastAsia="es-MX"/>
              </w:rPr>
              <w:drawing>
                <wp:inline distT="0" distB="0" distL="0" distR="0" wp14:anchorId="558AFBA3" wp14:editId="4FE48A49">
                  <wp:extent cx="2349623" cy="470732"/>
                  <wp:effectExtent l="0" t="0" r="0" b="5715"/>
                  <wp:docPr id="97" name="Imagen 97" descr="C:\Users\nuria.torroja\AppData\Local\Temp\Temp1_INEGI_a.zip\INEGI_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uria.torroja\AppData\Local\Temp\Temp1_INEGI_a.zip\INEGI_a.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66975" cy="474208"/>
                          </a:xfrm>
                          <a:prstGeom prst="rect">
                            <a:avLst/>
                          </a:prstGeom>
                          <a:noFill/>
                          <a:ln>
                            <a:noFill/>
                          </a:ln>
                        </pic:spPr>
                      </pic:pic>
                    </a:graphicData>
                  </a:graphic>
                </wp:inline>
              </w:drawing>
            </w:r>
          </w:p>
        </w:tc>
      </w:tr>
    </w:tbl>
    <w:p w14:paraId="2E9DAC20" w14:textId="77777777" w:rsidR="00F560FD" w:rsidRDefault="00F560FD" w:rsidP="00F560FD">
      <w:pPr>
        <w:spacing w:before="40" w:after="40"/>
        <w:rPr>
          <w:rFonts w:ascii="Century Gothic" w:hAnsi="Century Gothic"/>
        </w:rPr>
      </w:pPr>
    </w:p>
    <w:p w14:paraId="71E1200A" w14:textId="77777777" w:rsidR="00F560FD" w:rsidRPr="00296E53" w:rsidRDefault="00F560FD" w:rsidP="00F560FD">
      <w:pPr>
        <w:spacing w:before="40" w:after="40"/>
        <w:rPr>
          <w:rFonts w:ascii="Century Gothic" w:hAnsi="Century Gothic"/>
        </w:rPr>
      </w:pPr>
    </w:p>
    <w:p w14:paraId="05451CB2" w14:textId="77777777" w:rsidR="00F560FD" w:rsidRDefault="00F560FD" w:rsidP="00F560FD">
      <w:pPr>
        <w:pStyle w:val="Default"/>
        <w:spacing w:before="40" w:after="40"/>
        <w:jc w:val="center"/>
        <w:rPr>
          <w:rFonts w:ascii="Century Gothic" w:hAnsi="Century Gothic"/>
          <w:b/>
          <w:bCs/>
          <w:smallCaps/>
          <w:color w:val="00B0F0"/>
          <w:sz w:val="64"/>
          <w:szCs w:val="64"/>
          <w:lang w:val="es-MX"/>
        </w:rPr>
      </w:pPr>
    </w:p>
    <w:p w14:paraId="6497065C" w14:textId="1C97C3F4" w:rsidR="00F560FD" w:rsidRDefault="00F560FD" w:rsidP="00F560FD">
      <w:pPr>
        <w:pStyle w:val="Default"/>
        <w:spacing w:before="40" w:after="40"/>
        <w:jc w:val="center"/>
        <w:rPr>
          <w:rFonts w:ascii="Century Gothic" w:hAnsi="Century Gothic"/>
          <w:b/>
          <w:bCs/>
          <w:smallCaps/>
          <w:color w:val="00B0F0"/>
          <w:sz w:val="64"/>
          <w:szCs w:val="64"/>
          <w:lang w:val="es-MX"/>
        </w:rPr>
      </w:pPr>
      <w:r w:rsidRPr="00373A3D">
        <w:rPr>
          <w:rFonts w:ascii="Century Gothic" w:hAnsi="Century Gothic"/>
          <w:b/>
          <w:bCs/>
          <w:smallCaps/>
          <w:color w:val="00B0F0"/>
          <w:sz w:val="64"/>
          <w:szCs w:val="64"/>
          <w:lang w:val="es-MX"/>
        </w:rPr>
        <w:t>INFORME DE RESULTADOS 2021</w:t>
      </w:r>
    </w:p>
    <w:p w14:paraId="5DB52C1A" w14:textId="0A69CD45" w:rsidR="00F560FD" w:rsidRDefault="00F560FD" w:rsidP="00F560FD">
      <w:pPr>
        <w:pStyle w:val="Default"/>
        <w:spacing w:before="40" w:after="40"/>
        <w:jc w:val="center"/>
        <w:rPr>
          <w:rFonts w:ascii="Century Gothic" w:hAnsi="Century Gothic"/>
          <w:b/>
          <w:bCs/>
          <w:smallCaps/>
          <w:color w:val="00B0F0"/>
          <w:sz w:val="64"/>
          <w:szCs w:val="64"/>
          <w:lang w:val="es-MX"/>
        </w:rPr>
      </w:pPr>
    </w:p>
    <w:p w14:paraId="17F49228" w14:textId="77777777" w:rsidR="00F560FD" w:rsidRDefault="00F560FD" w:rsidP="00F560FD">
      <w:pPr>
        <w:pStyle w:val="Default"/>
        <w:spacing w:before="40" w:after="40"/>
        <w:jc w:val="center"/>
        <w:rPr>
          <w:rFonts w:ascii="Century Gothic" w:hAnsi="Century Gothic"/>
          <w:b/>
          <w:bCs/>
          <w:smallCaps/>
          <w:color w:val="00B0F0"/>
          <w:sz w:val="64"/>
          <w:szCs w:val="64"/>
          <w:lang w:val="es-MX"/>
        </w:rPr>
      </w:pPr>
    </w:p>
    <w:p w14:paraId="1F06D3AD" w14:textId="77777777" w:rsidR="00F560FD" w:rsidRPr="00296E53" w:rsidRDefault="00F560FD" w:rsidP="00F560FD">
      <w:pPr>
        <w:spacing w:before="40" w:after="40"/>
        <w:rPr>
          <w:rFonts w:ascii="Century Gothic" w:hAnsi="Century Gothic"/>
        </w:rPr>
      </w:pPr>
    </w:p>
    <w:p w14:paraId="63F34453" w14:textId="77777777" w:rsidR="00F560FD" w:rsidRPr="00296E53" w:rsidRDefault="00F560FD" w:rsidP="00F560FD">
      <w:pPr>
        <w:spacing w:before="40" w:after="40"/>
        <w:rPr>
          <w:rFonts w:ascii="Century Gothic" w:hAnsi="Century Gothic"/>
        </w:rPr>
      </w:pPr>
    </w:p>
    <w:p w14:paraId="06911200" w14:textId="77777777" w:rsidR="00F560FD" w:rsidRPr="00296E53" w:rsidRDefault="00F560FD" w:rsidP="00F560FD">
      <w:pPr>
        <w:spacing w:before="40" w:after="40"/>
        <w:rPr>
          <w:rFonts w:ascii="Century Gothic" w:hAnsi="Century Gothic"/>
        </w:rPr>
      </w:pPr>
      <w:r w:rsidRPr="00296E53">
        <w:rPr>
          <w:rFonts w:ascii="Century Gothic" w:hAnsi="Century Gothic"/>
          <w:noProof/>
          <w:lang w:eastAsia="es-MX"/>
        </w:rPr>
        <w:drawing>
          <wp:inline distT="0" distB="0" distL="0" distR="0" wp14:anchorId="41EE18B4" wp14:editId="66369950">
            <wp:extent cx="3617089" cy="1222325"/>
            <wp:effectExtent l="0" t="0" r="2540" b="0"/>
            <wp:docPr id="5" name="Imagen 3"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3" descr="Imagen que contiene Logotipo&#10;&#10;Descripción generada automáticamente"/>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647580" cy="1232629"/>
                    </a:xfrm>
                    <a:prstGeom prst="rect">
                      <a:avLst/>
                    </a:prstGeom>
                  </pic:spPr>
                </pic:pic>
              </a:graphicData>
            </a:graphic>
          </wp:inline>
        </w:drawing>
      </w:r>
    </w:p>
    <w:p w14:paraId="066C486B" w14:textId="77777777" w:rsidR="00F560FD" w:rsidRPr="00296E53" w:rsidRDefault="00F560FD" w:rsidP="00F560FD">
      <w:pPr>
        <w:spacing w:before="40" w:after="40"/>
        <w:rPr>
          <w:rFonts w:ascii="Century Gothic" w:hAnsi="Century Gothic"/>
        </w:rPr>
      </w:pPr>
    </w:p>
    <w:p w14:paraId="0322F01D" w14:textId="77777777" w:rsidR="00F560FD" w:rsidRDefault="00F560FD" w:rsidP="00F560FD">
      <w:pPr>
        <w:spacing w:before="40" w:after="40"/>
        <w:jc w:val="right"/>
        <w:rPr>
          <w:rFonts w:ascii="Century Gothic" w:hAnsi="Century Gothic"/>
          <w:sz w:val="28"/>
        </w:rPr>
      </w:pPr>
    </w:p>
    <w:p w14:paraId="6E6247B2" w14:textId="77777777" w:rsidR="00F560FD" w:rsidRPr="004615B7" w:rsidRDefault="00F560FD" w:rsidP="00F560FD">
      <w:pPr>
        <w:spacing w:before="40" w:after="40"/>
        <w:jc w:val="right"/>
        <w:rPr>
          <w:rFonts w:ascii="Century Gothic" w:hAnsi="Century Gothic"/>
          <w:color w:val="0079BF"/>
          <w:sz w:val="28"/>
        </w:rPr>
      </w:pPr>
      <w:r>
        <w:rPr>
          <w:rFonts w:ascii="Century Gothic" w:hAnsi="Century Gothic"/>
          <w:color w:val="0079BF"/>
          <w:sz w:val="28"/>
        </w:rPr>
        <w:t>Marzo</w:t>
      </w:r>
      <w:r w:rsidRPr="004615B7">
        <w:rPr>
          <w:rFonts w:ascii="Century Gothic" w:hAnsi="Century Gothic"/>
          <w:color w:val="0079BF"/>
          <w:sz w:val="28"/>
        </w:rPr>
        <w:t xml:space="preserve"> 2022</w:t>
      </w:r>
    </w:p>
    <w:tbl>
      <w:tblPr>
        <w:tblW w:w="12763" w:type="dxa"/>
        <w:tblInd w:w="-1139" w:type="dxa"/>
        <w:tblLook w:val="04A0" w:firstRow="1" w:lastRow="0" w:firstColumn="1" w:lastColumn="0" w:noHBand="0" w:noVBand="1"/>
      </w:tblPr>
      <w:tblGrid>
        <w:gridCol w:w="8085"/>
        <w:gridCol w:w="4678"/>
      </w:tblGrid>
      <w:tr w:rsidR="00F560FD" w:rsidRPr="00296E53" w14:paraId="5D69F775" w14:textId="77777777" w:rsidTr="006A0658">
        <w:trPr>
          <w:trHeight w:val="201"/>
        </w:trPr>
        <w:tc>
          <w:tcPr>
            <w:tcW w:w="8085" w:type="dxa"/>
            <w:shd w:val="clear" w:color="auto" w:fill="auto"/>
          </w:tcPr>
          <w:p w14:paraId="4B657C97" w14:textId="77777777" w:rsidR="00F560FD" w:rsidRPr="00296E53" w:rsidRDefault="00F560FD" w:rsidP="006A0658">
            <w:pPr>
              <w:spacing w:before="40" w:after="40"/>
              <w:rPr>
                <w:rFonts w:cstheme="minorHAnsi"/>
                <w:color w:val="FFFFFF" w:themeColor="background1"/>
                <w:sz w:val="2"/>
                <w:szCs w:val="12"/>
              </w:rPr>
            </w:pPr>
          </w:p>
        </w:tc>
        <w:tc>
          <w:tcPr>
            <w:tcW w:w="4678" w:type="dxa"/>
            <w:shd w:val="clear" w:color="auto" w:fill="auto"/>
          </w:tcPr>
          <w:p w14:paraId="0F698041" w14:textId="77777777" w:rsidR="00F560FD" w:rsidRPr="00296E53" w:rsidRDefault="00F560FD" w:rsidP="006A0658">
            <w:pPr>
              <w:spacing w:before="40" w:after="40"/>
              <w:rPr>
                <w:rFonts w:cstheme="minorHAnsi"/>
                <w:color w:val="FFFFFF" w:themeColor="background1"/>
                <w:sz w:val="2"/>
                <w:szCs w:val="12"/>
              </w:rPr>
            </w:pPr>
          </w:p>
        </w:tc>
      </w:tr>
    </w:tbl>
    <w:p w14:paraId="45472609" w14:textId="77777777" w:rsidR="00F560FD" w:rsidRDefault="00F560FD" w:rsidP="00F560FD">
      <w:pPr>
        <w:pStyle w:val="TtuloTDC"/>
        <w:spacing w:before="40" w:after="40"/>
        <w:rPr>
          <w:rFonts w:ascii="Century Gothic" w:hAnsi="Century Gothic"/>
        </w:rPr>
      </w:pPr>
      <w:r w:rsidRPr="00296E53">
        <w:rPr>
          <w:rFonts w:ascii="Century Gothic" w:hAnsi="Century Gothic"/>
        </w:rPr>
        <w:br w:type="page"/>
      </w:r>
    </w:p>
    <w:p w14:paraId="04BC7727" w14:textId="77777777" w:rsidR="00F560FD" w:rsidRPr="00296E53" w:rsidRDefault="00F560FD" w:rsidP="00F560FD">
      <w:pPr>
        <w:spacing w:before="40" w:after="40"/>
        <w:jc w:val="right"/>
        <w:rPr>
          <w:rFonts w:ascii="Century Gothic" w:hAnsi="Century Gothic"/>
        </w:rPr>
      </w:pPr>
      <w:r w:rsidRPr="00296E53">
        <w:rPr>
          <w:rFonts w:cstheme="minorHAnsi"/>
          <w:color w:val="0079BF"/>
          <w:sz w:val="36"/>
          <w:szCs w:val="144"/>
        </w:rPr>
        <w:lastRenderedPageBreak/>
        <w:t>ANEXO 3</w:t>
      </w:r>
      <w:r>
        <w:rPr>
          <w:rFonts w:cstheme="minorHAnsi"/>
          <w:color w:val="0079BF"/>
          <w:sz w:val="36"/>
          <w:szCs w:val="144"/>
        </w:rPr>
        <w:br/>
      </w:r>
      <w:r w:rsidRPr="009D3804">
        <w:rPr>
          <w:rFonts w:cstheme="minorHAnsi"/>
          <w:b/>
          <w:bCs/>
          <w:noProof/>
          <w:color w:val="0079BF"/>
          <w:sz w:val="36"/>
          <w:szCs w:val="36"/>
          <w:lang w:eastAsia="es-MX"/>
        </w:rPr>
        <w:drawing>
          <wp:inline distT="0" distB="0" distL="0" distR="0" wp14:anchorId="5365C7F9" wp14:editId="02B58051">
            <wp:extent cx="635000" cy="142328"/>
            <wp:effectExtent l="0" t="0" r="0" b="0"/>
            <wp:docPr id="39" name="Gráfico 30">
              <a:extLst xmlns:a="http://schemas.openxmlformats.org/drawingml/2006/main">
                <a:ext uri="{FF2B5EF4-FFF2-40B4-BE49-F238E27FC236}">
                  <a16:creationId xmlns:a16="http://schemas.microsoft.com/office/drawing/2014/main" id="{32F03F70-A84D-4AE7-ACB0-1E565EE5978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áfico 30">
                      <a:extLst>
                        <a:ext uri="{FF2B5EF4-FFF2-40B4-BE49-F238E27FC236}">
                          <a16:creationId xmlns:a16="http://schemas.microsoft.com/office/drawing/2014/main" id="{32F03F70-A84D-4AE7-ACB0-1E565EE59788}"/>
                        </a:ext>
                      </a:extLst>
                    </pic:cNvPr>
                    <pic:cNvPicPr>
                      <a:picLocks noChangeAspect="1"/>
                    </pic:cNvPicPr>
                  </pic:nvPicPr>
                  <pic:blipFill>
                    <a:blip r:embed="rId7">
                      <a:extLst>
                        <a:ext uri="{96DAC541-7B7A-43D3-8B79-37D633B846F1}">
                          <asvg:svgBlip xmlns:asvg="http://schemas.microsoft.com/office/drawing/2016/SVG/main" r:embed="rId8"/>
                        </a:ext>
                      </a:extLst>
                    </a:blip>
                    <a:stretch>
                      <a:fillRect/>
                    </a:stretch>
                  </pic:blipFill>
                  <pic:spPr>
                    <a:xfrm>
                      <a:off x="0" y="0"/>
                      <a:ext cx="639964" cy="143441"/>
                    </a:xfrm>
                    <a:prstGeom prst="rect">
                      <a:avLst/>
                    </a:prstGeom>
                  </pic:spPr>
                </pic:pic>
              </a:graphicData>
            </a:graphic>
          </wp:inline>
        </w:drawing>
      </w:r>
      <w:r w:rsidRPr="009D3804">
        <w:rPr>
          <w:rFonts w:cstheme="minorHAnsi"/>
          <w:b/>
          <w:bCs/>
          <w:noProof/>
          <w:color w:val="0079BF"/>
          <w:sz w:val="36"/>
          <w:szCs w:val="36"/>
          <w:lang w:eastAsia="es-MX"/>
        </w:rPr>
        <w:drawing>
          <wp:inline distT="0" distB="0" distL="0" distR="0" wp14:anchorId="08084346" wp14:editId="40098F7A">
            <wp:extent cx="635000" cy="142328"/>
            <wp:effectExtent l="0" t="0" r="0" b="0"/>
            <wp:docPr id="41" name="Gráfico 30">
              <a:extLst xmlns:a="http://schemas.openxmlformats.org/drawingml/2006/main">
                <a:ext uri="{FF2B5EF4-FFF2-40B4-BE49-F238E27FC236}">
                  <a16:creationId xmlns:a16="http://schemas.microsoft.com/office/drawing/2014/main" id="{32F03F70-A84D-4AE7-ACB0-1E565EE5978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áfico 30">
                      <a:extLst>
                        <a:ext uri="{FF2B5EF4-FFF2-40B4-BE49-F238E27FC236}">
                          <a16:creationId xmlns:a16="http://schemas.microsoft.com/office/drawing/2014/main" id="{32F03F70-A84D-4AE7-ACB0-1E565EE59788}"/>
                        </a:ext>
                      </a:extLst>
                    </pic:cNvPr>
                    <pic:cNvPicPr>
                      <a:picLocks noChangeAspect="1"/>
                    </pic:cNvPicPr>
                  </pic:nvPicPr>
                  <pic:blipFill>
                    <a:blip r:embed="rId7">
                      <a:extLst>
                        <a:ext uri="{96DAC541-7B7A-43D3-8B79-37D633B846F1}">
                          <asvg:svgBlip xmlns:asvg="http://schemas.microsoft.com/office/drawing/2016/SVG/main" r:embed="rId8"/>
                        </a:ext>
                      </a:extLst>
                    </a:blip>
                    <a:stretch>
                      <a:fillRect/>
                    </a:stretch>
                  </pic:blipFill>
                  <pic:spPr>
                    <a:xfrm>
                      <a:off x="0" y="0"/>
                      <a:ext cx="639964" cy="143441"/>
                    </a:xfrm>
                    <a:prstGeom prst="rect">
                      <a:avLst/>
                    </a:prstGeom>
                  </pic:spPr>
                </pic:pic>
              </a:graphicData>
            </a:graphic>
          </wp:inline>
        </w:drawing>
      </w:r>
    </w:p>
    <w:p w14:paraId="4D33C811" w14:textId="77777777" w:rsidR="00F560FD" w:rsidRPr="00296E53" w:rsidRDefault="00F560FD" w:rsidP="00F560FD">
      <w:pPr>
        <w:spacing w:before="40" w:after="40"/>
        <w:jc w:val="right"/>
        <w:rPr>
          <w:rFonts w:ascii="Century Gothic" w:hAnsi="Century Gothic"/>
        </w:rPr>
      </w:pPr>
    </w:p>
    <w:p w14:paraId="568F1728" w14:textId="77777777" w:rsidR="00F560FD" w:rsidRPr="001B7447" w:rsidRDefault="00F560FD" w:rsidP="00F560FD">
      <w:pPr>
        <w:pStyle w:val="Ttulo1"/>
        <w:spacing w:before="40" w:after="40"/>
        <w:rPr>
          <w:rFonts w:ascii="Century Gothic" w:eastAsiaTheme="minorHAnsi" w:hAnsi="Century Gothic" w:cstheme="minorBidi"/>
          <w:bCs/>
          <w:color w:val="0079BF"/>
          <w:sz w:val="24"/>
          <w:szCs w:val="24"/>
        </w:rPr>
      </w:pPr>
      <w:bookmarkStart w:id="0" w:name="_Toc99626590"/>
      <w:r w:rsidRPr="001B7447">
        <w:rPr>
          <w:rFonts w:ascii="Century Gothic" w:eastAsiaTheme="minorHAnsi" w:hAnsi="Century Gothic" w:cstheme="minorBidi"/>
          <w:bCs/>
          <w:color w:val="0079BF"/>
          <w:sz w:val="24"/>
          <w:szCs w:val="24"/>
        </w:rPr>
        <w:t xml:space="preserve">Anexo 3: </w:t>
      </w:r>
      <w:r>
        <w:rPr>
          <w:rFonts w:ascii="Century Gothic" w:eastAsiaTheme="minorHAnsi" w:hAnsi="Century Gothic" w:cstheme="minorBidi"/>
          <w:bCs/>
          <w:color w:val="0079BF"/>
          <w:sz w:val="24"/>
          <w:szCs w:val="24"/>
        </w:rPr>
        <w:t xml:space="preserve">Marco conceptual y resultados de </w:t>
      </w:r>
      <w:r w:rsidRPr="001B7447">
        <w:rPr>
          <w:rFonts w:ascii="Century Gothic" w:eastAsiaTheme="minorHAnsi" w:hAnsi="Century Gothic" w:cstheme="minorBidi"/>
          <w:bCs/>
          <w:color w:val="0079BF"/>
          <w:sz w:val="24"/>
          <w:szCs w:val="24"/>
        </w:rPr>
        <w:t>indicadores para programas de información cuyo insumo son registros administrativos</w:t>
      </w:r>
      <w:bookmarkEnd w:id="0"/>
    </w:p>
    <w:p w14:paraId="4A783159" w14:textId="77777777" w:rsidR="00F560FD" w:rsidRDefault="00F560FD" w:rsidP="00F560FD">
      <w:pPr>
        <w:spacing w:before="40" w:after="40"/>
        <w:rPr>
          <w:rFonts w:ascii="Century Gothic" w:hAnsi="Century Gothic"/>
          <w:sz w:val="19"/>
          <w:szCs w:val="19"/>
        </w:rPr>
      </w:pPr>
    </w:p>
    <w:p w14:paraId="0009F8AE" w14:textId="77777777" w:rsidR="00F560FD" w:rsidRDefault="00F560FD" w:rsidP="00F560FD">
      <w:pPr>
        <w:spacing w:before="40" w:after="40"/>
        <w:jc w:val="both"/>
        <w:rPr>
          <w:rFonts w:ascii="Century Gothic" w:hAnsi="Century Gothic"/>
          <w:sz w:val="19"/>
          <w:szCs w:val="19"/>
        </w:rPr>
      </w:pPr>
      <w:r w:rsidRPr="00296E53">
        <w:rPr>
          <w:rFonts w:ascii="Century Gothic" w:hAnsi="Century Gothic"/>
          <w:sz w:val="19"/>
          <w:szCs w:val="19"/>
        </w:rPr>
        <w:t xml:space="preserve">En 2019, el Comité aprobó tres indicadores de precisión para los programas de información cuyo </w:t>
      </w:r>
      <w:r>
        <w:rPr>
          <w:rFonts w:ascii="Century Gothic" w:hAnsi="Century Gothic"/>
          <w:sz w:val="19"/>
          <w:szCs w:val="19"/>
        </w:rPr>
        <w:t xml:space="preserve">único </w:t>
      </w:r>
      <w:r w:rsidRPr="00296E53">
        <w:rPr>
          <w:rFonts w:ascii="Century Gothic" w:hAnsi="Century Gothic"/>
          <w:sz w:val="19"/>
          <w:szCs w:val="19"/>
        </w:rPr>
        <w:t>insumo son registros administrativos</w:t>
      </w:r>
      <w:r>
        <w:rPr>
          <w:rFonts w:ascii="Century Gothic" w:hAnsi="Century Gothic"/>
          <w:sz w:val="19"/>
          <w:szCs w:val="19"/>
        </w:rPr>
        <w:t xml:space="preserve">. </w:t>
      </w:r>
      <w:r w:rsidRPr="00296E53">
        <w:rPr>
          <w:rFonts w:ascii="Century Gothic" w:hAnsi="Century Gothic"/>
          <w:sz w:val="19"/>
          <w:szCs w:val="19"/>
        </w:rPr>
        <w:t>Para</w:t>
      </w:r>
      <w:r>
        <w:rPr>
          <w:rFonts w:ascii="Century Gothic" w:hAnsi="Century Gothic"/>
          <w:sz w:val="19"/>
          <w:szCs w:val="19"/>
        </w:rPr>
        <w:t xml:space="preserve"> una mejor comprensión de estos indicadores en el cuadro A.3.1 se presentan algunos conceptos generales.</w:t>
      </w:r>
    </w:p>
    <w:p w14:paraId="1995DA6B" w14:textId="77777777" w:rsidR="00F560FD" w:rsidRDefault="00F560FD" w:rsidP="00F560FD">
      <w:pPr>
        <w:spacing w:before="40" w:after="40"/>
        <w:jc w:val="both"/>
        <w:rPr>
          <w:rFonts w:ascii="Century Gothic" w:hAnsi="Century Gothic"/>
          <w:sz w:val="19"/>
          <w:szCs w:val="19"/>
        </w:rPr>
      </w:pPr>
    </w:p>
    <w:p w14:paraId="24E8FEFC" w14:textId="77777777" w:rsidR="00F560FD" w:rsidRPr="00296E53" w:rsidRDefault="00F560FD" w:rsidP="00F560FD">
      <w:pPr>
        <w:spacing w:before="40" w:after="40"/>
        <w:jc w:val="center"/>
        <w:rPr>
          <w:rFonts w:ascii="Century Gothic" w:hAnsi="Century Gothic"/>
          <w:sz w:val="19"/>
          <w:szCs w:val="19"/>
        </w:rPr>
      </w:pPr>
      <w:r w:rsidRPr="00296E53">
        <w:rPr>
          <w:rFonts w:ascii="Century Gothic" w:hAnsi="Century Gothic"/>
          <w:b/>
          <w:sz w:val="19"/>
          <w:szCs w:val="19"/>
        </w:rPr>
        <w:t>A.</w:t>
      </w:r>
      <w:r>
        <w:rPr>
          <w:rFonts w:ascii="Century Gothic" w:hAnsi="Century Gothic"/>
          <w:b/>
          <w:sz w:val="19"/>
          <w:szCs w:val="19"/>
        </w:rPr>
        <w:t xml:space="preserve">3.1. Conceptos generales aplicados en los indicadores de precisión para </w:t>
      </w:r>
      <w:r>
        <w:rPr>
          <w:rFonts w:ascii="Century Gothic" w:hAnsi="Century Gothic"/>
          <w:b/>
          <w:sz w:val="19"/>
          <w:szCs w:val="19"/>
        </w:rPr>
        <w:br/>
        <w:t>programas de información cuyo único insumo son registros administrativos</w:t>
      </w:r>
    </w:p>
    <w:tbl>
      <w:tblPr>
        <w:tblW w:w="0" w:type="auto"/>
        <w:tblInd w:w="817" w:type="dxa"/>
        <w:shd w:val="clear" w:color="auto" w:fill="F2F2F2" w:themeFill="background1" w:themeFillShade="F2"/>
        <w:tblLook w:val="04A0" w:firstRow="1" w:lastRow="0" w:firstColumn="1" w:lastColumn="0" w:noHBand="0" w:noVBand="1"/>
      </w:tblPr>
      <w:tblGrid>
        <w:gridCol w:w="1577"/>
        <w:gridCol w:w="10566"/>
      </w:tblGrid>
      <w:tr w:rsidR="00F560FD" w:rsidRPr="00854E8A" w14:paraId="061822F6" w14:textId="77777777" w:rsidTr="006A0658">
        <w:tc>
          <w:tcPr>
            <w:tcW w:w="1588" w:type="dxa"/>
            <w:shd w:val="clear" w:color="auto" w:fill="F2F2F2" w:themeFill="background1" w:themeFillShade="F2"/>
          </w:tcPr>
          <w:p w14:paraId="198ACEF4" w14:textId="77777777" w:rsidR="00F560FD" w:rsidRPr="00854E8A" w:rsidRDefault="00F560FD" w:rsidP="006A0658">
            <w:pPr>
              <w:spacing w:before="40" w:after="40"/>
              <w:rPr>
                <w:rFonts w:ascii="Century Gothic" w:hAnsi="Century Gothic"/>
                <w:sz w:val="16"/>
                <w:szCs w:val="16"/>
              </w:rPr>
            </w:pPr>
            <w:r w:rsidRPr="00854E8A">
              <w:rPr>
                <w:rFonts w:ascii="Century Gothic" w:hAnsi="Century Gothic"/>
                <w:b/>
                <w:sz w:val="16"/>
                <w:szCs w:val="16"/>
              </w:rPr>
              <w:t>Registro administrativo</w:t>
            </w:r>
            <w:r w:rsidRPr="00854E8A">
              <w:rPr>
                <w:rFonts w:ascii="Century Gothic" w:hAnsi="Century Gothic"/>
                <w:sz w:val="16"/>
                <w:szCs w:val="16"/>
              </w:rPr>
              <w:t>:</w:t>
            </w:r>
          </w:p>
        </w:tc>
        <w:tc>
          <w:tcPr>
            <w:tcW w:w="11170" w:type="dxa"/>
            <w:shd w:val="clear" w:color="auto" w:fill="F2F2F2" w:themeFill="background1" w:themeFillShade="F2"/>
          </w:tcPr>
          <w:p w14:paraId="7D3219E3" w14:textId="77777777" w:rsidR="00F560FD" w:rsidRPr="00854E8A" w:rsidRDefault="00F560FD" w:rsidP="006A0658">
            <w:pPr>
              <w:spacing w:before="40" w:after="40"/>
              <w:jc w:val="both"/>
              <w:rPr>
                <w:rFonts w:ascii="Century Gothic" w:hAnsi="Century Gothic"/>
                <w:sz w:val="16"/>
                <w:szCs w:val="16"/>
              </w:rPr>
            </w:pPr>
            <w:r w:rsidRPr="00854E8A">
              <w:rPr>
                <w:rFonts w:ascii="Century Gothic" w:hAnsi="Century Gothic"/>
                <w:sz w:val="16"/>
                <w:szCs w:val="16"/>
              </w:rPr>
              <w:t>Conjunto de Datos que fue generado con fines operacionales o como parte de las funciones de una institución pública o privada sobre un tipo de objeto, sujeto, acción, hecho o evento, y obtenidos sistemáticamente con base en un formato específico ya sea impreso, digital u otro y bajo un marco de funciones y facultades formalmente establecidas en instrumentos jurídicos o reglamentarios.</w:t>
            </w:r>
          </w:p>
        </w:tc>
      </w:tr>
      <w:tr w:rsidR="00F560FD" w:rsidRPr="00854E8A" w14:paraId="7BE196F8" w14:textId="77777777" w:rsidTr="006A0658">
        <w:tc>
          <w:tcPr>
            <w:tcW w:w="1588" w:type="dxa"/>
            <w:shd w:val="clear" w:color="auto" w:fill="F2F2F2" w:themeFill="background1" w:themeFillShade="F2"/>
          </w:tcPr>
          <w:p w14:paraId="6701F6D4" w14:textId="77777777" w:rsidR="00F560FD" w:rsidRPr="00854E8A" w:rsidRDefault="00F560FD" w:rsidP="006A0658">
            <w:pPr>
              <w:spacing w:before="40" w:after="40"/>
              <w:rPr>
                <w:rFonts w:ascii="Century Gothic" w:hAnsi="Century Gothic"/>
                <w:sz w:val="16"/>
                <w:szCs w:val="16"/>
              </w:rPr>
            </w:pPr>
            <w:r w:rsidRPr="00854E8A">
              <w:rPr>
                <w:rFonts w:ascii="Century Gothic" w:hAnsi="Century Gothic"/>
                <w:b/>
                <w:sz w:val="16"/>
                <w:szCs w:val="16"/>
              </w:rPr>
              <w:t>Proveedor de información</w:t>
            </w:r>
            <w:r w:rsidRPr="00854E8A">
              <w:rPr>
                <w:rFonts w:ascii="Century Gothic" w:hAnsi="Century Gothic"/>
                <w:sz w:val="16"/>
                <w:szCs w:val="16"/>
              </w:rPr>
              <w:t>:</w:t>
            </w:r>
          </w:p>
        </w:tc>
        <w:tc>
          <w:tcPr>
            <w:tcW w:w="11170" w:type="dxa"/>
            <w:shd w:val="clear" w:color="auto" w:fill="F2F2F2" w:themeFill="background1" w:themeFillShade="F2"/>
          </w:tcPr>
          <w:p w14:paraId="51671D73" w14:textId="77777777" w:rsidR="00F560FD" w:rsidRPr="00854E8A" w:rsidRDefault="00F560FD" w:rsidP="006A0658">
            <w:pPr>
              <w:spacing w:before="40" w:after="40"/>
              <w:jc w:val="both"/>
              <w:rPr>
                <w:rFonts w:ascii="Century Gothic" w:hAnsi="Century Gothic"/>
                <w:sz w:val="16"/>
                <w:szCs w:val="16"/>
              </w:rPr>
            </w:pPr>
            <w:r w:rsidRPr="00854E8A">
              <w:rPr>
                <w:rFonts w:ascii="Century Gothic" w:hAnsi="Century Gothic"/>
                <w:sz w:val="16"/>
                <w:szCs w:val="16"/>
              </w:rPr>
              <w:t>Individuo o institución pública o privada que proporciona datos de un conjunto de unidades (por ejemplo, registros administrativos) a través de un Protocolo de Intercambio. Para algunos programas de información, el proveedor de información es una instancia concentradora de varios registros administrativos y, en otros casos los proveedores son varias instancias que recopilan directamente la información de las unidades.</w:t>
            </w:r>
          </w:p>
        </w:tc>
      </w:tr>
      <w:tr w:rsidR="00F560FD" w:rsidRPr="00854E8A" w14:paraId="5952D001" w14:textId="77777777" w:rsidTr="006A0658">
        <w:tc>
          <w:tcPr>
            <w:tcW w:w="1588" w:type="dxa"/>
            <w:shd w:val="clear" w:color="auto" w:fill="F2F2F2" w:themeFill="background1" w:themeFillShade="F2"/>
          </w:tcPr>
          <w:p w14:paraId="1869B244" w14:textId="77777777" w:rsidR="00F560FD" w:rsidRPr="00854E8A" w:rsidRDefault="00F560FD" w:rsidP="006A0658">
            <w:pPr>
              <w:spacing w:before="40" w:after="40"/>
              <w:rPr>
                <w:rFonts w:ascii="Century Gothic" w:hAnsi="Century Gothic"/>
                <w:sz w:val="16"/>
                <w:szCs w:val="16"/>
              </w:rPr>
            </w:pPr>
            <w:r w:rsidRPr="00854E8A">
              <w:rPr>
                <w:rFonts w:ascii="Century Gothic" w:hAnsi="Century Gothic"/>
                <w:b/>
                <w:sz w:val="16"/>
                <w:szCs w:val="16"/>
              </w:rPr>
              <w:t>Población</w:t>
            </w:r>
            <w:r w:rsidRPr="00854E8A">
              <w:rPr>
                <w:rFonts w:ascii="Century Gothic" w:hAnsi="Century Gothic"/>
                <w:sz w:val="16"/>
                <w:szCs w:val="16"/>
              </w:rPr>
              <w:t>:</w:t>
            </w:r>
          </w:p>
        </w:tc>
        <w:tc>
          <w:tcPr>
            <w:tcW w:w="11170" w:type="dxa"/>
            <w:shd w:val="clear" w:color="auto" w:fill="F2F2F2" w:themeFill="background1" w:themeFillShade="F2"/>
          </w:tcPr>
          <w:p w14:paraId="29E88C15" w14:textId="77777777" w:rsidR="00F560FD" w:rsidRPr="00854E8A" w:rsidRDefault="00F560FD" w:rsidP="006A0658">
            <w:pPr>
              <w:spacing w:before="40" w:after="40"/>
              <w:jc w:val="both"/>
              <w:rPr>
                <w:rFonts w:ascii="Century Gothic" w:hAnsi="Century Gothic"/>
                <w:sz w:val="16"/>
                <w:szCs w:val="16"/>
              </w:rPr>
            </w:pPr>
            <w:r w:rsidRPr="00854E8A">
              <w:rPr>
                <w:rFonts w:ascii="Century Gothic" w:hAnsi="Century Gothic"/>
                <w:sz w:val="16"/>
                <w:szCs w:val="16"/>
              </w:rPr>
              <w:t>Conjunto de unidades pertenecientes a un grupo de personas, empresas, establecimientos, viviendas, o cualquier otro tipo de objetos, acciones o eventos, con base en ciertas características bien definidas, incluyendo límites sobre tiempo y espacio.</w:t>
            </w:r>
          </w:p>
        </w:tc>
      </w:tr>
      <w:tr w:rsidR="00F560FD" w:rsidRPr="00854E8A" w14:paraId="5B8D55EB" w14:textId="77777777" w:rsidTr="006A0658">
        <w:tc>
          <w:tcPr>
            <w:tcW w:w="1588" w:type="dxa"/>
            <w:shd w:val="clear" w:color="auto" w:fill="F2F2F2" w:themeFill="background1" w:themeFillShade="F2"/>
          </w:tcPr>
          <w:p w14:paraId="5902900D" w14:textId="77777777" w:rsidR="00F560FD" w:rsidRPr="00854E8A" w:rsidRDefault="00F560FD" w:rsidP="006A0658">
            <w:pPr>
              <w:spacing w:before="40" w:after="40"/>
              <w:rPr>
                <w:rFonts w:ascii="Century Gothic" w:hAnsi="Century Gothic"/>
                <w:sz w:val="16"/>
                <w:szCs w:val="16"/>
              </w:rPr>
            </w:pPr>
            <w:r w:rsidRPr="00854E8A">
              <w:rPr>
                <w:rFonts w:ascii="Century Gothic" w:hAnsi="Century Gothic"/>
                <w:b/>
                <w:sz w:val="16"/>
                <w:szCs w:val="16"/>
              </w:rPr>
              <w:t>Población objetivo</w:t>
            </w:r>
            <w:r w:rsidRPr="00854E8A">
              <w:rPr>
                <w:rFonts w:ascii="Century Gothic" w:hAnsi="Century Gothic"/>
                <w:sz w:val="16"/>
                <w:szCs w:val="16"/>
              </w:rPr>
              <w:t>:</w:t>
            </w:r>
          </w:p>
        </w:tc>
        <w:tc>
          <w:tcPr>
            <w:tcW w:w="11170" w:type="dxa"/>
            <w:shd w:val="clear" w:color="auto" w:fill="F2F2F2" w:themeFill="background1" w:themeFillShade="F2"/>
          </w:tcPr>
          <w:p w14:paraId="525D2CD2" w14:textId="77777777" w:rsidR="00F560FD" w:rsidRPr="00854E8A" w:rsidRDefault="00F560FD" w:rsidP="006A0658">
            <w:pPr>
              <w:spacing w:before="40" w:after="40"/>
              <w:jc w:val="both"/>
              <w:rPr>
                <w:rFonts w:ascii="Century Gothic" w:hAnsi="Century Gothic"/>
                <w:sz w:val="16"/>
                <w:szCs w:val="16"/>
              </w:rPr>
            </w:pPr>
            <w:r w:rsidRPr="00854E8A">
              <w:rPr>
                <w:rFonts w:ascii="Century Gothic" w:hAnsi="Century Gothic"/>
                <w:sz w:val="16"/>
                <w:szCs w:val="16"/>
              </w:rPr>
              <w:t>Población para la cual se requiere realizar mediciones o representaciones de los conceptos; este conjunto contiene a todos los dominios de estudio.  Es decir, es la de interés estadístico, según el fenómeno que se quiere medir.</w:t>
            </w:r>
          </w:p>
        </w:tc>
      </w:tr>
      <w:tr w:rsidR="00F560FD" w:rsidRPr="00854E8A" w14:paraId="4D2D1F55" w14:textId="77777777" w:rsidTr="006A0658">
        <w:tc>
          <w:tcPr>
            <w:tcW w:w="1588" w:type="dxa"/>
            <w:shd w:val="clear" w:color="auto" w:fill="F2F2F2" w:themeFill="background1" w:themeFillShade="F2"/>
          </w:tcPr>
          <w:p w14:paraId="58260C36" w14:textId="77777777" w:rsidR="00F560FD" w:rsidRPr="00854E8A" w:rsidRDefault="00F560FD" w:rsidP="006A0658">
            <w:pPr>
              <w:spacing w:before="40" w:after="40"/>
              <w:rPr>
                <w:rFonts w:ascii="Century Gothic" w:hAnsi="Century Gothic"/>
                <w:sz w:val="16"/>
                <w:szCs w:val="16"/>
              </w:rPr>
            </w:pPr>
            <w:r w:rsidRPr="00854E8A">
              <w:rPr>
                <w:rFonts w:ascii="Century Gothic" w:hAnsi="Century Gothic"/>
                <w:b/>
                <w:sz w:val="16"/>
                <w:szCs w:val="16"/>
              </w:rPr>
              <w:t>Población de los registros administrativos</w:t>
            </w:r>
            <w:r w:rsidRPr="00854E8A">
              <w:rPr>
                <w:rFonts w:ascii="Century Gothic" w:hAnsi="Century Gothic"/>
                <w:sz w:val="16"/>
                <w:szCs w:val="16"/>
              </w:rPr>
              <w:t>:</w:t>
            </w:r>
          </w:p>
        </w:tc>
        <w:tc>
          <w:tcPr>
            <w:tcW w:w="11170" w:type="dxa"/>
            <w:shd w:val="clear" w:color="auto" w:fill="F2F2F2" w:themeFill="background1" w:themeFillShade="F2"/>
          </w:tcPr>
          <w:p w14:paraId="46AF466A" w14:textId="77777777" w:rsidR="00F560FD" w:rsidRPr="00854E8A" w:rsidRDefault="00F560FD" w:rsidP="006A0658">
            <w:pPr>
              <w:spacing w:before="40" w:after="40"/>
              <w:jc w:val="both"/>
              <w:rPr>
                <w:rFonts w:ascii="Century Gothic" w:hAnsi="Century Gothic"/>
                <w:sz w:val="16"/>
                <w:szCs w:val="16"/>
              </w:rPr>
            </w:pPr>
            <w:r w:rsidRPr="00854E8A">
              <w:rPr>
                <w:rFonts w:ascii="Century Gothic" w:hAnsi="Century Gothic"/>
                <w:sz w:val="16"/>
                <w:szCs w:val="16"/>
              </w:rPr>
              <w:t>Población de la cual existe información en forma nominativa o individualizada en los registros administrativos.  Es decir, es la población posible de captar mediante el registro administrativo.</w:t>
            </w:r>
          </w:p>
        </w:tc>
      </w:tr>
      <w:tr w:rsidR="00F560FD" w:rsidRPr="00854E8A" w14:paraId="4FAD8988" w14:textId="77777777" w:rsidTr="006A0658">
        <w:tc>
          <w:tcPr>
            <w:tcW w:w="1588" w:type="dxa"/>
            <w:shd w:val="clear" w:color="auto" w:fill="F2F2F2" w:themeFill="background1" w:themeFillShade="F2"/>
          </w:tcPr>
          <w:p w14:paraId="5717DD04" w14:textId="77777777" w:rsidR="00F560FD" w:rsidRPr="00854E8A" w:rsidRDefault="00F560FD" w:rsidP="006A0658">
            <w:pPr>
              <w:spacing w:before="40" w:after="40"/>
              <w:rPr>
                <w:rFonts w:ascii="Century Gothic" w:hAnsi="Century Gothic"/>
                <w:sz w:val="16"/>
                <w:szCs w:val="16"/>
              </w:rPr>
            </w:pPr>
            <w:r w:rsidRPr="00854E8A">
              <w:rPr>
                <w:rFonts w:ascii="Century Gothic" w:hAnsi="Century Gothic"/>
                <w:b/>
                <w:sz w:val="16"/>
                <w:szCs w:val="16"/>
              </w:rPr>
              <w:t>Dominio de estudio</w:t>
            </w:r>
            <w:r w:rsidRPr="00854E8A">
              <w:rPr>
                <w:rFonts w:ascii="Century Gothic" w:hAnsi="Century Gothic"/>
                <w:sz w:val="16"/>
                <w:szCs w:val="16"/>
              </w:rPr>
              <w:t>:</w:t>
            </w:r>
          </w:p>
        </w:tc>
        <w:tc>
          <w:tcPr>
            <w:tcW w:w="11170" w:type="dxa"/>
            <w:shd w:val="clear" w:color="auto" w:fill="F2F2F2" w:themeFill="background1" w:themeFillShade="F2"/>
          </w:tcPr>
          <w:p w14:paraId="4986B3D3" w14:textId="77777777" w:rsidR="00F560FD" w:rsidRPr="00854E8A" w:rsidRDefault="00F560FD" w:rsidP="006A0658">
            <w:pPr>
              <w:spacing w:before="40" w:after="40"/>
              <w:jc w:val="both"/>
              <w:rPr>
                <w:rFonts w:ascii="Century Gothic" w:hAnsi="Century Gothic"/>
                <w:sz w:val="16"/>
                <w:szCs w:val="16"/>
              </w:rPr>
            </w:pPr>
            <w:r w:rsidRPr="00854E8A">
              <w:rPr>
                <w:rFonts w:ascii="Century Gothic" w:hAnsi="Century Gothic"/>
                <w:sz w:val="16"/>
                <w:szCs w:val="16"/>
              </w:rPr>
              <w:t>Subconjunto de la población objetivo para el cual se requiere realizar mediciones o representaciones de los conceptos de forma separada. Una vez definida la población objetivo, un dominio de estudio corresponde a un subconjunto que está determinado por cuestiones temáticas, temporales o geográficas. Por ejemplo, los dominios de estudio asociados a: entidades federativas, sexo, grupos de edad, etc. En ocasiones los dominios de estudio son referidos como desagregaciones, agregaciones, subpoblaciones, etc.</w:t>
            </w:r>
          </w:p>
        </w:tc>
      </w:tr>
    </w:tbl>
    <w:p w14:paraId="4F82051D" w14:textId="77777777" w:rsidR="00F560FD" w:rsidRDefault="00F560FD" w:rsidP="00F560FD">
      <w:pPr>
        <w:spacing w:before="40" w:after="40"/>
        <w:jc w:val="both"/>
        <w:rPr>
          <w:rFonts w:ascii="Century Gothic" w:hAnsi="Century Gothic"/>
          <w:sz w:val="19"/>
          <w:szCs w:val="19"/>
        </w:rPr>
      </w:pPr>
    </w:p>
    <w:p w14:paraId="4A0B1A27" w14:textId="77777777" w:rsidR="00F560FD" w:rsidRDefault="00F560FD" w:rsidP="00F560FD">
      <w:pPr>
        <w:spacing w:before="40" w:after="40"/>
        <w:jc w:val="both"/>
        <w:rPr>
          <w:rFonts w:ascii="Century Gothic" w:hAnsi="Century Gothic"/>
          <w:sz w:val="19"/>
          <w:szCs w:val="19"/>
        </w:rPr>
      </w:pPr>
      <w:r w:rsidRPr="00296E53">
        <w:rPr>
          <w:rFonts w:ascii="Century Gothic" w:hAnsi="Century Gothic"/>
          <w:sz w:val="19"/>
          <w:szCs w:val="19"/>
        </w:rPr>
        <w:t>Cuando a la población del registro le falta parte de la población objetivo</w:t>
      </w:r>
      <w:r>
        <w:rPr>
          <w:rFonts w:ascii="Century Gothic" w:hAnsi="Century Gothic"/>
          <w:sz w:val="19"/>
          <w:szCs w:val="19"/>
        </w:rPr>
        <w:t>,</w:t>
      </w:r>
      <w:r w:rsidRPr="00296E53">
        <w:rPr>
          <w:rFonts w:ascii="Century Gothic" w:hAnsi="Century Gothic"/>
          <w:sz w:val="19"/>
          <w:szCs w:val="19"/>
        </w:rPr>
        <w:t xml:space="preserve"> se </w:t>
      </w:r>
      <w:r>
        <w:rPr>
          <w:rFonts w:ascii="Century Gothic" w:hAnsi="Century Gothic"/>
          <w:sz w:val="19"/>
          <w:szCs w:val="19"/>
        </w:rPr>
        <w:t>dice</w:t>
      </w:r>
      <w:r w:rsidRPr="00296E53">
        <w:rPr>
          <w:rFonts w:ascii="Century Gothic" w:hAnsi="Century Gothic"/>
          <w:sz w:val="19"/>
          <w:szCs w:val="19"/>
        </w:rPr>
        <w:t xml:space="preserve"> que existe </w:t>
      </w:r>
      <w:proofErr w:type="spellStart"/>
      <w:r w:rsidRPr="00296E53">
        <w:rPr>
          <w:rFonts w:ascii="Century Gothic" w:hAnsi="Century Gothic"/>
          <w:sz w:val="19"/>
          <w:szCs w:val="19"/>
        </w:rPr>
        <w:t>subcobertura</w:t>
      </w:r>
      <w:proofErr w:type="spellEnd"/>
      <w:r w:rsidRPr="00296E53">
        <w:rPr>
          <w:rFonts w:ascii="Century Gothic" w:hAnsi="Century Gothic"/>
          <w:sz w:val="19"/>
          <w:szCs w:val="19"/>
        </w:rPr>
        <w:t>. Para conocer esta diferencia se requieren análisis especiales, por lo que no es posible definir un indicador único</w:t>
      </w:r>
      <w:r>
        <w:rPr>
          <w:rFonts w:ascii="Century Gothic" w:hAnsi="Century Gothic"/>
          <w:sz w:val="19"/>
          <w:szCs w:val="19"/>
        </w:rPr>
        <w:t>;</w:t>
      </w:r>
      <w:r w:rsidRPr="00296E53">
        <w:rPr>
          <w:rFonts w:ascii="Century Gothic" w:hAnsi="Century Gothic"/>
          <w:sz w:val="19"/>
          <w:szCs w:val="19"/>
        </w:rPr>
        <w:t xml:space="preserve"> sin embargo, es un análisis fundamental para determinar la pertinencia del programa.  Los indicadores que aprob</w:t>
      </w:r>
      <w:r>
        <w:rPr>
          <w:rFonts w:ascii="Century Gothic" w:hAnsi="Century Gothic"/>
          <w:sz w:val="19"/>
          <w:szCs w:val="19"/>
        </w:rPr>
        <w:t>ó</w:t>
      </w:r>
      <w:r w:rsidRPr="00296E53">
        <w:rPr>
          <w:rFonts w:ascii="Century Gothic" w:hAnsi="Century Gothic"/>
          <w:sz w:val="19"/>
          <w:szCs w:val="19"/>
        </w:rPr>
        <w:t xml:space="preserve"> el Comité no incluyen la </w:t>
      </w:r>
      <w:proofErr w:type="spellStart"/>
      <w:r w:rsidRPr="00296E53">
        <w:rPr>
          <w:rFonts w:ascii="Century Gothic" w:hAnsi="Century Gothic"/>
          <w:sz w:val="19"/>
          <w:szCs w:val="19"/>
        </w:rPr>
        <w:t>subcobertura</w:t>
      </w:r>
      <w:proofErr w:type="spellEnd"/>
      <w:r w:rsidRPr="00296E53">
        <w:rPr>
          <w:rFonts w:ascii="Century Gothic" w:hAnsi="Century Gothic"/>
          <w:sz w:val="19"/>
          <w:szCs w:val="19"/>
        </w:rPr>
        <w:t>, sino que se enfocan a medir la calidad a partir de la población</w:t>
      </w:r>
      <w:r>
        <w:rPr>
          <w:rFonts w:ascii="Century Gothic" w:hAnsi="Century Gothic"/>
          <w:sz w:val="19"/>
          <w:szCs w:val="19"/>
        </w:rPr>
        <w:t xml:space="preserve"> observada en </w:t>
      </w:r>
      <w:r w:rsidRPr="00296E53">
        <w:rPr>
          <w:rFonts w:ascii="Century Gothic" w:hAnsi="Century Gothic"/>
          <w:sz w:val="19"/>
          <w:szCs w:val="19"/>
        </w:rPr>
        <w:t xml:space="preserve">el programa </w:t>
      </w:r>
      <w:r>
        <w:rPr>
          <w:rFonts w:ascii="Century Gothic" w:hAnsi="Century Gothic"/>
          <w:sz w:val="19"/>
          <w:szCs w:val="19"/>
        </w:rPr>
        <w:t>en cuestión</w:t>
      </w:r>
      <w:r w:rsidRPr="00296E53">
        <w:rPr>
          <w:rFonts w:ascii="Century Gothic" w:hAnsi="Century Gothic"/>
          <w:sz w:val="19"/>
          <w:szCs w:val="19"/>
        </w:rPr>
        <w:t>.</w:t>
      </w:r>
    </w:p>
    <w:p w14:paraId="26F7243C" w14:textId="77777777" w:rsidR="00F560FD" w:rsidRPr="00296E53" w:rsidRDefault="00F560FD" w:rsidP="00F560FD">
      <w:pPr>
        <w:spacing w:before="40" w:after="40"/>
        <w:jc w:val="both"/>
        <w:rPr>
          <w:rFonts w:ascii="Century Gothic" w:hAnsi="Century Gothic"/>
          <w:sz w:val="19"/>
          <w:szCs w:val="19"/>
        </w:rPr>
      </w:pPr>
    </w:p>
    <w:p w14:paraId="7235D202" w14:textId="77777777" w:rsidR="00F560FD" w:rsidRDefault="00F560FD" w:rsidP="00F560FD">
      <w:pPr>
        <w:spacing w:before="40" w:after="40"/>
        <w:jc w:val="both"/>
        <w:rPr>
          <w:rFonts w:ascii="Century Gothic" w:hAnsi="Century Gothic"/>
          <w:sz w:val="19"/>
          <w:szCs w:val="19"/>
        </w:rPr>
      </w:pPr>
      <w:r w:rsidRPr="00296E53">
        <w:rPr>
          <w:rFonts w:ascii="Century Gothic" w:hAnsi="Century Gothic"/>
          <w:sz w:val="19"/>
          <w:szCs w:val="19"/>
        </w:rPr>
        <w:t>A continuación, se describen los tres indicadores aprobados por el Comité en 2019.</w:t>
      </w:r>
    </w:p>
    <w:p w14:paraId="15C68A1E" w14:textId="77777777" w:rsidR="00F560FD" w:rsidRPr="00296E53" w:rsidRDefault="00F560FD" w:rsidP="00F560FD">
      <w:pPr>
        <w:spacing w:before="40" w:after="40"/>
        <w:jc w:val="both"/>
        <w:rPr>
          <w:rFonts w:ascii="Century Gothic" w:hAnsi="Century Gothic"/>
          <w:b/>
          <w:sz w:val="19"/>
          <w:szCs w:val="19"/>
        </w:rPr>
      </w:pPr>
    </w:p>
    <w:p w14:paraId="7CAD703E" w14:textId="77777777" w:rsidR="00F560FD" w:rsidRPr="00296E53" w:rsidRDefault="00F560FD" w:rsidP="00F560FD">
      <w:pPr>
        <w:numPr>
          <w:ilvl w:val="0"/>
          <w:numId w:val="1"/>
        </w:numPr>
        <w:spacing w:before="40" w:after="40"/>
        <w:ind w:left="284" w:hanging="284"/>
        <w:contextualSpacing/>
        <w:jc w:val="both"/>
        <w:rPr>
          <w:rFonts w:ascii="Century Gothic" w:hAnsi="Century Gothic"/>
          <w:b/>
          <w:sz w:val="19"/>
          <w:szCs w:val="19"/>
        </w:rPr>
      </w:pPr>
      <w:r w:rsidRPr="00296E53">
        <w:rPr>
          <w:rFonts w:ascii="Century Gothic" w:hAnsi="Century Gothic"/>
          <w:b/>
          <w:sz w:val="19"/>
          <w:szCs w:val="19"/>
        </w:rPr>
        <w:t xml:space="preserve">Tasa de </w:t>
      </w:r>
      <w:proofErr w:type="spellStart"/>
      <w:r w:rsidRPr="00296E53">
        <w:rPr>
          <w:rFonts w:ascii="Century Gothic" w:hAnsi="Century Gothic"/>
          <w:b/>
          <w:sz w:val="19"/>
          <w:szCs w:val="19"/>
        </w:rPr>
        <w:t>sobrecobertura</w:t>
      </w:r>
      <w:proofErr w:type="spellEnd"/>
    </w:p>
    <w:p w14:paraId="24B80871" w14:textId="77777777" w:rsidR="00F560FD" w:rsidRDefault="00F560FD" w:rsidP="00F560FD">
      <w:pPr>
        <w:spacing w:before="40" w:after="40"/>
        <w:jc w:val="both"/>
        <w:rPr>
          <w:rFonts w:ascii="Century Gothic" w:hAnsi="Century Gothic"/>
          <w:sz w:val="19"/>
          <w:szCs w:val="19"/>
        </w:rPr>
      </w:pPr>
    </w:p>
    <w:p w14:paraId="43288BBA" w14:textId="77777777" w:rsidR="00F560FD" w:rsidRDefault="00F560FD" w:rsidP="00F560FD">
      <w:pPr>
        <w:spacing w:before="40" w:after="40"/>
        <w:jc w:val="both"/>
        <w:rPr>
          <w:rFonts w:ascii="Century Gothic" w:hAnsi="Century Gothic"/>
          <w:sz w:val="19"/>
          <w:szCs w:val="19"/>
        </w:rPr>
      </w:pPr>
      <w:r w:rsidRPr="00296E53">
        <w:rPr>
          <w:rFonts w:ascii="Century Gothic" w:hAnsi="Century Gothic"/>
          <w:sz w:val="19"/>
          <w:szCs w:val="19"/>
        </w:rPr>
        <w:t xml:space="preserve">Esta tasa permite conocer </w:t>
      </w:r>
      <w:r>
        <w:rPr>
          <w:rFonts w:ascii="Century Gothic" w:hAnsi="Century Gothic"/>
          <w:sz w:val="19"/>
          <w:szCs w:val="19"/>
        </w:rPr>
        <w:t xml:space="preserve">en </w:t>
      </w:r>
      <w:r w:rsidRPr="00296E53">
        <w:rPr>
          <w:rFonts w:ascii="Century Gothic" w:hAnsi="Century Gothic"/>
          <w:sz w:val="19"/>
          <w:szCs w:val="19"/>
        </w:rPr>
        <w:t xml:space="preserve">qué </w:t>
      </w:r>
      <w:r>
        <w:rPr>
          <w:rFonts w:ascii="Century Gothic" w:hAnsi="Century Gothic"/>
          <w:sz w:val="19"/>
          <w:szCs w:val="19"/>
        </w:rPr>
        <w:t>medida</w:t>
      </w:r>
      <w:r w:rsidRPr="00296E53">
        <w:rPr>
          <w:rFonts w:ascii="Century Gothic" w:hAnsi="Century Gothic"/>
          <w:sz w:val="19"/>
          <w:szCs w:val="19"/>
        </w:rPr>
        <w:t xml:space="preserve"> el registro administrativo </w:t>
      </w:r>
      <w:r>
        <w:rPr>
          <w:rFonts w:ascii="Century Gothic" w:hAnsi="Century Gothic"/>
          <w:sz w:val="19"/>
          <w:szCs w:val="19"/>
        </w:rPr>
        <w:t>en cuestión</w:t>
      </w:r>
      <w:r w:rsidRPr="00296E53">
        <w:rPr>
          <w:rFonts w:ascii="Century Gothic" w:hAnsi="Century Gothic"/>
          <w:sz w:val="19"/>
          <w:szCs w:val="19"/>
        </w:rPr>
        <w:t xml:space="preserve"> se apega a la población objetivo del programa. Para el cálculo de este indicador resulta útil responder la pregunta del siguiente diagrama:</w:t>
      </w:r>
    </w:p>
    <w:p w14:paraId="05852CA6" w14:textId="77777777" w:rsidR="00F560FD" w:rsidRDefault="00F560FD" w:rsidP="00F560FD">
      <w:pPr>
        <w:spacing w:before="40" w:after="40"/>
        <w:jc w:val="both"/>
        <w:rPr>
          <w:rFonts w:ascii="Century Gothic" w:hAnsi="Century Gothic"/>
          <w:sz w:val="19"/>
          <w:szCs w:val="19"/>
        </w:rPr>
      </w:pPr>
    </w:p>
    <w:p w14:paraId="610E9A1E" w14:textId="77777777" w:rsidR="00F560FD" w:rsidRDefault="00F560FD" w:rsidP="00F560FD">
      <w:pPr>
        <w:spacing w:before="40" w:after="40"/>
        <w:jc w:val="center"/>
        <w:rPr>
          <w:rFonts w:ascii="Century Gothic" w:hAnsi="Century Gothic"/>
          <w:sz w:val="19"/>
          <w:szCs w:val="19"/>
        </w:rPr>
      </w:pPr>
      <w:r w:rsidRPr="00296E53">
        <w:rPr>
          <w:rFonts w:ascii="Century Gothic" w:hAnsi="Century Gothic"/>
          <w:b/>
          <w:sz w:val="19"/>
          <w:szCs w:val="19"/>
        </w:rPr>
        <w:t>A.</w:t>
      </w:r>
      <w:r>
        <w:rPr>
          <w:rFonts w:ascii="Century Gothic" w:hAnsi="Century Gothic"/>
          <w:b/>
          <w:sz w:val="19"/>
          <w:szCs w:val="19"/>
        </w:rPr>
        <w:t>3</w:t>
      </w:r>
      <w:r w:rsidRPr="00296E53">
        <w:rPr>
          <w:rFonts w:ascii="Century Gothic" w:hAnsi="Century Gothic"/>
          <w:b/>
          <w:sz w:val="19"/>
          <w:szCs w:val="19"/>
        </w:rPr>
        <w:t>.</w:t>
      </w:r>
      <w:r>
        <w:rPr>
          <w:rFonts w:ascii="Century Gothic" w:hAnsi="Century Gothic"/>
          <w:b/>
          <w:sz w:val="19"/>
          <w:szCs w:val="19"/>
        </w:rPr>
        <w:t xml:space="preserve">2. </w:t>
      </w:r>
      <w:r w:rsidRPr="00296E53">
        <w:rPr>
          <w:rFonts w:ascii="Century Gothic" w:hAnsi="Century Gothic"/>
          <w:b/>
          <w:sz w:val="19"/>
          <w:szCs w:val="19"/>
        </w:rPr>
        <w:t xml:space="preserve">Pregunta relevante para la tasa de </w:t>
      </w:r>
      <w:proofErr w:type="spellStart"/>
      <w:r w:rsidRPr="00296E53">
        <w:rPr>
          <w:rFonts w:ascii="Century Gothic" w:hAnsi="Century Gothic"/>
          <w:b/>
          <w:sz w:val="19"/>
          <w:szCs w:val="19"/>
        </w:rPr>
        <w:t>sobrecobertura</w:t>
      </w:r>
      <w:proofErr w:type="spellEnd"/>
    </w:p>
    <w:tbl>
      <w:tblPr>
        <w:tblStyle w:val="Tablaconcuadrcula"/>
        <w:tblW w:w="0" w:type="auto"/>
        <w:tblInd w:w="817" w:type="dxa"/>
        <w:tblBorders>
          <w:insideH w:val="none" w:sz="0" w:space="0" w:color="auto"/>
          <w:insideV w:val="none" w:sz="0" w:space="0" w:color="auto"/>
        </w:tblBorders>
        <w:tblLayout w:type="fixed"/>
        <w:tblLook w:val="04A0" w:firstRow="1" w:lastRow="0" w:firstColumn="1" w:lastColumn="0" w:noHBand="0" w:noVBand="1"/>
      </w:tblPr>
      <w:tblGrid>
        <w:gridCol w:w="5103"/>
        <w:gridCol w:w="7655"/>
      </w:tblGrid>
      <w:tr w:rsidR="00F560FD" w14:paraId="44C5867D" w14:textId="77777777" w:rsidTr="006A0658">
        <w:tc>
          <w:tcPr>
            <w:tcW w:w="5103" w:type="dxa"/>
            <w:vAlign w:val="center"/>
          </w:tcPr>
          <w:p w14:paraId="083B6B7C" w14:textId="77777777" w:rsidR="00F560FD" w:rsidRDefault="00F560FD" w:rsidP="006A0658">
            <w:pPr>
              <w:spacing w:before="40" w:after="40"/>
              <w:jc w:val="both"/>
              <w:rPr>
                <w:rFonts w:ascii="Century Gothic" w:hAnsi="Century Gothic"/>
                <w:sz w:val="19"/>
                <w:szCs w:val="19"/>
              </w:rPr>
            </w:pPr>
            <w:r w:rsidRPr="00994CA8">
              <w:rPr>
                <w:rFonts w:ascii="Century Gothic" w:hAnsi="Century Gothic"/>
                <w:noProof/>
                <w:sz w:val="19"/>
                <w:szCs w:val="19"/>
                <w:lang w:eastAsia="es-MX"/>
              </w:rPr>
              <w:drawing>
                <wp:inline distT="0" distB="0" distL="0" distR="0" wp14:anchorId="49D20AE2" wp14:editId="19F86D46">
                  <wp:extent cx="2990582" cy="1215342"/>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2254" t="1326" r="671" b="5779"/>
                          <a:stretch/>
                        </pic:blipFill>
                        <pic:spPr bwMode="auto">
                          <a:xfrm>
                            <a:off x="0" y="0"/>
                            <a:ext cx="3017785" cy="122639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655" w:type="dxa"/>
            <w:vAlign w:val="center"/>
          </w:tcPr>
          <w:p w14:paraId="6A972DD0" w14:textId="77777777" w:rsidR="00F560FD" w:rsidRDefault="00F560FD" w:rsidP="006A0658">
            <w:pPr>
              <w:spacing w:before="40" w:after="40"/>
              <w:jc w:val="both"/>
              <w:rPr>
                <w:rFonts w:ascii="Century Gothic" w:hAnsi="Century Gothic"/>
                <w:sz w:val="19"/>
                <w:szCs w:val="19"/>
              </w:rPr>
            </w:pPr>
            <w:r w:rsidRPr="00994CA8">
              <w:rPr>
                <w:rFonts w:ascii="Century Gothic" w:hAnsi="Century Gothic"/>
                <w:noProof/>
                <w:sz w:val="19"/>
                <w:szCs w:val="19"/>
                <w:lang w:eastAsia="es-MX"/>
              </w:rPr>
              <w:drawing>
                <wp:inline distT="0" distB="0" distL="0" distR="0" wp14:anchorId="6A84E2DB" wp14:editId="06FFCFE4">
                  <wp:extent cx="4542790" cy="931545"/>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42790" cy="931545"/>
                          </a:xfrm>
                          <a:prstGeom prst="rect">
                            <a:avLst/>
                          </a:prstGeom>
                          <a:noFill/>
                          <a:ln>
                            <a:noFill/>
                          </a:ln>
                        </pic:spPr>
                      </pic:pic>
                    </a:graphicData>
                  </a:graphic>
                </wp:inline>
              </w:drawing>
            </w:r>
          </w:p>
        </w:tc>
      </w:tr>
    </w:tbl>
    <w:p w14:paraId="68C541E6" w14:textId="77777777" w:rsidR="00F560FD" w:rsidRDefault="00F560FD" w:rsidP="00F560FD">
      <w:pPr>
        <w:spacing w:before="40" w:after="40"/>
        <w:jc w:val="both"/>
        <w:rPr>
          <w:rFonts w:ascii="Century Gothic" w:hAnsi="Century Gothic"/>
          <w:sz w:val="19"/>
          <w:szCs w:val="19"/>
        </w:rPr>
      </w:pPr>
    </w:p>
    <w:p w14:paraId="727E023F" w14:textId="77777777" w:rsidR="00F560FD" w:rsidRDefault="00F560FD" w:rsidP="00F560FD">
      <w:pPr>
        <w:spacing w:before="40" w:after="40"/>
        <w:jc w:val="both"/>
        <w:rPr>
          <w:rFonts w:ascii="Century Gothic" w:hAnsi="Century Gothic"/>
          <w:sz w:val="19"/>
          <w:szCs w:val="19"/>
        </w:rPr>
      </w:pPr>
      <w:r w:rsidRPr="00296E53">
        <w:rPr>
          <w:rFonts w:ascii="Century Gothic" w:hAnsi="Century Gothic"/>
          <w:sz w:val="19"/>
          <w:szCs w:val="19"/>
        </w:rPr>
        <w:t>Cabe señalar que los casos duplicados o las unidades que se consideraron fuera de la población objetivo que se utilizan para el cálculo de este indicador, se excluyen de los siguientes indicadores.</w:t>
      </w:r>
    </w:p>
    <w:p w14:paraId="67292817" w14:textId="77777777" w:rsidR="00F560FD" w:rsidRPr="00296E53" w:rsidRDefault="00F560FD" w:rsidP="00F560FD">
      <w:pPr>
        <w:spacing w:before="40" w:after="40"/>
        <w:jc w:val="both"/>
        <w:rPr>
          <w:rFonts w:ascii="Century Gothic" w:hAnsi="Century Gothic"/>
          <w:sz w:val="19"/>
          <w:szCs w:val="19"/>
        </w:rPr>
      </w:pPr>
    </w:p>
    <w:p w14:paraId="30F3E847" w14:textId="77777777" w:rsidR="00F560FD" w:rsidRPr="00296E53" w:rsidRDefault="00F560FD" w:rsidP="00F560FD">
      <w:pPr>
        <w:numPr>
          <w:ilvl w:val="0"/>
          <w:numId w:val="1"/>
        </w:numPr>
        <w:spacing w:before="40" w:after="40"/>
        <w:ind w:left="284" w:hanging="284"/>
        <w:contextualSpacing/>
        <w:jc w:val="both"/>
        <w:rPr>
          <w:rFonts w:ascii="Century Gothic" w:hAnsi="Century Gothic"/>
          <w:b/>
          <w:sz w:val="19"/>
          <w:szCs w:val="19"/>
        </w:rPr>
      </w:pPr>
      <w:r w:rsidRPr="00296E53">
        <w:rPr>
          <w:rFonts w:ascii="Century Gothic" w:hAnsi="Century Gothic"/>
          <w:b/>
          <w:sz w:val="19"/>
          <w:szCs w:val="19"/>
        </w:rPr>
        <w:t>Tasa de no respuesta a nivel unidad</w:t>
      </w:r>
    </w:p>
    <w:p w14:paraId="1822B12E" w14:textId="77777777" w:rsidR="00F560FD" w:rsidRDefault="00F560FD" w:rsidP="00F560FD">
      <w:pPr>
        <w:spacing w:before="40" w:after="40"/>
        <w:jc w:val="both"/>
        <w:rPr>
          <w:rFonts w:ascii="Century Gothic" w:hAnsi="Century Gothic"/>
          <w:sz w:val="19"/>
          <w:szCs w:val="19"/>
        </w:rPr>
      </w:pPr>
    </w:p>
    <w:p w14:paraId="05F3ECD5" w14:textId="77777777" w:rsidR="00F560FD" w:rsidRDefault="00F560FD" w:rsidP="00F560FD">
      <w:pPr>
        <w:spacing w:before="40" w:after="40"/>
        <w:jc w:val="both"/>
        <w:rPr>
          <w:rFonts w:ascii="Century Gothic" w:hAnsi="Century Gothic"/>
          <w:sz w:val="19"/>
          <w:szCs w:val="19"/>
        </w:rPr>
      </w:pPr>
      <w:r w:rsidRPr="00296E53">
        <w:rPr>
          <w:rFonts w:ascii="Century Gothic" w:hAnsi="Century Gothic"/>
          <w:sz w:val="19"/>
          <w:szCs w:val="19"/>
        </w:rPr>
        <w:t>El propósito de este indicador es hacer un análisis más fino, buscando conocer la información que le falta al registro administrativo a través de la estimación de los casos a los que no se tuvo acceso. Esto es, cuando el proveedor de la información no envió una parte de los datos o envió datos no admisibles, el registro recibido está incompleto. En el diagrama</w:t>
      </w:r>
      <w:r>
        <w:rPr>
          <w:rFonts w:ascii="Century Gothic" w:hAnsi="Century Gothic"/>
          <w:sz w:val="19"/>
          <w:szCs w:val="19"/>
        </w:rPr>
        <w:t xml:space="preserve"> A.3.3.</w:t>
      </w:r>
      <w:r w:rsidRPr="00296E53">
        <w:rPr>
          <w:rFonts w:ascii="Century Gothic" w:hAnsi="Century Gothic"/>
          <w:sz w:val="19"/>
          <w:szCs w:val="19"/>
        </w:rPr>
        <w:t xml:space="preserve"> se explica</w:t>
      </w:r>
      <w:r>
        <w:rPr>
          <w:rFonts w:ascii="Century Gothic" w:hAnsi="Century Gothic"/>
          <w:sz w:val="19"/>
          <w:szCs w:val="19"/>
        </w:rPr>
        <w:t>n</w:t>
      </w:r>
      <w:r w:rsidRPr="00296E53">
        <w:rPr>
          <w:rFonts w:ascii="Century Gothic" w:hAnsi="Century Gothic"/>
          <w:sz w:val="19"/>
          <w:szCs w:val="19"/>
        </w:rPr>
        <w:t xml:space="preserve"> las distintas opciones que deben tomarse en cuenta para identificar la no respuesta a nivel de unidad. </w:t>
      </w:r>
    </w:p>
    <w:p w14:paraId="79D166EA" w14:textId="77777777" w:rsidR="00F560FD" w:rsidRDefault="00F560FD" w:rsidP="00F560FD">
      <w:pPr>
        <w:spacing w:before="40" w:after="40"/>
        <w:jc w:val="both"/>
        <w:rPr>
          <w:rFonts w:ascii="Century Gothic" w:hAnsi="Century Gothic"/>
          <w:sz w:val="19"/>
          <w:szCs w:val="19"/>
        </w:rPr>
      </w:pPr>
    </w:p>
    <w:p w14:paraId="691BCB5B" w14:textId="77777777" w:rsidR="00F560FD" w:rsidRDefault="00F560FD" w:rsidP="00F560FD">
      <w:pPr>
        <w:spacing w:before="40" w:after="40"/>
        <w:jc w:val="both"/>
        <w:rPr>
          <w:rFonts w:ascii="Century Gothic" w:hAnsi="Century Gothic"/>
          <w:sz w:val="19"/>
          <w:szCs w:val="19"/>
        </w:rPr>
      </w:pPr>
    </w:p>
    <w:p w14:paraId="6A55603C" w14:textId="77777777" w:rsidR="00F560FD" w:rsidRDefault="00F560FD" w:rsidP="00F560FD">
      <w:pPr>
        <w:spacing w:before="40" w:after="40"/>
        <w:jc w:val="both"/>
        <w:rPr>
          <w:rFonts w:ascii="Century Gothic" w:hAnsi="Century Gothic"/>
          <w:sz w:val="19"/>
          <w:szCs w:val="19"/>
        </w:rPr>
      </w:pPr>
    </w:p>
    <w:p w14:paraId="6859D980" w14:textId="77777777" w:rsidR="00F560FD" w:rsidRDefault="00F560FD" w:rsidP="00F560FD">
      <w:pPr>
        <w:spacing w:before="40" w:after="40"/>
        <w:jc w:val="both"/>
        <w:rPr>
          <w:rFonts w:ascii="Century Gothic" w:hAnsi="Century Gothic"/>
          <w:sz w:val="19"/>
          <w:szCs w:val="19"/>
        </w:rPr>
      </w:pPr>
    </w:p>
    <w:p w14:paraId="59F9FF6E" w14:textId="77777777" w:rsidR="00F560FD" w:rsidRDefault="00F560FD" w:rsidP="00F560FD">
      <w:pPr>
        <w:spacing w:before="40" w:after="40"/>
        <w:jc w:val="both"/>
        <w:rPr>
          <w:rFonts w:ascii="Century Gothic" w:hAnsi="Century Gothic"/>
          <w:sz w:val="19"/>
          <w:szCs w:val="19"/>
        </w:rPr>
      </w:pPr>
    </w:p>
    <w:p w14:paraId="66C9096F" w14:textId="77777777" w:rsidR="00F560FD" w:rsidRDefault="00F560FD" w:rsidP="00F560FD">
      <w:pPr>
        <w:spacing w:before="40" w:after="40"/>
        <w:jc w:val="both"/>
        <w:rPr>
          <w:rFonts w:ascii="Century Gothic" w:hAnsi="Century Gothic"/>
          <w:sz w:val="19"/>
          <w:szCs w:val="19"/>
        </w:rPr>
      </w:pPr>
    </w:p>
    <w:p w14:paraId="497BC56F" w14:textId="77777777" w:rsidR="00F560FD" w:rsidRDefault="00F560FD" w:rsidP="00F560FD">
      <w:pPr>
        <w:spacing w:before="40" w:after="40"/>
        <w:jc w:val="both"/>
        <w:rPr>
          <w:rFonts w:ascii="Century Gothic" w:hAnsi="Century Gothic"/>
          <w:sz w:val="19"/>
          <w:szCs w:val="19"/>
        </w:rPr>
      </w:pPr>
    </w:p>
    <w:p w14:paraId="2C52128F" w14:textId="77777777" w:rsidR="00F560FD" w:rsidRDefault="00F560FD" w:rsidP="00F560FD">
      <w:pPr>
        <w:spacing w:before="40" w:after="40"/>
        <w:jc w:val="center"/>
        <w:rPr>
          <w:rFonts w:ascii="Century Gothic" w:hAnsi="Century Gothic"/>
          <w:sz w:val="19"/>
          <w:szCs w:val="19"/>
        </w:rPr>
      </w:pPr>
      <w:r w:rsidRPr="00296E53">
        <w:rPr>
          <w:rFonts w:ascii="Century Gothic" w:hAnsi="Century Gothic"/>
          <w:b/>
          <w:sz w:val="19"/>
          <w:szCs w:val="19"/>
        </w:rPr>
        <w:t>A.</w:t>
      </w:r>
      <w:r>
        <w:rPr>
          <w:rFonts w:ascii="Century Gothic" w:hAnsi="Century Gothic"/>
          <w:b/>
          <w:sz w:val="19"/>
          <w:szCs w:val="19"/>
        </w:rPr>
        <w:t>3</w:t>
      </w:r>
      <w:r w:rsidRPr="00296E53">
        <w:rPr>
          <w:rFonts w:ascii="Century Gothic" w:hAnsi="Century Gothic"/>
          <w:b/>
          <w:sz w:val="19"/>
          <w:szCs w:val="19"/>
        </w:rPr>
        <w:t>.</w:t>
      </w:r>
      <w:r>
        <w:rPr>
          <w:rFonts w:ascii="Century Gothic" w:hAnsi="Century Gothic"/>
          <w:b/>
          <w:sz w:val="19"/>
          <w:szCs w:val="19"/>
        </w:rPr>
        <w:t>3</w:t>
      </w:r>
      <w:r w:rsidRPr="00296E53">
        <w:rPr>
          <w:rFonts w:ascii="Century Gothic" w:hAnsi="Century Gothic"/>
          <w:b/>
          <w:sz w:val="19"/>
          <w:szCs w:val="19"/>
        </w:rPr>
        <w:t>. Componentes de la no respuesta a nivel unidad</w:t>
      </w:r>
    </w:p>
    <w:tbl>
      <w:tblPr>
        <w:tblStyle w:val="Tablaconcuadrcula"/>
        <w:tblW w:w="14317" w:type="dxa"/>
        <w:tblInd w:w="-714" w:type="dxa"/>
        <w:tblBorders>
          <w:insideH w:val="none" w:sz="0" w:space="0" w:color="auto"/>
          <w:insideV w:val="none" w:sz="0" w:space="0" w:color="auto"/>
        </w:tblBorders>
        <w:tblLayout w:type="fixed"/>
        <w:tblLook w:val="04A0" w:firstRow="1" w:lastRow="0" w:firstColumn="1" w:lastColumn="0" w:noHBand="0" w:noVBand="1"/>
      </w:tblPr>
      <w:tblGrid>
        <w:gridCol w:w="7230"/>
        <w:gridCol w:w="7087"/>
      </w:tblGrid>
      <w:tr w:rsidR="00F560FD" w14:paraId="4A2A9781" w14:textId="77777777" w:rsidTr="00F560FD">
        <w:tc>
          <w:tcPr>
            <w:tcW w:w="7230" w:type="dxa"/>
            <w:vAlign w:val="center"/>
          </w:tcPr>
          <w:p w14:paraId="639ECC9E" w14:textId="77777777" w:rsidR="00F560FD" w:rsidRDefault="00F560FD" w:rsidP="006A0658">
            <w:pPr>
              <w:spacing w:before="40" w:after="40"/>
              <w:jc w:val="both"/>
              <w:rPr>
                <w:rFonts w:ascii="Century Gothic" w:hAnsi="Century Gothic"/>
                <w:sz w:val="19"/>
                <w:szCs w:val="19"/>
              </w:rPr>
            </w:pPr>
            <w:r w:rsidRPr="00706F7F">
              <w:rPr>
                <w:rFonts w:ascii="Century Gothic" w:hAnsi="Century Gothic"/>
                <w:noProof/>
                <w:sz w:val="19"/>
                <w:szCs w:val="19"/>
                <w:lang w:eastAsia="es-MX"/>
              </w:rPr>
              <w:drawing>
                <wp:inline distT="0" distB="0" distL="0" distR="0" wp14:anchorId="1ED719A0" wp14:editId="3CFEC0A7">
                  <wp:extent cx="4292753" cy="2482770"/>
                  <wp:effectExtent l="0" t="0" r="0"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l="922" t="2304" r="1476" b="3450"/>
                          <a:stretch/>
                        </pic:blipFill>
                        <pic:spPr bwMode="auto">
                          <a:xfrm>
                            <a:off x="0" y="0"/>
                            <a:ext cx="4351279" cy="251662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87" w:type="dxa"/>
            <w:vAlign w:val="center"/>
          </w:tcPr>
          <w:p w14:paraId="5E1CACFA" w14:textId="77777777" w:rsidR="00F560FD" w:rsidRDefault="00F560FD" w:rsidP="006A0658">
            <w:pPr>
              <w:spacing w:before="40" w:after="40"/>
              <w:jc w:val="both"/>
              <w:rPr>
                <w:rFonts w:ascii="Century Gothic" w:hAnsi="Century Gothic"/>
                <w:sz w:val="19"/>
                <w:szCs w:val="19"/>
              </w:rPr>
            </w:pPr>
            <w:r w:rsidRPr="00706F7F">
              <w:rPr>
                <w:rFonts w:ascii="Century Gothic" w:hAnsi="Century Gothic"/>
                <w:noProof/>
                <w:sz w:val="19"/>
                <w:szCs w:val="19"/>
                <w:lang w:eastAsia="es-MX"/>
              </w:rPr>
              <w:drawing>
                <wp:inline distT="0" distB="0" distL="0" distR="0" wp14:anchorId="1431A2FC" wp14:editId="4F4648A1">
                  <wp:extent cx="4184248" cy="329879"/>
                  <wp:effectExtent l="0" t="0" r="0" b="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2">
                            <a:extLst>
                              <a:ext uri="{28A0092B-C50C-407E-A947-70E740481C1C}">
                                <a14:useLocalDpi xmlns:a14="http://schemas.microsoft.com/office/drawing/2010/main" val="0"/>
                              </a:ext>
                            </a:extLst>
                          </a:blip>
                          <a:srcRect r="11398" b="3439"/>
                          <a:stretch/>
                        </pic:blipFill>
                        <pic:spPr bwMode="auto">
                          <a:xfrm>
                            <a:off x="0" y="0"/>
                            <a:ext cx="4184248" cy="329879"/>
                          </a:xfrm>
                          <a:prstGeom prst="rect">
                            <a:avLst/>
                          </a:prstGeom>
                          <a:noFill/>
                          <a:ln>
                            <a:noFill/>
                          </a:ln>
                          <a:extLst>
                            <a:ext uri="{53640926-AAD7-44D8-BBD7-CCE9431645EC}">
                              <a14:shadowObscured xmlns:a14="http://schemas.microsoft.com/office/drawing/2010/main"/>
                            </a:ext>
                          </a:extLst>
                        </pic:spPr>
                      </pic:pic>
                    </a:graphicData>
                  </a:graphic>
                </wp:inline>
              </w:drawing>
            </w:r>
          </w:p>
          <w:p w14:paraId="0D24DC06" w14:textId="77777777" w:rsidR="00F560FD" w:rsidRPr="00F560FD" w:rsidRDefault="00F560FD" w:rsidP="006A0658">
            <w:pPr>
              <w:spacing w:before="40" w:after="40"/>
              <w:rPr>
                <w:rFonts w:ascii="Century Gothic" w:hAnsi="Century Gothic"/>
                <w:bCs/>
                <w:sz w:val="16"/>
                <w:szCs w:val="16"/>
                <w:lang w:val="es-MX"/>
              </w:rPr>
            </w:pPr>
            <w:r w:rsidRPr="00F560FD">
              <w:rPr>
                <w:rFonts w:ascii="Century Gothic" w:hAnsi="Century Gothic"/>
                <w:bCs/>
                <w:sz w:val="16"/>
                <w:szCs w:val="16"/>
                <w:lang w:val="es-MX"/>
              </w:rPr>
              <w:t>Donde</w:t>
            </w:r>
          </w:p>
          <w:p w14:paraId="5A19868E" w14:textId="77777777" w:rsidR="00F560FD" w:rsidRPr="00F560FD" w:rsidRDefault="00F560FD" w:rsidP="006A0658">
            <w:pPr>
              <w:spacing w:before="40" w:after="40"/>
              <w:rPr>
                <w:rFonts w:ascii="Century Gothic" w:hAnsi="Century Gothic"/>
                <w:bCs/>
                <w:sz w:val="16"/>
                <w:szCs w:val="16"/>
                <w:lang w:val="es-MX"/>
              </w:rPr>
            </w:pPr>
            <m:oMath>
              <m:sSub>
                <m:sSubPr>
                  <m:ctrlPr>
                    <w:rPr>
                      <w:rFonts w:ascii="Cambria Math" w:hAnsi="Cambria Math"/>
                      <w:bCs/>
                      <w:i/>
                      <w:iCs/>
                      <w:sz w:val="16"/>
                      <w:szCs w:val="16"/>
                      <w:lang w:val="es-419"/>
                    </w:rPr>
                  </m:ctrlPr>
                </m:sSubPr>
                <m:e>
                  <m:r>
                    <w:rPr>
                      <w:rFonts w:ascii="Cambria Math" w:hAnsi="Cambria Math"/>
                      <w:sz w:val="16"/>
                      <w:szCs w:val="16"/>
                      <w:lang w:val="es-419"/>
                    </w:rPr>
                    <m:t>N</m:t>
                  </m:r>
                </m:e>
                <m:sub>
                  <m:r>
                    <w:rPr>
                      <w:rFonts w:ascii="Cambria Math" w:hAnsi="Cambria Math"/>
                      <w:sz w:val="16"/>
                      <w:szCs w:val="16"/>
                      <w:lang w:val="es-419"/>
                    </w:rPr>
                    <m:t>g1</m:t>
                  </m:r>
                </m:sub>
              </m:sSub>
            </m:oMath>
            <w:r w:rsidRPr="00F560FD">
              <w:rPr>
                <w:rFonts w:ascii="Century Gothic" w:hAnsi="Century Gothic"/>
                <w:bCs/>
                <w:sz w:val="16"/>
                <w:szCs w:val="16"/>
                <w:lang w:val="es-MX"/>
              </w:rPr>
              <w:t xml:space="preserve"> es el número total de unidades contenidas en los registros administrativos que no fueron proporcionados por los proveedores de información,</w:t>
            </w:r>
          </w:p>
          <w:p w14:paraId="204BCE27" w14:textId="77777777" w:rsidR="00F560FD" w:rsidRPr="00F560FD" w:rsidRDefault="00F560FD" w:rsidP="006A0658">
            <w:pPr>
              <w:spacing w:before="40" w:after="40"/>
              <w:rPr>
                <w:rFonts w:ascii="Century Gothic" w:hAnsi="Century Gothic"/>
                <w:bCs/>
                <w:sz w:val="16"/>
                <w:szCs w:val="16"/>
                <w:lang w:val="es-MX"/>
              </w:rPr>
            </w:pPr>
            <m:oMath>
              <m:sSub>
                <m:sSubPr>
                  <m:ctrlPr>
                    <w:rPr>
                      <w:rFonts w:ascii="Cambria Math" w:hAnsi="Cambria Math"/>
                      <w:bCs/>
                      <w:i/>
                      <w:iCs/>
                      <w:sz w:val="16"/>
                      <w:szCs w:val="16"/>
                      <w:lang w:val="es-419"/>
                    </w:rPr>
                  </m:ctrlPr>
                </m:sSubPr>
                <m:e>
                  <m:r>
                    <w:rPr>
                      <w:rFonts w:ascii="Cambria Math" w:hAnsi="Cambria Math"/>
                      <w:sz w:val="16"/>
                      <w:szCs w:val="16"/>
                      <w:lang w:val="es-419"/>
                    </w:rPr>
                    <m:t>N</m:t>
                  </m:r>
                </m:e>
                <m:sub>
                  <m:r>
                    <w:rPr>
                      <w:rFonts w:ascii="Cambria Math" w:hAnsi="Cambria Math"/>
                      <w:sz w:val="16"/>
                      <w:szCs w:val="16"/>
                      <w:lang w:val="es-419"/>
                    </w:rPr>
                    <m:t>g2</m:t>
                  </m:r>
                </m:sub>
              </m:sSub>
            </m:oMath>
            <w:r w:rsidRPr="00F560FD">
              <w:rPr>
                <w:rFonts w:ascii="Century Gothic" w:hAnsi="Century Gothic"/>
                <w:bCs/>
                <w:sz w:val="16"/>
                <w:szCs w:val="16"/>
                <w:lang w:val="es-MX"/>
              </w:rPr>
              <w:t xml:space="preserve"> es el número total de unidades bien identificadas de las cuales no se captó información aun cuando se tuvo acceso a los registros administrativos,</w:t>
            </w:r>
          </w:p>
          <w:p w14:paraId="17307C79" w14:textId="77777777" w:rsidR="00F560FD" w:rsidRPr="00F560FD" w:rsidRDefault="00F560FD" w:rsidP="006A0658">
            <w:pPr>
              <w:spacing w:before="40" w:after="40"/>
              <w:rPr>
                <w:rFonts w:ascii="Century Gothic" w:hAnsi="Century Gothic"/>
                <w:bCs/>
                <w:sz w:val="16"/>
                <w:szCs w:val="16"/>
                <w:lang w:val="es-MX"/>
              </w:rPr>
            </w:pPr>
            <m:oMath>
              <m:sSub>
                <m:sSubPr>
                  <m:ctrlPr>
                    <w:rPr>
                      <w:rFonts w:ascii="Cambria Math" w:hAnsi="Cambria Math"/>
                      <w:bCs/>
                      <w:i/>
                      <w:iCs/>
                      <w:sz w:val="16"/>
                      <w:szCs w:val="16"/>
                      <w:lang w:val="es-419"/>
                    </w:rPr>
                  </m:ctrlPr>
                </m:sSubPr>
                <m:e>
                  <m:r>
                    <w:rPr>
                      <w:rFonts w:ascii="Cambria Math" w:hAnsi="Cambria Math"/>
                      <w:sz w:val="16"/>
                      <w:szCs w:val="16"/>
                      <w:lang w:val="es-419"/>
                    </w:rPr>
                    <m:t>N</m:t>
                  </m:r>
                </m:e>
                <m:sub>
                  <m:r>
                    <w:rPr>
                      <w:rFonts w:ascii="Cambria Math" w:hAnsi="Cambria Math"/>
                      <w:sz w:val="16"/>
                      <w:szCs w:val="16"/>
                      <w:lang w:val="es-419"/>
                    </w:rPr>
                    <m:t>g3</m:t>
                  </m:r>
                </m:sub>
              </m:sSub>
            </m:oMath>
            <w:r w:rsidRPr="00F560FD">
              <w:rPr>
                <w:rFonts w:ascii="Century Gothic" w:hAnsi="Century Gothic"/>
                <w:bCs/>
                <w:sz w:val="16"/>
                <w:szCs w:val="16"/>
                <w:lang w:val="es-MX"/>
              </w:rPr>
              <w:t xml:space="preserve"> es el número total de unidades de las cuales aun cuando no se sabe su identidad se infiere que faltan dado que en el registro administrativo están ausentes unidades correspondientes a cierto aspecto temporal o es</w:t>
            </w:r>
            <w:proofErr w:type="spellStart"/>
            <w:r w:rsidRPr="00F560FD">
              <w:rPr>
                <w:rFonts w:ascii="Century Gothic" w:hAnsi="Century Gothic"/>
                <w:bCs/>
                <w:sz w:val="16"/>
                <w:szCs w:val="16"/>
                <w:lang w:val="es-MX"/>
              </w:rPr>
              <w:t>pacial</w:t>
            </w:r>
            <w:proofErr w:type="spellEnd"/>
            <w:r w:rsidRPr="00F560FD">
              <w:rPr>
                <w:rFonts w:ascii="Century Gothic" w:hAnsi="Century Gothic"/>
                <w:bCs/>
                <w:sz w:val="16"/>
                <w:szCs w:val="16"/>
                <w:lang w:val="es-MX"/>
              </w:rPr>
              <w:t xml:space="preserve"> (</w:t>
            </w:r>
            <w:proofErr w:type="spellStart"/>
            <w:r w:rsidRPr="00F560FD">
              <w:rPr>
                <w:rFonts w:ascii="Century Gothic" w:hAnsi="Century Gothic"/>
                <w:bCs/>
                <w:sz w:val="16"/>
                <w:szCs w:val="16"/>
                <w:lang w:val="es-MX"/>
              </w:rPr>
              <w:t>e.g</w:t>
            </w:r>
            <w:proofErr w:type="spellEnd"/>
            <w:r w:rsidRPr="00F560FD">
              <w:rPr>
                <w:rFonts w:ascii="Century Gothic" w:hAnsi="Century Gothic"/>
                <w:bCs/>
                <w:sz w:val="16"/>
                <w:szCs w:val="16"/>
                <w:lang w:val="es-MX"/>
              </w:rPr>
              <w:t>., faltó la información de uno de los doce meses)</w:t>
            </w:r>
          </w:p>
          <w:p w14:paraId="3A23DA51" w14:textId="77777777" w:rsidR="00F560FD" w:rsidRPr="00F560FD" w:rsidRDefault="00F560FD" w:rsidP="006A0658">
            <w:pPr>
              <w:spacing w:before="40" w:after="40"/>
              <w:rPr>
                <w:rFonts w:ascii="Century Gothic" w:hAnsi="Century Gothic"/>
                <w:bCs/>
                <w:sz w:val="16"/>
                <w:szCs w:val="16"/>
                <w:lang w:val="es-MX"/>
              </w:rPr>
            </w:pPr>
            <m:oMath>
              <m:sSub>
                <m:sSubPr>
                  <m:ctrlPr>
                    <w:rPr>
                      <w:rFonts w:ascii="Cambria Math" w:hAnsi="Cambria Math"/>
                      <w:bCs/>
                      <w:i/>
                      <w:iCs/>
                      <w:sz w:val="16"/>
                      <w:szCs w:val="16"/>
                      <w:lang w:val="es-419"/>
                    </w:rPr>
                  </m:ctrlPr>
                </m:sSubPr>
                <m:e>
                  <m:r>
                    <w:rPr>
                      <w:rFonts w:ascii="Cambria Math" w:hAnsi="Cambria Math"/>
                      <w:sz w:val="16"/>
                      <w:szCs w:val="16"/>
                      <w:lang w:val="es-419"/>
                    </w:rPr>
                    <m:t>N</m:t>
                  </m:r>
                </m:e>
                <m:sub>
                  <m:r>
                    <w:rPr>
                      <w:rFonts w:ascii="Cambria Math" w:hAnsi="Cambria Math"/>
                      <w:sz w:val="16"/>
                      <w:szCs w:val="16"/>
                      <w:lang w:val="es-419"/>
                    </w:rPr>
                    <m:t>g4</m:t>
                  </m:r>
                </m:sub>
              </m:sSub>
            </m:oMath>
            <w:r w:rsidRPr="00F560FD">
              <w:rPr>
                <w:rFonts w:ascii="Century Gothic" w:hAnsi="Century Gothic"/>
                <w:bCs/>
                <w:sz w:val="16"/>
                <w:szCs w:val="16"/>
                <w:lang w:val="es-MX"/>
              </w:rPr>
              <w:t xml:space="preserve"> es el número total de unidades en los registros administrativos a los que se tuvo acceso con información no admisible en al menos una variable</w:t>
            </w:r>
          </w:p>
          <w:p w14:paraId="0C7B1D49" w14:textId="77777777" w:rsidR="00F560FD" w:rsidRPr="00F560FD" w:rsidRDefault="00F560FD" w:rsidP="006A0658">
            <w:pPr>
              <w:spacing w:before="40" w:after="40"/>
              <w:rPr>
                <w:rFonts w:ascii="Century Gothic" w:hAnsi="Century Gothic"/>
                <w:bCs/>
                <w:sz w:val="16"/>
                <w:szCs w:val="16"/>
                <w:lang w:val="es-MX"/>
              </w:rPr>
            </w:pPr>
            <m:oMath>
              <m:sSub>
                <m:sSubPr>
                  <m:ctrlPr>
                    <w:rPr>
                      <w:rFonts w:ascii="Cambria Math" w:hAnsi="Cambria Math"/>
                      <w:bCs/>
                      <w:i/>
                      <w:iCs/>
                      <w:sz w:val="16"/>
                      <w:szCs w:val="16"/>
                      <w:lang w:val="es-419"/>
                    </w:rPr>
                  </m:ctrlPr>
                </m:sSubPr>
                <m:e>
                  <m:r>
                    <w:rPr>
                      <w:rFonts w:ascii="Cambria Math" w:hAnsi="Cambria Math"/>
                      <w:sz w:val="16"/>
                      <w:szCs w:val="16"/>
                      <w:lang w:val="es-419"/>
                    </w:rPr>
                    <m:t>N</m:t>
                  </m:r>
                </m:e>
                <m:sub>
                  <m:r>
                    <w:rPr>
                      <w:rFonts w:ascii="Cambria Math" w:hAnsi="Cambria Math"/>
                      <w:sz w:val="16"/>
                      <w:szCs w:val="16"/>
                      <w:lang w:val="es-419"/>
                    </w:rPr>
                    <m:t>g5</m:t>
                  </m:r>
                </m:sub>
              </m:sSub>
            </m:oMath>
            <w:r w:rsidRPr="00F560FD">
              <w:rPr>
                <w:rFonts w:ascii="Century Gothic" w:hAnsi="Century Gothic"/>
                <w:bCs/>
                <w:sz w:val="16"/>
                <w:szCs w:val="16"/>
                <w:lang w:val="es-MX"/>
              </w:rPr>
              <w:t xml:space="preserve"> es el número total de unidades en los registros administrativos a los que se tuvo acceso con información admisible en todas las variables</w:t>
            </w:r>
          </w:p>
          <w:p w14:paraId="6A1F3469" w14:textId="77777777" w:rsidR="00F560FD" w:rsidRPr="00F560FD" w:rsidRDefault="00F560FD" w:rsidP="006A0658">
            <w:pPr>
              <w:spacing w:before="40" w:after="40"/>
              <w:rPr>
                <w:rFonts w:ascii="Century Gothic" w:hAnsi="Century Gothic"/>
                <w:sz w:val="19"/>
                <w:szCs w:val="19"/>
                <w:lang w:val="es-MX"/>
              </w:rPr>
            </w:pPr>
            <w:r w:rsidRPr="00F560FD">
              <w:rPr>
                <w:rFonts w:ascii="Century Gothic" w:hAnsi="Century Gothic"/>
                <w:bCs/>
                <w:sz w:val="16"/>
                <w:szCs w:val="16"/>
                <w:lang w:val="es-MX"/>
              </w:rPr>
              <w:t xml:space="preserve">Nota. Para realizar el cálculo se eliminan los casos considerados como </w:t>
            </w:r>
            <w:proofErr w:type="spellStart"/>
            <w:r w:rsidRPr="00F560FD">
              <w:rPr>
                <w:rFonts w:ascii="Century Gothic" w:hAnsi="Century Gothic"/>
                <w:bCs/>
                <w:sz w:val="16"/>
                <w:szCs w:val="16"/>
                <w:lang w:val="es-MX"/>
              </w:rPr>
              <w:t>sobrecobertura</w:t>
            </w:r>
            <w:proofErr w:type="spellEnd"/>
            <w:r w:rsidRPr="00F560FD">
              <w:rPr>
                <w:rFonts w:ascii="Century Gothic" w:hAnsi="Century Gothic"/>
                <w:bCs/>
                <w:sz w:val="16"/>
                <w:szCs w:val="16"/>
                <w:lang w:val="es-MX"/>
              </w:rPr>
              <w:t>, incluyendo duplicados.</w:t>
            </w:r>
          </w:p>
        </w:tc>
      </w:tr>
    </w:tbl>
    <w:p w14:paraId="5F031743" w14:textId="77777777" w:rsidR="00F560FD" w:rsidRPr="00296E53" w:rsidRDefault="00F560FD" w:rsidP="00F560FD">
      <w:pPr>
        <w:spacing w:before="40" w:after="40"/>
        <w:jc w:val="center"/>
        <w:rPr>
          <w:rFonts w:ascii="Century Gothic" w:hAnsi="Century Gothic"/>
          <w:bCs/>
          <w:sz w:val="19"/>
          <w:szCs w:val="19"/>
        </w:rPr>
      </w:pPr>
    </w:p>
    <w:p w14:paraId="14A058A8" w14:textId="77777777" w:rsidR="00F560FD" w:rsidRDefault="00F560FD" w:rsidP="00F560FD">
      <w:pPr>
        <w:spacing w:before="40" w:after="40"/>
        <w:jc w:val="both"/>
        <w:rPr>
          <w:rFonts w:ascii="Century Gothic" w:hAnsi="Century Gothic"/>
          <w:sz w:val="19"/>
          <w:szCs w:val="19"/>
        </w:rPr>
      </w:pPr>
      <w:r w:rsidRPr="00CC7448">
        <w:rPr>
          <w:rFonts w:ascii="Century Gothic" w:hAnsi="Century Gothic"/>
          <w:sz w:val="19"/>
          <w:szCs w:val="19"/>
        </w:rPr>
        <w:t xml:space="preserve">La no respuesta o existencia de valores perdidos está presente en todo programa de </w:t>
      </w:r>
      <w:r>
        <w:rPr>
          <w:rFonts w:ascii="Century Gothic" w:hAnsi="Century Gothic"/>
          <w:sz w:val="19"/>
          <w:szCs w:val="19"/>
        </w:rPr>
        <w:t>información</w:t>
      </w:r>
      <w:r w:rsidRPr="00CC7448">
        <w:rPr>
          <w:rFonts w:ascii="Century Gothic" w:hAnsi="Century Gothic"/>
          <w:sz w:val="19"/>
          <w:szCs w:val="19"/>
        </w:rPr>
        <w:t xml:space="preserve"> y puede inducir un sesgo en l</w:t>
      </w:r>
      <w:r>
        <w:rPr>
          <w:rFonts w:ascii="Century Gothic" w:hAnsi="Century Gothic"/>
          <w:sz w:val="19"/>
          <w:szCs w:val="19"/>
        </w:rPr>
        <w:t>o</w:t>
      </w:r>
      <w:r w:rsidRPr="00CC7448">
        <w:rPr>
          <w:rFonts w:ascii="Century Gothic" w:hAnsi="Century Gothic"/>
          <w:sz w:val="19"/>
          <w:szCs w:val="19"/>
        </w:rPr>
        <w:t xml:space="preserve">s </w:t>
      </w:r>
      <w:r>
        <w:rPr>
          <w:rFonts w:ascii="Century Gothic" w:hAnsi="Century Gothic"/>
          <w:sz w:val="19"/>
          <w:szCs w:val="19"/>
        </w:rPr>
        <w:t>resultados.</w:t>
      </w:r>
      <w:r w:rsidRPr="00CC7448">
        <w:rPr>
          <w:rFonts w:ascii="Century Gothic" w:hAnsi="Century Gothic"/>
          <w:sz w:val="19"/>
          <w:szCs w:val="19"/>
        </w:rPr>
        <w:t xml:space="preserve"> El objetivo principal de la tasa de no respuesta a nivel unidad de observación es identificar la existencia de patrones en la no respuesta que pudieran inducir ese sesgo</w:t>
      </w:r>
      <w:r>
        <w:rPr>
          <w:rFonts w:ascii="Century Gothic" w:hAnsi="Century Gothic"/>
          <w:sz w:val="19"/>
          <w:szCs w:val="19"/>
        </w:rPr>
        <w:t xml:space="preserve">. </w:t>
      </w:r>
      <w:r w:rsidRPr="00CC7448">
        <w:rPr>
          <w:rFonts w:ascii="Century Gothic" w:hAnsi="Century Gothic"/>
          <w:sz w:val="19"/>
          <w:szCs w:val="19"/>
        </w:rPr>
        <w:t>Para este indicador no se adopta un valor de referencia</w:t>
      </w:r>
      <w:r>
        <w:rPr>
          <w:rFonts w:ascii="Century Gothic" w:hAnsi="Century Gothic"/>
          <w:sz w:val="19"/>
          <w:szCs w:val="19"/>
        </w:rPr>
        <w:t>;</w:t>
      </w:r>
      <w:r w:rsidRPr="00CC7448">
        <w:rPr>
          <w:rFonts w:ascii="Century Gothic" w:hAnsi="Century Gothic"/>
          <w:sz w:val="19"/>
          <w:szCs w:val="19"/>
        </w:rPr>
        <w:t xml:space="preserve"> sin embargo, valores altos o la existencia de patrones entre las agrupaciones </w:t>
      </w:r>
      <w:r>
        <w:rPr>
          <w:rFonts w:ascii="Century Gothic" w:hAnsi="Century Gothic"/>
          <w:sz w:val="19"/>
          <w:szCs w:val="19"/>
        </w:rPr>
        <w:t>obligan a</w:t>
      </w:r>
      <w:r w:rsidRPr="00CC7448">
        <w:rPr>
          <w:rFonts w:ascii="Century Gothic" w:hAnsi="Century Gothic"/>
          <w:sz w:val="19"/>
          <w:szCs w:val="19"/>
        </w:rPr>
        <w:t xml:space="preserve"> una revisión de los insumos.</w:t>
      </w:r>
      <w:r>
        <w:rPr>
          <w:rFonts w:ascii="Century Gothic" w:hAnsi="Century Gothic"/>
          <w:sz w:val="19"/>
          <w:szCs w:val="19"/>
        </w:rPr>
        <w:t xml:space="preserve">  Algunas acciones que se pueden generar para corregir este tipo de problemas son </w:t>
      </w:r>
      <w:r w:rsidRPr="00CC7448">
        <w:rPr>
          <w:rFonts w:ascii="Century Gothic" w:hAnsi="Century Gothic"/>
          <w:sz w:val="19"/>
          <w:szCs w:val="19"/>
        </w:rPr>
        <w:t xml:space="preserve">mejorar o concretar protocolos de intercambio con los proveedores de información, analizar la conveniencia de usar métodos de imputación o alguna acción para homologar conceptos. </w:t>
      </w:r>
    </w:p>
    <w:p w14:paraId="6675ED69" w14:textId="77777777" w:rsidR="00F560FD" w:rsidRPr="00296E53" w:rsidRDefault="00F560FD" w:rsidP="00F560FD">
      <w:pPr>
        <w:spacing w:before="40" w:after="40"/>
        <w:rPr>
          <w:rFonts w:ascii="Century Gothic" w:hAnsi="Century Gothic"/>
          <w:bCs/>
          <w:sz w:val="19"/>
          <w:szCs w:val="19"/>
        </w:rPr>
      </w:pPr>
    </w:p>
    <w:p w14:paraId="5521C0D1" w14:textId="77777777" w:rsidR="00F560FD" w:rsidRPr="00296E53" w:rsidRDefault="00F560FD" w:rsidP="00F560FD">
      <w:pPr>
        <w:numPr>
          <w:ilvl w:val="0"/>
          <w:numId w:val="1"/>
        </w:numPr>
        <w:spacing w:before="40" w:after="40"/>
        <w:ind w:left="284" w:hanging="284"/>
        <w:contextualSpacing/>
        <w:jc w:val="both"/>
        <w:rPr>
          <w:rFonts w:ascii="Century Gothic" w:hAnsi="Century Gothic"/>
          <w:b/>
          <w:sz w:val="19"/>
          <w:szCs w:val="19"/>
        </w:rPr>
      </w:pPr>
      <w:r w:rsidRPr="00296E53">
        <w:rPr>
          <w:rFonts w:ascii="Century Gothic" w:hAnsi="Century Gothic"/>
          <w:b/>
          <w:sz w:val="19"/>
          <w:szCs w:val="19"/>
        </w:rPr>
        <w:t>Tasa de no respuesta a nivel variable</w:t>
      </w:r>
    </w:p>
    <w:p w14:paraId="0AEEEC71" w14:textId="77777777" w:rsidR="00F560FD" w:rsidRDefault="00F560FD" w:rsidP="00F560FD">
      <w:pPr>
        <w:spacing w:before="40" w:after="40"/>
        <w:jc w:val="both"/>
        <w:rPr>
          <w:rFonts w:ascii="Century Gothic" w:hAnsi="Century Gothic"/>
          <w:sz w:val="19"/>
          <w:szCs w:val="19"/>
        </w:rPr>
      </w:pPr>
    </w:p>
    <w:p w14:paraId="0AF16EB7" w14:textId="77777777" w:rsidR="00F560FD" w:rsidRDefault="00F560FD" w:rsidP="00F560FD">
      <w:pPr>
        <w:spacing w:before="40" w:after="40"/>
        <w:jc w:val="both"/>
        <w:rPr>
          <w:rFonts w:ascii="Century Gothic" w:hAnsi="Century Gothic"/>
          <w:sz w:val="19"/>
          <w:szCs w:val="19"/>
        </w:rPr>
      </w:pPr>
      <w:r>
        <w:rPr>
          <w:rFonts w:ascii="Century Gothic" w:hAnsi="Century Gothic"/>
          <w:sz w:val="19"/>
          <w:szCs w:val="19"/>
        </w:rPr>
        <w:t>Este indicador</w:t>
      </w:r>
      <w:r w:rsidRPr="00296E53">
        <w:rPr>
          <w:rFonts w:ascii="Century Gothic" w:hAnsi="Century Gothic"/>
          <w:sz w:val="19"/>
          <w:szCs w:val="19"/>
        </w:rPr>
        <w:t xml:space="preserve"> busca determinar si a nivel variable falta información del fenómeno a medir en la base de datos final.</w:t>
      </w:r>
      <w:r>
        <w:rPr>
          <w:rFonts w:ascii="Century Gothic" w:hAnsi="Century Gothic"/>
          <w:sz w:val="19"/>
          <w:szCs w:val="19"/>
        </w:rPr>
        <w:t xml:space="preserve"> L</w:t>
      </w:r>
      <w:r w:rsidRPr="00CC7448">
        <w:rPr>
          <w:rFonts w:ascii="Century Gothic" w:hAnsi="Century Gothic"/>
          <w:sz w:val="19"/>
          <w:szCs w:val="19"/>
        </w:rPr>
        <w:t>a tasa de no respuesta a nivel variable se debe interpretar en conjunto y de forma adicional a la tasa de no respuesta a nivel unidad, pues esta última incluye aquellos casos en donde toda la unidad, incluyendo la información de la variable en cuestión, es considerada como no respuesta.</w:t>
      </w:r>
      <w:r>
        <w:rPr>
          <w:rFonts w:ascii="Century Gothic" w:hAnsi="Century Gothic"/>
          <w:sz w:val="19"/>
          <w:szCs w:val="19"/>
        </w:rPr>
        <w:t xml:space="preserve"> </w:t>
      </w:r>
      <w:r w:rsidRPr="00CC7448">
        <w:rPr>
          <w:rFonts w:ascii="Century Gothic" w:hAnsi="Century Gothic"/>
          <w:sz w:val="19"/>
          <w:szCs w:val="19"/>
        </w:rPr>
        <w:t>La tasa de no respuesta a nivel variable tiene como principal objetivo identificar la existencia de patrones en la no respuesta en una variable en particular</w:t>
      </w:r>
      <w:r>
        <w:rPr>
          <w:rFonts w:ascii="Century Gothic" w:hAnsi="Century Gothic"/>
          <w:sz w:val="19"/>
          <w:szCs w:val="19"/>
        </w:rPr>
        <w:t>.  Cuando se presentan variables con alto porcentaje de no respuesta convendrá revisar los objetivos del programa de información para especificar los indicadores relevantes a ser calculados y eliminar aquellas variables que no contribuyen a este objetivo, o si se consideran variables indispensables</w:t>
      </w:r>
      <w:r w:rsidRPr="00CC7448">
        <w:rPr>
          <w:rFonts w:ascii="Century Gothic" w:hAnsi="Century Gothic"/>
          <w:sz w:val="19"/>
          <w:szCs w:val="19"/>
        </w:rPr>
        <w:t xml:space="preserve"> analizar la conveniencia de usar métodos de imputación</w:t>
      </w:r>
      <w:r>
        <w:rPr>
          <w:rFonts w:ascii="Century Gothic" w:hAnsi="Century Gothic"/>
          <w:sz w:val="19"/>
          <w:szCs w:val="19"/>
        </w:rPr>
        <w:t xml:space="preserve"> o establecer estrategias con los proveedores del registro administrativo para mejorar la respuesta.</w:t>
      </w:r>
      <w:r w:rsidRPr="00CC7448">
        <w:rPr>
          <w:rFonts w:ascii="Century Gothic" w:hAnsi="Century Gothic"/>
          <w:sz w:val="19"/>
          <w:szCs w:val="19"/>
        </w:rPr>
        <w:t xml:space="preserve"> </w:t>
      </w:r>
      <w:r w:rsidRPr="00296E53">
        <w:rPr>
          <w:rFonts w:ascii="Century Gothic" w:hAnsi="Century Gothic"/>
          <w:sz w:val="19"/>
          <w:szCs w:val="19"/>
        </w:rPr>
        <w:t xml:space="preserve"> La pregunta relevante para este caso debe realizarse para cada una de las variables:</w:t>
      </w:r>
    </w:p>
    <w:p w14:paraId="6B3116C7" w14:textId="77777777" w:rsidR="00F560FD" w:rsidRDefault="00F560FD" w:rsidP="00F560FD">
      <w:pPr>
        <w:spacing w:before="40" w:after="40"/>
        <w:jc w:val="both"/>
        <w:rPr>
          <w:rFonts w:ascii="Century Gothic" w:hAnsi="Century Gothic"/>
          <w:sz w:val="19"/>
          <w:szCs w:val="19"/>
        </w:rPr>
      </w:pPr>
    </w:p>
    <w:p w14:paraId="4B8C79AB" w14:textId="77777777" w:rsidR="00F560FD" w:rsidRDefault="00F560FD" w:rsidP="00F560FD">
      <w:pPr>
        <w:spacing w:before="40" w:after="40"/>
        <w:jc w:val="both"/>
        <w:rPr>
          <w:rFonts w:ascii="Century Gothic" w:hAnsi="Century Gothic"/>
          <w:sz w:val="19"/>
          <w:szCs w:val="19"/>
        </w:rPr>
      </w:pPr>
    </w:p>
    <w:p w14:paraId="672464FE" w14:textId="77777777" w:rsidR="00F560FD" w:rsidRDefault="00F560FD" w:rsidP="00F560FD">
      <w:pPr>
        <w:spacing w:before="40" w:after="40"/>
        <w:jc w:val="center"/>
        <w:rPr>
          <w:rFonts w:ascii="Century Gothic" w:hAnsi="Century Gothic"/>
          <w:sz w:val="19"/>
          <w:szCs w:val="19"/>
        </w:rPr>
      </w:pPr>
      <w:r w:rsidRPr="00296E53">
        <w:rPr>
          <w:rFonts w:ascii="Century Gothic" w:hAnsi="Century Gothic"/>
          <w:b/>
          <w:sz w:val="19"/>
          <w:szCs w:val="19"/>
        </w:rPr>
        <w:t>A.</w:t>
      </w:r>
      <w:r>
        <w:rPr>
          <w:rFonts w:ascii="Century Gothic" w:hAnsi="Century Gothic"/>
          <w:b/>
          <w:sz w:val="19"/>
          <w:szCs w:val="19"/>
        </w:rPr>
        <w:t>3</w:t>
      </w:r>
      <w:r w:rsidRPr="00296E53">
        <w:rPr>
          <w:rFonts w:ascii="Century Gothic" w:hAnsi="Century Gothic"/>
          <w:b/>
          <w:sz w:val="19"/>
          <w:szCs w:val="19"/>
        </w:rPr>
        <w:t>.</w:t>
      </w:r>
      <w:r>
        <w:rPr>
          <w:rFonts w:ascii="Century Gothic" w:hAnsi="Century Gothic"/>
          <w:b/>
          <w:sz w:val="19"/>
          <w:szCs w:val="19"/>
        </w:rPr>
        <w:t>4</w:t>
      </w:r>
      <w:r w:rsidRPr="00296E53">
        <w:rPr>
          <w:rFonts w:ascii="Century Gothic" w:hAnsi="Century Gothic"/>
          <w:b/>
          <w:sz w:val="19"/>
          <w:szCs w:val="19"/>
        </w:rPr>
        <w:t>. Pregunta relevante para la tasa de no respuesta a nivel variable</w:t>
      </w:r>
    </w:p>
    <w:tbl>
      <w:tblPr>
        <w:tblStyle w:val="Tablaconcuadrcula"/>
        <w:tblW w:w="0" w:type="auto"/>
        <w:tblLook w:val="04A0" w:firstRow="1" w:lastRow="0" w:firstColumn="1" w:lastColumn="0" w:noHBand="0" w:noVBand="1"/>
      </w:tblPr>
      <w:tblGrid>
        <w:gridCol w:w="9376"/>
        <w:gridCol w:w="3574"/>
      </w:tblGrid>
      <w:tr w:rsidR="00F560FD" w14:paraId="51E1C00E" w14:textId="77777777" w:rsidTr="006A0658">
        <w:tc>
          <w:tcPr>
            <w:tcW w:w="9376" w:type="dxa"/>
            <w:vAlign w:val="center"/>
          </w:tcPr>
          <w:p w14:paraId="7A4361B3" w14:textId="77777777" w:rsidR="00F560FD" w:rsidRDefault="00F560FD" w:rsidP="006A0658">
            <w:pPr>
              <w:spacing w:before="40" w:after="40"/>
              <w:jc w:val="both"/>
              <w:rPr>
                <w:rFonts w:ascii="Century Gothic" w:hAnsi="Century Gothic"/>
                <w:sz w:val="19"/>
                <w:szCs w:val="19"/>
              </w:rPr>
            </w:pPr>
            <w:r w:rsidRPr="00A969CC">
              <w:rPr>
                <w:rFonts w:ascii="Century Gothic" w:hAnsi="Century Gothic"/>
                <w:noProof/>
                <w:sz w:val="19"/>
                <w:szCs w:val="19"/>
                <w:lang w:eastAsia="es-MX"/>
              </w:rPr>
              <w:drawing>
                <wp:inline distT="0" distB="0" distL="0" distR="0" wp14:anchorId="565D3356" wp14:editId="508744D4">
                  <wp:extent cx="5816694" cy="1568370"/>
                  <wp:effectExtent l="0" t="0" r="0" b="0"/>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3">
                            <a:extLst>
                              <a:ext uri="{28A0092B-C50C-407E-A947-70E740481C1C}">
                                <a14:useLocalDpi xmlns:a14="http://schemas.microsoft.com/office/drawing/2010/main" val="0"/>
                              </a:ext>
                            </a:extLst>
                          </a:blip>
                          <a:srcRect l="1198" t="5278" r="1367" b="4664"/>
                          <a:stretch/>
                        </pic:blipFill>
                        <pic:spPr bwMode="auto">
                          <a:xfrm>
                            <a:off x="0" y="0"/>
                            <a:ext cx="5870442" cy="158286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014" w:type="dxa"/>
            <w:vAlign w:val="center"/>
          </w:tcPr>
          <w:p w14:paraId="060812C8" w14:textId="77777777" w:rsidR="00F560FD" w:rsidRPr="00F560FD" w:rsidRDefault="00F560FD" w:rsidP="006A0658">
            <w:pPr>
              <w:spacing w:before="40" w:after="40"/>
              <w:jc w:val="both"/>
              <w:rPr>
                <w:rFonts w:ascii="Century Gothic" w:hAnsi="Century Gothic"/>
                <w:sz w:val="16"/>
                <w:szCs w:val="16"/>
                <w:lang w:val="es-MX"/>
              </w:rPr>
            </w:pPr>
            <w:r w:rsidRPr="00F560FD">
              <w:rPr>
                <w:rFonts w:ascii="Century Gothic" w:hAnsi="Century Gothic"/>
                <w:sz w:val="16"/>
                <w:szCs w:val="16"/>
                <w:lang w:val="es-MX"/>
              </w:rPr>
              <w:t xml:space="preserve">Para una variable </w:t>
            </w:r>
            <w:r w:rsidRPr="000F21DE">
              <w:rPr>
                <w:rFonts w:ascii="Cambria Math" w:hAnsi="Cambria Math" w:cs="Cambria Math"/>
                <w:sz w:val="16"/>
                <w:szCs w:val="16"/>
              </w:rPr>
              <w:t>𝑍</w:t>
            </w:r>
            <w:r w:rsidRPr="00F560FD">
              <w:rPr>
                <w:rFonts w:ascii="Century Gothic" w:hAnsi="Century Gothic"/>
                <w:sz w:val="16"/>
                <w:szCs w:val="16"/>
                <w:lang w:val="es-MX"/>
              </w:rPr>
              <w:t xml:space="preserve"> se consideran sólo las unidades donde se requiere información de ésta, de manera que para un dominio de estudio </w:t>
            </w:r>
            <w:r w:rsidRPr="000F21DE">
              <w:rPr>
                <w:rFonts w:ascii="Cambria Math" w:hAnsi="Cambria Math" w:cs="Cambria Math"/>
                <w:sz w:val="16"/>
                <w:szCs w:val="16"/>
              </w:rPr>
              <w:t>𝑔</w:t>
            </w:r>
            <w:r w:rsidRPr="00F560FD">
              <w:rPr>
                <w:rFonts w:ascii="Century Gothic" w:hAnsi="Century Gothic"/>
                <w:sz w:val="16"/>
                <w:szCs w:val="16"/>
                <w:lang w:val="es-MX"/>
              </w:rPr>
              <w:t xml:space="preserve"> se calcula como:</w:t>
            </w:r>
          </w:p>
          <w:p w14:paraId="7EC534C8" w14:textId="77777777" w:rsidR="00F560FD" w:rsidRDefault="00F560FD" w:rsidP="006A0658">
            <w:pPr>
              <w:spacing w:before="40" w:after="40"/>
              <w:jc w:val="center"/>
              <w:rPr>
                <w:rFonts w:ascii="Century Gothic" w:hAnsi="Century Gothic"/>
                <w:sz w:val="19"/>
                <w:szCs w:val="19"/>
              </w:rPr>
            </w:pPr>
            <w:r w:rsidRPr="000F21DE">
              <w:rPr>
                <w:rFonts w:ascii="Century Gothic" w:hAnsi="Century Gothic"/>
                <w:noProof/>
                <w:sz w:val="19"/>
                <w:szCs w:val="19"/>
                <w:lang w:eastAsia="es-MX"/>
              </w:rPr>
              <w:drawing>
                <wp:inline distT="0" distB="0" distL="0" distR="0" wp14:anchorId="70686A01" wp14:editId="70B7A544">
                  <wp:extent cx="1747777" cy="298390"/>
                  <wp:effectExtent l="0" t="0" r="0" b="0"/>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70677" cy="302300"/>
                          </a:xfrm>
                          <a:prstGeom prst="rect">
                            <a:avLst/>
                          </a:prstGeom>
                          <a:noFill/>
                          <a:ln>
                            <a:noFill/>
                          </a:ln>
                        </pic:spPr>
                      </pic:pic>
                    </a:graphicData>
                  </a:graphic>
                </wp:inline>
              </w:drawing>
            </w:r>
          </w:p>
          <w:p w14:paraId="6E86CA59" w14:textId="77777777" w:rsidR="00F560FD" w:rsidRPr="00F560FD" w:rsidRDefault="00F560FD" w:rsidP="006A0658">
            <w:pPr>
              <w:spacing w:before="40" w:after="40"/>
              <w:jc w:val="both"/>
              <w:rPr>
                <w:rFonts w:ascii="Century Gothic" w:hAnsi="Century Gothic"/>
                <w:sz w:val="16"/>
                <w:szCs w:val="16"/>
                <w:lang w:val="es-MX"/>
              </w:rPr>
            </w:pPr>
            <w:r w:rsidRPr="00F560FD">
              <w:rPr>
                <w:rFonts w:ascii="Century Gothic" w:hAnsi="Century Gothic"/>
                <w:sz w:val="16"/>
                <w:szCs w:val="16"/>
                <w:lang w:val="es-MX"/>
              </w:rPr>
              <w:t>Donde:</w:t>
            </w:r>
          </w:p>
          <w:p w14:paraId="440DB58A" w14:textId="77777777" w:rsidR="00F560FD" w:rsidRPr="00F560FD" w:rsidRDefault="00F560FD" w:rsidP="006A0658">
            <w:pPr>
              <w:spacing w:before="40" w:after="40"/>
              <w:jc w:val="both"/>
              <w:rPr>
                <w:rFonts w:ascii="Century Gothic" w:hAnsi="Century Gothic"/>
                <w:sz w:val="16"/>
                <w:szCs w:val="16"/>
                <w:lang w:val="es-MX"/>
              </w:rPr>
            </w:pPr>
            <w:r w:rsidRPr="000F21DE">
              <w:rPr>
                <w:rFonts w:ascii="Cambria Math" w:hAnsi="Cambria Math" w:cs="Cambria Math"/>
                <w:sz w:val="16"/>
                <w:szCs w:val="16"/>
              </w:rPr>
              <w:t>𝑁</w:t>
            </w:r>
            <w:r w:rsidRPr="00F560FD">
              <w:rPr>
                <w:rFonts w:ascii="Century Gothic" w:hAnsi="Century Gothic"/>
                <w:sz w:val="16"/>
                <w:szCs w:val="16"/>
                <w:lang w:val="es-MX"/>
              </w:rPr>
              <w:t>_</w:t>
            </w:r>
            <w:r w:rsidRPr="000F21DE">
              <w:rPr>
                <w:rFonts w:ascii="Cambria Math" w:hAnsi="Cambria Math" w:cs="Cambria Math"/>
                <w:sz w:val="16"/>
                <w:szCs w:val="16"/>
              </w:rPr>
              <w:t>𝑍𝑔</w:t>
            </w:r>
            <w:r w:rsidRPr="00F560FD">
              <w:rPr>
                <w:rFonts w:ascii="Century Gothic" w:hAnsi="Century Gothic"/>
                <w:sz w:val="16"/>
                <w:szCs w:val="16"/>
                <w:lang w:val="es-MX"/>
              </w:rPr>
              <w:t xml:space="preserve">1 es el número total de unidades en donde en la variable </w:t>
            </w:r>
            <w:r w:rsidRPr="000F21DE">
              <w:rPr>
                <w:rFonts w:ascii="Cambria Math" w:hAnsi="Cambria Math" w:cs="Cambria Math"/>
                <w:sz w:val="16"/>
                <w:szCs w:val="16"/>
              </w:rPr>
              <w:t>𝑍</w:t>
            </w:r>
            <w:r w:rsidRPr="00F560FD">
              <w:rPr>
                <w:rFonts w:ascii="Century Gothic" w:hAnsi="Century Gothic"/>
                <w:sz w:val="16"/>
                <w:szCs w:val="16"/>
                <w:lang w:val="es-MX"/>
              </w:rPr>
              <w:t xml:space="preserve"> no hay información o ésta desde un inicio corresponde a un código de no respuesta</w:t>
            </w:r>
          </w:p>
          <w:p w14:paraId="5CFA36B0" w14:textId="77777777" w:rsidR="00F560FD" w:rsidRPr="00F560FD" w:rsidRDefault="00F560FD" w:rsidP="006A0658">
            <w:pPr>
              <w:spacing w:before="40" w:after="40"/>
              <w:jc w:val="both"/>
              <w:rPr>
                <w:rFonts w:ascii="Century Gothic" w:hAnsi="Century Gothic"/>
                <w:sz w:val="16"/>
                <w:szCs w:val="16"/>
                <w:lang w:val="es-MX"/>
              </w:rPr>
            </w:pPr>
            <w:r w:rsidRPr="000F21DE">
              <w:rPr>
                <w:rFonts w:ascii="Cambria Math" w:hAnsi="Cambria Math" w:cs="Cambria Math"/>
                <w:sz w:val="16"/>
                <w:szCs w:val="16"/>
              </w:rPr>
              <w:t>𝑁</w:t>
            </w:r>
            <w:r w:rsidRPr="00F560FD">
              <w:rPr>
                <w:rFonts w:ascii="Century Gothic" w:hAnsi="Century Gothic"/>
                <w:sz w:val="16"/>
                <w:szCs w:val="16"/>
                <w:lang w:val="es-MX"/>
              </w:rPr>
              <w:t>_</w:t>
            </w:r>
            <w:r w:rsidRPr="000F21DE">
              <w:rPr>
                <w:rFonts w:ascii="Cambria Math" w:hAnsi="Cambria Math" w:cs="Cambria Math"/>
                <w:sz w:val="16"/>
                <w:szCs w:val="16"/>
              </w:rPr>
              <w:t>𝑍𝑔</w:t>
            </w:r>
            <w:r w:rsidRPr="00F560FD">
              <w:rPr>
                <w:rFonts w:ascii="Century Gothic" w:hAnsi="Century Gothic"/>
                <w:sz w:val="16"/>
                <w:szCs w:val="16"/>
                <w:lang w:val="es-MX"/>
              </w:rPr>
              <w:t xml:space="preserve">2 es el número total de unidades en donde en la variable </w:t>
            </w:r>
            <w:r w:rsidRPr="000F21DE">
              <w:rPr>
                <w:rFonts w:ascii="Cambria Math" w:hAnsi="Cambria Math" w:cs="Cambria Math"/>
                <w:sz w:val="16"/>
                <w:szCs w:val="16"/>
              </w:rPr>
              <w:t>𝑍</w:t>
            </w:r>
            <w:r w:rsidRPr="00F560FD">
              <w:rPr>
                <w:rFonts w:ascii="Century Gothic" w:hAnsi="Century Gothic"/>
                <w:sz w:val="16"/>
                <w:szCs w:val="16"/>
                <w:lang w:val="es-MX"/>
              </w:rPr>
              <w:t xml:space="preserve"> hay información diferente a un código de no respuesta, pero al realizar la codificación, validación o edición se define como no respuesta</w:t>
            </w:r>
          </w:p>
          <w:p w14:paraId="0610E9B0" w14:textId="77777777" w:rsidR="00F560FD" w:rsidRPr="00F560FD" w:rsidRDefault="00F560FD" w:rsidP="006A0658">
            <w:pPr>
              <w:spacing w:before="40" w:after="40"/>
              <w:jc w:val="both"/>
              <w:rPr>
                <w:rFonts w:ascii="Century Gothic" w:hAnsi="Century Gothic"/>
                <w:sz w:val="19"/>
                <w:szCs w:val="19"/>
                <w:lang w:val="es-MX"/>
              </w:rPr>
            </w:pPr>
            <w:r w:rsidRPr="000F21DE">
              <w:rPr>
                <w:rFonts w:ascii="Cambria Math" w:hAnsi="Cambria Math" w:cs="Cambria Math"/>
                <w:sz w:val="16"/>
                <w:szCs w:val="16"/>
              </w:rPr>
              <w:t>𝑁</w:t>
            </w:r>
            <w:r w:rsidRPr="00F560FD">
              <w:rPr>
                <w:rFonts w:ascii="Century Gothic" w:hAnsi="Century Gothic"/>
                <w:sz w:val="16"/>
                <w:szCs w:val="16"/>
                <w:lang w:val="es-MX"/>
              </w:rPr>
              <w:t>_</w:t>
            </w:r>
            <w:r w:rsidRPr="000F21DE">
              <w:rPr>
                <w:rFonts w:ascii="Cambria Math" w:hAnsi="Cambria Math" w:cs="Cambria Math"/>
                <w:sz w:val="16"/>
                <w:szCs w:val="16"/>
              </w:rPr>
              <w:t>𝑍𝑔</w:t>
            </w:r>
            <w:r w:rsidRPr="00F560FD">
              <w:rPr>
                <w:rFonts w:ascii="Century Gothic" w:hAnsi="Century Gothic"/>
                <w:sz w:val="16"/>
                <w:szCs w:val="16"/>
                <w:lang w:val="es-MX"/>
              </w:rPr>
              <w:t xml:space="preserve"> es el número total de unidades donde se requiere información de la variable </w:t>
            </w:r>
            <w:r w:rsidRPr="000F21DE">
              <w:rPr>
                <w:rFonts w:ascii="Cambria Math" w:hAnsi="Cambria Math" w:cs="Cambria Math"/>
                <w:sz w:val="16"/>
                <w:szCs w:val="16"/>
              </w:rPr>
              <w:t>𝑍</w:t>
            </w:r>
          </w:p>
        </w:tc>
      </w:tr>
    </w:tbl>
    <w:p w14:paraId="5C91BEFD" w14:textId="77777777" w:rsidR="00F560FD" w:rsidRDefault="00F560FD" w:rsidP="00F560FD">
      <w:pPr>
        <w:spacing w:before="40" w:after="40"/>
        <w:jc w:val="both"/>
        <w:rPr>
          <w:rFonts w:ascii="Century Gothic" w:hAnsi="Century Gothic"/>
          <w:sz w:val="19"/>
          <w:szCs w:val="19"/>
        </w:rPr>
      </w:pPr>
    </w:p>
    <w:p w14:paraId="5E58CAF2" w14:textId="77777777" w:rsidR="00F560FD" w:rsidRPr="00296E53" w:rsidRDefault="00F560FD" w:rsidP="00F560FD">
      <w:pPr>
        <w:spacing w:before="40" w:after="40"/>
        <w:jc w:val="both"/>
        <w:rPr>
          <w:rFonts w:ascii="Century Gothic" w:hAnsi="Century Gothic"/>
          <w:sz w:val="19"/>
          <w:szCs w:val="19"/>
        </w:rPr>
      </w:pPr>
      <w:r w:rsidRPr="00296E53">
        <w:rPr>
          <w:rFonts w:ascii="Century Gothic" w:hAnsi="Century Gothic"/>
          <w:sz w:val="19"/>
          <w:szCs w:val="19"/>
        </w:rPr>
        <w:t xml:space="preserve">En la segunda sesión 2019 del </w:t>
      </w:r>
      <w:r>
        <w:rPr>
          <w:rFonts w:ascii="Century Gothic" w:hAnsi="Century Gothic"/>
          <w:sz w:val="19"/>
          <w:szCs w:val="19"/>
        </w:rPr>
        <w:t>Comité</w:t>
      </w:r>
      <w:r w:rsidRPr="00296E53">
        <w:rPr>
          <w:rFonts w:ascii="Century Gothic" w:hAnsi="Century Gothic"/>
          <w:sz w:val="19"/>
          <w:szCs w:val="19"/>
        </w:rPr>
        <w:t xml:space="preserve">, se aprobaron tres indicadores de uso interno para ser reportados en los metadatos por los responsables de programas </w:t>
      </w:r>
      <w:r>
        <w:rPr>
          <w:rFonts w:ascii="Century Gothic" w:hAnsi="Century Gothic"/>
          <w:sz w:val="19"/>
          <w:szCs w:val="19"/>
        </w:rPr>
        <w:t>de información basados en</w:t>
      </w:r>
      <w:r w:rsidRPr="00296E53">
        <w:rPr>
          <w:rFonts w:ascii="Century Gothic" w:hAnsi="Century Gothic"/>
          <w:sz w:val="19"/>
          <w:szCs w:val="19"/>
        </w:rPr>
        <w:t xml:space="preserve"> registros administrativos a partir del segundo semestre de 2019, considerando los siguientes puntos:</w:t>
      </w:r>
    </w:p>
    <w:p w14:paraId="0F6E9A5B" w14:textId="77777777" w:rsidR="00F560FD" w:rsidRPr="00296E53" w:rsidRDefault="00F560FD" w:rsidP="00F560FD">
      <w:pPr>
        <w:numPr>
          <w:ilvl w:val="0"/>
          <w:numId w:val="2"/>
        </w:numPr>
        <w:spacing w:before="40" w:after="40"/>
        <w:ind w:left="567" w:hanging="283"/>
        <w:contextualSpacing/>
        <w:jc w:val="both"/>
        <w:rPr>
          <w:rFonts w:ascii="Century Gothic" w:hAnsi="Century Gothic"/>
          <w:sz w:val="19"/>
          <w:szCs w:val="19"/>
        </w:rPr>
      </w:pPr>
      <w:r w:rsidRPr="00296E53">
        <w:rPr>
          <w:rFonts w:ascii="Century Gothic" w:hAnsi="Century Gothic"/>
          <w:sz w:val="19"/>
          <w:szCs w:val="19"/>
        </w:rPr>
        <w:t>el reporte se debe realizar a más tardar a los 30 días naturales contados a partir de la publicación de la información;</w:t>
      </w:r>
    </w:p>
    <w:p w14:paraId="212452E0" w14:textId="77777777" w:rsidR="00F560FD" w:rsidRPr="00296E53" w:rsidRDefault="00F560FD" w:rsidP="00F560FD">
      <w:pPr>
        <w:numPr>
          <w:ilvl w:val="0"/>
          <w:numId w:val="2"/>
        </w:numPr>
        <w:spacing w:before="40" w:after="40"/>
        <w:ind w:left="567" w:hanging="283"/>
        <w:contextualSpacing/>
        <w:jc w:val="both"/>
        <w:rPr>
          <w:rFonts w:ascii="Century Gothic" w:hAnsi="Century Gothic"/>
          <w:sz w:val="19"/>
          <w:szCs w:val="19"/>
        </w:rPr>
      </w:pPr>
      <w:r w:rsidRPr="00296E53">
        <w:rPr>
          <w:rFonts w:ascii="Century Gothic" w:hAnsi="Century Gothic"/>
          <w:sz w:val="19"/>
          <w:szCs w:val="19"/>
        </w:rPr>
        <w:t xml:space="preserve">se debe usar el formato definido en el </w:t>
      </w:r>
      <w:r>
        <w:rPr>
          <w:rFonts w:ascii="Century Gothic" w:hAnsi="Century Gothic"/>
          <w:sz w:val="19"/>
          <w:szCs w:val="19"/>
        </w:rPr>
        <w:t>g</w:t>
      </w:r>
      <w:r w:rsidRPr="00296E53">
        <w:rPr>
          <w:rFonts w:ascii="Century Gothic" w:hAnsi="Century Gothic"/>
          <w:sz w:val="19"/>
          <w:szCs w:val="19"/>
        </w:rPr>
        <w:t xml:space="preserve">rupo de </w:t>
      </w:r>
      <w:r>
        <w:rPr>
          <w:rFonts w:ascii="Century Gothic" w:hAnsi="Century Gothic"/>
          <w:sz w:val="19"/>
          <w:szCs w:val="19"/>
        </w:rPr>
        <w:t>t</w:t>
      </w:r>
      <w:r w:rsidRPr="00296E53">
        <w:rPr>
          <w:rFonts w:ascii="Century Gothic" w:hAnsi="Century Gothic"/>
          <w:sz w:val="19"/>
          <w:szCs w:val="19"/>
        </w:rPr>
        <w:t>rabajo;</w:t>
      </w:r>
    </w:p>
    <w:p w14:paraId="098C2F99" w14:textId="77777777" w:rsidR="00F560FD" w:rsidRPr="00296E53" w:rsidRDefault="00F560FD" w:rsidP="00F560FD">
      <w:pPr>
        <w:numPr>
          <w:ilvl w:val="0"/>
          <w:numId w:val="2"/>
        </w:numPr>
        <w:spacing w:before="40" w:after="40"/>
        <w:ind w:left="567" w:hanging="283"/>
        <w:contextualSpacing/>
        <w:jc w:val="both"/>
        <w:rPr>
          <w:rFonts w:ascii="Century Gothic" w:hAnsi="Century Gothic"/>
          <w:sz w:val="19"/>
          <w:szCs w:val="19"/>
        </w:rPr>
      </w:pPr>
      <w:r w:rsidRPr="00296E53">
        <w:rPr>
          <w:rFonts w:ascii="Century Gothic" w:hAnsi="Century Gothic"/>
          <w:sz w:val="19"/>
          <w:szCs w:val="19"/>
        </w:rPr>
        <w:t xml:space="preserve">en el caso de la </w:t>
      </w:r>
      <w:r>
        <w:rPr>
          <w:rFonts w:ascii="Century Gothic" w:hAnsi="Century Gothic"/>
          <w:sz w:val="19"/>
          <w:szCs w:val="19"/>
        </w:rPr>
        <w:t>t</w:t>
      </w:r>
      <w:r w:rsidRPr="00296E53">
        <w:rPr>
          <w:rFonts w:ascii="Century Gothic" w:hAnsi="Century Gothic"/>
          <w:sz w:val="19"/>
          <w:szCs w:val="19"/>
        </w:rPr>
        <w:t xml:space="preserve">asa de </w:t>
      </w:r>
      <w:r>
        <w:rPr>
          <w:rFonts w:ascii="Century Gothic" w:hAnsi="Century Gothic"/>
          <w:sz w:val="19"/>
          <w:szCs w:val="19"/>
        </w:rPr>
        <w:t>n</w:t>
      </w:r>
      <w:r w:rsidRPr="00296E53">
        <w:rPr>
          <w:rFonts w:ascii="Century Gothic" w:hAnsi="Century Gothic"/>
          <w:sz w:val="19"/>
          <w:szCs w:val="19"/>
        </w:rPr>
        <w:t xml:space="preserve">o </w:t>
      </w:r>
      <w:r>
        <w:rPr>
          <w:rFonts w:ascii="Century Gothic" w:hAnsi="Century Gothic"/>
          <w:sz w:val="19"/>
          <w:szCs w:val="19"/>
        </w:rPr>
        <w:t>r</w:t>
      </w:r>
      <w:r w:rsidRPr="00296E53">
        <w:rPr>
          <w:rFonts w:ascii="Century Gothic" w:hAnsi="Century Gothic"/>
          <w:sz w:val="19"/>
          <w:szCs w:val="19"/>
        </w:rPr>
        <w:t xml:space="preserve">espuesta a </w:t>
      </w:r>
      <w:r>
        <w:rPr>
          <w:rFonts w:ascii="Century Gothic" w:hAnsi="Century Gothic"/>
          <w:sz w:val="19"/>
          <w:szCs w:val="19"/>
        </w:rPr>
        <w:t>n</w:t>
      </w:r>
      <w:r w:rsidRPr="00296E53">
        <w:rPr>
          <w:rFonts w:ascii="Century Gothic" w:hAnsi="Century Gothic"/>
          <w:sz w:val="19"/>
          <w:szCs w:val="19"/>
        </w:rPr>
        <w:t xml:space="preserve">ivel </w:t>
      </w:r>
      <w:r>
        <w:rPr>
          <w:rFonts w:ascii="Century Gothic" w:hAnsi="Century Gothic"/>
          <w:sz w:val="19"/>
          <w:szCs w:val="19"/>
        </w:rPr>
        <w:t>u</w:t>
      </w:r>
      <w:r w:rsidRPr="00296E53">
        <w:rPr>
          <w:rFonts w:ascii="Century Gothic" w:hAnsi="Century Gothic"/>
          <w:sz w:val="19"/>
          <w:szCs w:val="19"/>
        </w:rPr>
        <w:t>nidad, para cada programa se incluye en la sección de metadatos una nota técnica explicando el algoritmo específico usado para su cálculo.</w:t>
      </w:r>
    </w:p>
    <w:p w14:paraId="620ABA5A" w14:textId="77777777" w:rsidR="00F560FD" w:rsidRDefault="00F560FD" w:rsidP="00F560FD">
      <w:pPr>
        <w:spacing w:before="40" w:after="40"/>
        <w:jc w:val="both"/>
        <w:rPr>
          <w:rFonts w:ascii="Century Gothic" w:hAnsi="Century Gothic"/>
          <w:sz w:val="19"/>
          <w:szCs w:val="19"/>
        </w:rPr>
      </w:pPr>
    </w:p>
    <w:p w14:paraId="509BEA42" w14:textId="77777777" w:rsidR="00F560FD" w:rsidRDefault="00F560FD" w:rsidP="00F560FD">
      <w:pPr>
        <w:spacing w:before="40" w:after="40"/>
        <w:jc w:val="both"/>
        <w:rPr>
          <w:rFonts w:ascii="Century Gothic" w:eastAsia="Times New Roman" w:hAnsi="Century Gothic" w:cs="Calibri"/>
          <w:color w:val="000000"/>
          <w:sz w:val="19"/>
          <w:szCs w:val="19"/>
          <w:lang w:eastAsia="es-MX"/>
        </w:rPr>
      </w:pPr>
      <w:r w:rsidRPr="00B07D15">
        <w:rPr>
          <w:rFonts w:ascii="Century Gothic" w:hAnsi="Century Gothic"/>
          <w:sz w:val="19"/>
          <w:szCs w:val="19"/>
        </w:rPr>
        <w:t>Con el fin de dar un panorama general de los resultados de los indicadores reportados en 2021,</w:t>
      </w:r>
      <w:r>
        <w:rPr>
          <w:rFonts w:ascii="Century Gothic" w:hAnsi="Century Gothic"/>
          <w:sz w:val="19"/>
          <w:szCs w:val="19"/>
        </w:rPr>
        <w:t xml:space="preserve"> </w:t>
      </w:r>
      <w:r w:rsidRPr="00B07D15">
        <w:rPr>
          <w:rFonts w:ascii="Century Gothic" w:hAnsi="Century Gothic"/>
          <w:sz w:val="19"/>
          <w:szCs w:val="19"/>
        </w:rPr>
        <w:t>en el cuadro A.</w:t>
      </w:r>
      <w:r>
        <w:rPr>
          <w:rFonts w:ascii="Century Gothic" w:hAnsi="Century Gothic"/>
          <w:sz w:val="19"/>
          <w:szCs w:val="19"/>
        </w:rPr>
        <w:t>3</w:t>
      </w:r>
      <w:r w:rsidRPr="00B07D15">
        <w:rPr>
          <w:rFonts w:ascii="Century Gothic" w:hAnsi="Century Gothic"/>
          <w:sz w:val="19"/>
          <w:szCs w:val="19"/>
        </w:rPr>
        <w:t>.</w:t>
      </w:r>
      <w:r>
        <w:rPr>
          <w:rFonts w:ascii="Century Gothic" w:hAnsi="Century Gothic"/>
          <w:sz w:val="19"/>
          <w:szCs w:val="19"/>
        </w:rPr>
        <w:t>5</w:t>
      </w:r>
      <w:r w:rsidRPr="00B07D15">
        <w:rPr>
          <w:rFonts w:ascii="Century Gothic" w:hAnsi="Century Gothic"/>
          <w:sz w:val="19"/>
          <w:szCs w:val="19"/>
        </w:rPr>
        <w:t xml:space="preserve"> se presentan los promedios de las tasas</w:t>
      </w:r>
      <w:r>
        <w:rPr>
          <w:rFonts w:ascii="Century Gothic" w:hAnsi="Century Gothic"/>
          <w:sz w:val="19"/>
          <w:szCs w:val="19"/>
        </w:rPr>
        <w:t xml:space="preserve"> de no respuesta a nivel unidad de observación y de las tasas de </w:t>
      </w:r>
      <w:proofErr w:type="spellStart"/>
      <w:r>
        <w:rPr>
          <w:rFonts w:ascii="Century Gothic" w:hAnsi="Century Gothic"/>
          <w:sz w:val="19"/>
          <w:szCs w:val="19"/>
        </w:rPr>
        <w:t>sobrecobertura</w:t>
      </w:r>
      <w:proofErr w:type="spellEnd"/>
      <w:r w:rsidRPr="00B07D15">
        <w:rPr>
          <w:rFonts w:ascii="Century Gothic" w:hAnsi="Century Gothic"/>
          <w:sz w:val="19"/>
          <w:szCs w:val="19"/>
        </w:rPr>
        <w:t>. Como puede observarse</w:t>
      </w:r>
      <w:r>
        <w:rPr>
          <w:rFonts w:ascii="Century Gothic" w:hAnsi="Century Gothic"/>
          <w:sz w:val="19"/>
          <w:szCs w:val="19"/>
        </w:rPr>
        <w:t>, para</w:t>
      </w:r>
      <w:r w:rsidRPr="00B07D15">
        <w:rPr>
          <w:rFonts w:ascii="Century Gothic" w:hAnsi="Century Gothic"/>
          <w:sz w:val="19"/>
          <w:szCs w:val="19"/>
        </w:rPr>
        <w:t xml:space="preserve"> la tasa de no respuesta </w:t>
      </w:r>
      <w:r>
        <w:rPr>
          <w:rFonts w:ascii="Century Gothic" w:hAnsi="Century Gothic"/>
          <w:sz w:val="19"/>
          <w:szCs w:val="19"/>
        </w:rPr>
        <w:t>a nivel</w:t>
      </w:r>
      <w:r w:rsidRPr="00B07D15">
        <w:rPr>
          <w:rFonts w:ascii="Century Gothic" w:hAnsi="Century Gothic"/>
          <w:sz w:val="19"/>
          <w:szCs w:val="19"/>
        </w:rPr>
        <w:t xml:space="preserve"> unid</w:t>
      </w:r>
      <w:r>
        <w:rPr>
          <w:rFonts w:ascii="Century Gothic" w:hAnsi="Century Gothic"/>
          <w:sz w:val="19"/>
          <w:szCs w:val="19"/>
        </w:rPr>
        <w:t xml:space="preserve">ad </w:t>
      </w:r>
      <w:r w:rsidRPr="00B07D15">
        <w:rPr>
          <w:rFonts w:ascii="Century Gothic" w:hAnsi="Century Gothic"/>
          <w:sz w:val="19"/>
          <w:szCs w:val="19"/>
        </w:rPr>
        <w:t>de los programas Accidentes de Tránsito Terrestre</w:t>
      </w:r>
      <w:r>
        <w:rPr>
          <w:rFonts w:ascii="Century Gothic" w:hAnsi="Century Gothic"/>
          <w:sz w:val="19"/>
          <w:szCs w:val="19"/>
        </w:rPr>
        <w:t xml:space="preserve"> (ATUS)</w:t>
      </w:r>
      <w:r w:rsidRPr="00B07D15">
        <w:rPr>
          <w:rFonts w:ascii="Century Gothic" w:hAnsi="Century Gothic"/>
          <w:sz w:val="19"/>
          <w:szCs w:val="19"/>
        </w:rPr>
        <w:t>,</w:t>
      </w:r>
      <w:r>
        <w:rPr>
          <w:rFonts w:ascii="Century Gothic" w:hAnsi="Century Gothic"/>
          <w:sz w:val="19"/>
          <w:szCs w:val="19"/>
        </w:rPr>
        <w:t xml:space="preserve"> </w:t>
      </w:r>
      <w:r w:rsidRPr="00B07D15">
        <w:rPr>
          <w:rFonts w:ascii="Century Gothic" w:hAnsi="Century Gothic"/>
          <w:sz w:val="19"/>
          <w:szCs w:val="19"/>
        </w:rPr>
        <w:t>Transporte Urbano de Pasajeros</w:t>
      </w:r>
      <w:r>
        <w:rPr>
          <w:rFonts w:ascii="Century Gothic" w:hAnsi="Century Gothic"/>
          <w:sz w:val="19"/>
          <w:szCs w:val="19"/>
        </w:rPr>
        <w:t xml:space="preserve"> (ETUP)</w:t>
      </w:r>
      <w:r w:rsidRPr="00B07D15">
        <w:rPr>
          <w:rFonts w:ascii="Century Gothic" w:hAnsi="Century Gothic"/>
          <w:sz w:val="19"/>
          <w:szCs w:val="19"/>
        </w:rPr>
        <w:t>,</w:t>
      </w:r>
      <w:r>
        <w:rPr>
          <w:rFonts w:ascii="Century Gothic" w:hAnsi="Century Gothic"/>
          <w:sz w:val="19"/>
          <w:szCs w:val="19"/>
        </w:rPr>
        <w:t xml:space="preserve"> </w:t>
      </w:r>
      <w:r w:rsidRPr="0066599A">
        <w:rPr>
          <w:rFonts w:ascii="Century Gothic" w:eastAsia="Times New Roman" w:hAnsi="Century Gothic" w:cs="Calibri"/>
          <w:color w:val="000000"/>
          <w:sz w:val="19"/>
          <w:szCs w:val="19"/>
          <w:lang w:eastAsia="es-MX"/>
        </w:rPr>
        <w:t>Sacrificio de Ganado en Rastros Municipales</w:t>
      </w:r>
      <w:r>
        <w:rPr>
          <w:rFonts w:ascii="Century Gothic" w:eastAsia="Times New Roman" w:hAnsi="Century Gothic" w:cs="Calibri"/>
          <w:color w:val="000000"/>
          <w:sz w:val="19"/>
          <w:szCs w:val="19"/>
          <w:lang w:eastAsia="es-MX"/>
        </w:rPr>
        <w:t xml:space="preserve"> (ESGRM) y </w:t>
      </w:r>
      <w:r w:rsidRPr="00B07D15">
        <w:rPr>
          <w:rFonts w:ascii="Century Gothic" w:eastAsia="Times New Roman" w:hAnsi="Century Gothic" w:cs="Calibri"/>
          <w:color w:val="000000"/>
          <w:sz w:val="19"/>
          <w:szCs w:val="19"/>
          <w:lang w:eastAsia="es-MX"/>
        </w:rPr>
        <w:t>Estadística</w:t>
      </w:r>
      <w:r>
        <w:rPr>
          <w:rFonts w:ascii="Century Gothic" w:eastAsia="Times New Roman" w:hAnsi="Century Gothic" w:cs="Calibri"/>
          <w:color w:val="000000"/>
          <w:sz w:val="19"/>
          <w:szCs w:val="19"/>
          <w:lang w:eastAsia="es-MX"/>
        </w:rPr>
        <w:t xml:space="preserve"> de </w:t>
      </w:r>
      <w:r w:rsidRPr="00B07D15">
        <w:rPr>
          <w:rFonts w:ascii="Century Gothic" w:eastAsia="Times New Roman" w:hAnsi="Century Gothic" w:cs="Calibri"/>
          <w:color w:val="000000"/>
          <w:sz w:val="19"/>
          <w:szCs w:val="19"/>
          <w:lang w:eastAsia="es-MX"/>
        </w:rPr>
        <w:t>Divorcios</w:t>
      </w:r>
      <w:r>
        <w:rPr>
          <w:rFonts w:ascii="Century Gothic" w:eastAsia="Times New Roman" w:hAnsi="Century Gothic" w:cs="Calibri"/>
          <w:color w:val="000000"/>
          <w:sz w:val="19"/>
          <w:szCs w:val="19"/>
          <w:lang w:eastAsia="es-MX"/>
        </w:rPr>
        <w:t xml:space="preserve"> (ED) en 2021 se presenta una recuperación parcial.  En contraparte, en 2021 se observa un aumento de la no respuesta en los programas Finanzas Públicas Estatales y Municipales (EFIPEM), y Estadística de Museos (EM). En cuanto a las tasas de </w:t>
      </w:r>
      <w:proofErr w:type="spellStart"/>
      <w:r>
        <w:rPr>
          <w:rFonts w:ascii="Century Gothic" w:eastAsia="Times New Roman" w:hAnsi="Century Gothic" w:cs="Calibri"/>
          <w:color w:val="000000"/>
          <w:sz w:val="19"/>
          <w:szCs w:val="19"/>
          <w:lang w:eastAsia="es-MX"/>
        </w:rPr>
        <w:t>sobrecobertura</w:t>
      </w:r>
      <w:proofErr w:type="spellEnd"/>
      <w:r>
        <w:rPr>
          <w:rFonts w:ascii="Century Gothic" w:eastAsia="Times New Roman" w:hAnsi="Century Gothic" w:cs="Calibri"/>
          <w:color w:val="000000"/>
          <w:sz w:val="19"/>
          <w:szCs w:val="19"/>
          <w:lang w:eastAsia="es-MX"/>
        </w:rPr>
        <w:t xml:space="preserve">, se observa consistencia a lo largo del tiempo en la mayoría de los programas. </w:t>
      </w:r>
    </w:p>
    <w:p w14:paraId="0876BE78" w14:textId="77777777" w:rsidR="00F560FD" w:rsidRDefault="00F560FD" w:rsidP="00F560FD">
      <w:pPr>
        <w:spacing w:before="40" w:after="40"/>
        <w:jc w:val="both"/>
        <w:rPr>
          <w:rFonts w:ascii="Century Gothic" w:eastAsia="Times New Roman" w:hAnsi="Century Gothic" w:cs="Calibri"/>
          <w:color w:val="000000"/>
          <w:sz w:val="19"/>
          <w:szCs w:val="19"/>
          <w:lang w:eastAsia="es-MX"/>
        </w:rPr>
      </w:pPr>
    </w:p>
    <w:p w14:paraId="398BA9D3" w14:textId="77777777" w:rsidR="00F560FD" w:rsidRDefault="00F560FD" w:rsidP="00F560FD">
      <w:pPr>
        <w:spacing w:before="40" w:after="40"/>
        <w:jc w:val="both"/>
        <w:rPr>
          <w:rFonts w:ascii="Century Gothic" w:eastAsia="Times New Roman" w:hAnsi="Century Gothic" w:cs="Calibri"/>
          <w:color w:val="000000"/>
          <w:sz w:val="19"/>
          <w:szCs w:val="19"/>
          <w:lang w:eastAsia="es-MX"/>
        </w:rPr>
      </w:pPr>
    </w:p>
    <w:p w14:paraId="3DFEE6B5" w14:textId="77777777" w:rsidR="00F560FD" w:rsidRDefault="00F560FD" w:rsidP="00F560FD">
      <w:pPr>
        <w:spacing w:before="40" w:after="40"/>
        <w:jc w:val="both"/>
        <w:rPr>
          <w:rFonts w:ascii="Century Gothic" w:eastAsia="Times New Roman" w:hAnsi="Century Gothic" w:cs="Calibri"/>
          <w:color w:val="000000"/>
          <w:sz w:val="19"/>
          <w:szCs w:val="19"/>
          <w:lang w:eastAsia="es-MX"/>
        </w:rPr>
      </w:pPr>
    </w:p>
    <w:p w14:paraId="76E58C89" w14:textId="77777777" w:rsidR="00F560FD" w:rsidRDefault="00F560FD" w:rsidP="00F560FD">
      <w:pPr>
        <w:spacing w:before="40" w:after="40"/>
        <w:jc w:val="both"/>
        <w:rPr>
          <w:rFonts w:ascii="Century Gothic" w:eastAsia="Times New Roman" w:hAnsi="Century Gothic" w:cs="Calibri"/>
          <w:color w:val="000000"/>
          <w:sz w:val="19"/>
          <w:szCs w:val="19"/>
          <w:lang w:eastAsia="es-MX"/>
        </w:rPr>
      </w:pPr>
    </w:p>
    <w:p w14:paraId="5F4D5B5A" w14:textId="77777777" w:rsidR="00F560FD" w:rsidRPr="00296E53" w:rsidRDefault="00F560FD" w:rsidP="00F560FD">
      <w:pPr>
        <w:spacing w:before="40" w:after="40"/>
        <w:jc w:val="center"/>
        <w:rPr>
          <w:rFonts w:ascii="Century Gothic" w:hAnsi="Century Gothic"/>
          <w:b/>
          <w:sz w:val="19"/>
          <w:szCs w:val="19"/>
        </w:rPr>
      </w:pPr>
      <w:r w:rsidRPr="00296E53">
        <w:rPr>
          <w:rFonts w:ascii="Century Gothic" w:hAnsi="Century Gothic"/>
          <w:b/>
          <w:sz w:val="19"/>
          <w:szCs w:val="19"/>
        </w:rPr>
        <w:t>A.</w:t>
      </w:r>
      <w:r>
        <w:rPr>
          <w:rFonts w:ascii="Century Gothic" w:hAnsi="Century Gothic"/>
          <w:b/>
          <w:sz w:val="19"/>
          <w:szCs w:val="19"/>
        </w:rPr>
        <w:t>3</w:t>
      </w:r>
      <w:r w:rsidRPr="00296E53">
        <w:rPr>
          <w:rFonts w:ascii="Century Gothic" w:hAnsi="Century Gothic"/>
          <w:b/>
          <w:sz w:val="19"/>
          <w:szCs w:val="19"/>
        </w:rPr>
        <w:t>.</w:t>
      </w:r>
      <w:r>
        <w:rPr>
          <w:rFonts w:ascii="Century Gothic" w:hAnsi="Century Gothic"/>
          <w:b/>
          <w:sz w:val="19"/>
          <w:szCs w:val="19"/>
        </w:rPr>
        <w:t>5.</w:t>
      </w:r>
      <w:r w:rsidRPr="00296E53">
        <w:rPr>
          <w:rFonts w:ascii="Century Gothic" w:hAnsi="Century Gothic"/>
          <w:b/>
          <w:sz w:val="19"/>
          <w:szCs w:val="19"/>
        </w:rPr>
        <w:t xml:space="preserve"> Comparativo</w:t>
      </w:r>
      <w:r>
        <w:rPr>
          <w:rFonts w:ascii="Century Gothic" w:hAnsi="Century Gothic"/>
          <w:b/>
          <w:sz w:val="19"/>
          <w:szCs w:val="19"/>
        </w:rPr>
        <w:t xml:space="preserve"> </w:t>
      </w:r>
      <w:r w:rsidRPr="00296E53">
        <w:rPr>
          <w:rFonts w:ascii="Century Gothic" w:hAnsi="Century Gothic"/>
          <w:b/>
          <w:sz w:val="19"/>
          <w:szCs w:val="19"/>
        </w:rPr>
        <w:t xml:space="preserve">2019 </w:t>
      </w:r>
      <w:r>
        <w:rPr>
          <w:rFonts w:ascii="Century Gothic" w:hAnsi="Century Gothic"/>
          <w:b/>
          <w:sz w:val="19"/>
          <w:szCs w:val="19"/>
        </w:rPr>
        <w:t xml:space="preserve">– </w:t>
      </w:r>
      <w:r w:rsidRPr="00296E53">
        <w:rPr>
          <w:rFonts w:ascii="Century Gothic" w:hAnsi="Century Gothic"/>
          <w:b/>
          <w:sz w:val="19"/>
          <w:szCs w:val="19"/>
        </w:rPr>
        <w:t xml:space="preserve">2020 </w:t>
      </w:r>
      <w:r>
        <w:rPr>
          <w:rFonts w:ascii="Century Gothic" w:hAnsi="Century Gothic"/>
          <w:b/>
          <w:sz w:val="19"/>
          <w:szCs w:val="19"/>
        </w:rPr>
        <w:t xml:space="preserve">– 2021 </w:t>
      </w:r>
      <w:r w:rsidRPr="00296E53">
        <w:rPr>
          <w:rFonts w:ascii="Century Gothic" w:hAnsi="Century Gothic"/>
          <w:b/>
          <w:sz w:val="19"/>
          <w:szCs w:val="19"/>
        </w:rPr>
        <w:t xml:space="preserve">del </w:t>
      </w:r>
      <w:r>
        <w:rPr>
          <w:rFonts w:ascii="Century Gothic" w:hAnsi="Century Gothic"/>
          <w:b/>
          <w:sz w:val="19"/>
          <w:szCs w:val="19"/>
        </w:rPr>
        <w:t>p</w:t>
      </w:r>
      <w:r w:rsidRPr="00296E53">
        <w:rPr>
          <w:rFonts w:ascii="Century Gothic" w:hAnsi="Century Gothic"/>
          <w:b/>
          <w:sz w:val="19"/>
          <w:szCs w:val="19"/>
        </w:rPr>
        <w:t xml:space="preserve">romedio de las tasas de </w:t>
      </w:r>
      <w:proofErr w:type="spellStart"/>
      <w:r w:rsidRPr="00296E53">
        <w:rPr>
          <w:rFonts w:ascii="Century Gothic" w:hAnsi="Century Gothic"/>
          <w:b/>
          <w:sz w:val="19"/>
          <w:szCs w:val="19"/>
        </w:rPr>
        <w:t>sobrecobertura</w:t>
      </w:r>
      <w:proofErr w:type="spellEnd"/>
      <w:r w:rsidRPr="00296E53">
        <w:rPr>
          <w:rFonts w:ascii="Century Gothic" w:hAnsi="Century Gothic"/>
          <w:b/>
          <w:sz w:val="19"/>
          <w:szCs w:val="19"/>
        </w:rPr>
        <w:t xml:space="preserve"> y de no respuesta </w:t>
      </w:r>
      <w:r>
        <w:rPr>
          <w:rFonts w:ascii="Century Gothic" w:hAnsi="Century Gothic"/>
          <w:b/>
          <w:sz w:val="19"/>
          <w:szCs w:val="19"/>
        </w:rPr>
        <w:t>a nivel</w:t>
      </w:r>
      <w:r w:rsidRPr="00296E53">
        <w:rPr>
          <w:rFonts w:ascii="Century Gothic" w:hAnsi="Century Gothic"/>
          <w:b/>
          <w:sz w:val="19"/>
          <w:szCs w:val="19"/>
        </w:rPr>
        <w:t xml:space="preserve"> unidad</w:t>
      </w:r>
    </w:p>
    <w:tbl>
      <w:tblPr>
        <w:tblW w:w="0" w:type="auto"/>
        <w:jc w:val="center"/>
        <w:tblLayout w:type="fixed"/>
        <w:tblCellMar>
          <w:left w:w="70" w:type="dxa"/>
          <w:right w:w="70" w:type="dxa"/>
        </w:tblCellMar>
        <w:tblLook w:val="04A0" w:firstRow="1" w:lastRow="0" w:firstColumn="1" w:lastColumn="0" w:noHBand="0" w:noVBand="1"/>
      </w:tblPr>
      <w:tblGrid>
        <w:gridCol w:w="572"/>
        <w:gridCol w:w="5088"/>
        <w:gridCol w:w="993"/>
        <w:gridCol w:w="708"/>
        <w:gridCol w:w="567"/>
        <w:gridCol w:w="709"/>
        <w:gridCol w:w="709"/>
        <w:gridCol w:w="841"/>
        <w:gridCol w:w="676"/>
        <w:gridCol w:w="1155"/>
        <w:gridCol w:w="1155"/>
        <w:gridCol w:w="1207"/>
      </w:tblGrid>
      <w:tr w:rsidR="00F560FD" w:rsidRPr="002C29F1" w14:paraId="329B698C" w14:textId="77777777" w:rsidTr="006A0658">
        <w:trPr>
          <w:trHeight w:val="540"/>
          <w:tblHeader/>
          <w:jc w:val="center"/>
        </w:trPr>
        <w:tc>
          <w:tcPr>
            <w:tcW w:w="572" w:type="dxa"/>
            <w:vMerge w:val="restart"/>
            <w:tcBorders>
              <w:top w:val="single" w:sz="8" w:space="0" w:color="FFFFFF"/>
              <w:left w:val="single" w:sz="8" w:space="0" w:color="FFFFFF"/>
              <w:bottom w:val="single" w:sz="8" w:space="0" w:color="FFFFFF"/>
              <w:right w:val="single" w:sz="8" w:space="0" w:color="FFFFFF"/>
            </w:tcBorders>
            <w:shd w:val="clear" w:color="000000" w:fill="D9D9D9"/>
            <w:noWrap/>
            <w:vAlign w:val="center"/>
            <w:hideMark/>
          </w:tcPr>
          <w:p w14:paraId="35B68801" w14:textId="77777777" w:rsidR="00F560FD" w:rsidRPr="002C29F1" w:rsidRDefault="00F560FD" w:rsidP="006A0658">
            <w:pPr>
              <w:spacing w:before="40" w:after="40" w:line="240" w:lineRule="auto"/>
              <w:jc w:val="center"/>
              <w:rPr>
                <w:rFonts w:ascii="Century Gothic" w:eastAsia="Times New Roman" w:hAnsi="Century Gothic" w:cs="Calibri"/>
                <w:b/>
                <w:bCs/>
                <w:color w:val="000000"/>
                <w:sz w:val="16"/>
                <w:szCs w:val="16"/>
                <w:lang w:eastAsia="es-MX"/>
              </w:rPr>
            </w:pPr>
            <w:r w:rsidRPr="002C29F1">
              <w:rPr>
                <w:rFonts w:ascii="Century Gothic" w:eastAsia="Times New Roman" w:hAnsi="Century Gothic" w:cs="Calibri"/>
                <w:b/>
                <w:bCs/>
                <w:color w:val="000000"/>
                <w:sz w:val="16"/>
                <w:szCs w:val="16"/>
                <w:lang w:eastAsia="es-MX"/>
              </w:rPr>
              <w:t>UA</w:t>
            </w:r>
          </w:p>
        </w:tc>
        <w:tc>
          <w:tcPr>
            <w:tcW w:w="5088" w:type="dxa"/>
            <w:vMerge w:val="restart"/>
            <w:tcBorders>
              <w:top w:val="single" w:sz="8" w:space="0" w:color="FFFFFF"/>
              <w:left w:val="single" w:sz="8" w:space="0" w:color="FFFFFF"/>
              <w:bottom w:val="single" w:sz="8" w:space="0" w:color="FFFFFF"/>
              <w:right w:val="single" w:sz="8" w:space="0" w:color="FFFFFF"/>
            </w:tcBorders>
            <w:shd w:val="clear" w:color="000000" w:fill="D9D9D9"/>
            <w:vAlign w:val="center"/>
            <w:hideMark/>
          </w:tcPr>
          <w:p w14:paraId="368C4EF4" w14:textId="77777777" w:rsidR="00F560FD" w:rsidRPr="002C29F1" w:rsidRDefault="00F560FD" w:rsidP="006A0658">
            <w:pPr>
              <w:spacing w:before="40" w:after="40" w:line="240" w:lineRule="auto"/>
              <w:jc w:val="center"/>
              <w:rPr>
                <w:rFonts w:ascii="Century Gothic" w:eastAsia="Times New Roman" w:hAnsi="Century Gothic" w:cs="Calibri"/>
                <w:b/>
                <w:bCs/>
                <w:color w:val="000000"/>
                <w:sz w:val="16"/>
                <w:szCs w:val="16"/>
                <w:lang w:eastAsia="es-MX"/>
              </w:rPr>
            </w:pPr>
            <w:r w:rsidRPr="002C29F1">
              <w:rPr>
                <w:rFonts w:ascii="Century Gothic" w:eastAsia="Times New Roman" w:hAnsi="Century Gothic" w:cs="Calibri"/>
                <w:b/>
                <w:bCs/>
                <w:color w:val="000000"/>
                <w:sz w:val="16"/>
                <w:szCs w:val="16"/>
                <w:lang w:eastAsia="es-MX"/>
              </w:rPr>
              <w:t>Programa</w:t>
            </w:r>
          </w:p>
        </w:tc>
        <w:tc>
          <w:tcPr>
            <w:tcW w:w="993" w:type="dxa"/>
            <w:vMerge w:val="restart"/>
            <w:tcBorders>
              <w:top w:val="single" w:sz="8" w:space="0" w:color="FFFFFF"/>
              <w:left w:val="single" w:sz="8" w:space="0" w:color="FFFFFF"/>
              <w:bottom w:val="single" w:sz="8" w:space="0" w:color="FFFFFF"/>
              <w:right w:val="single" w:sz="8" w:space="0" w:color="FFFFFF"/>
            </w:tcBorders>
            <w:shd w:val="clear" w:color="000000" w:fill="D9D9D9"/>
            <w:vAlign w:val="center"/>
            <w:hideMark/>
          </w:tcPr>
          <w:p w14:paraId="3FBDB025" w14:textId="77777777" w:rsidR="00F560FD" w:rsidRPr="002C29F1" w:rsidRDefault="00F560FD" w:rsidP="006A0658">
            <w:pPr>
              <w:spacing w:before="40" w:after="40" w:line="240" w:lineRule="auto"/>
              <w:jc w:val="center"/>
              <w:rPr>
                <w:rFonts w:ascii="Century Gothic" w:eastAsia="Times New Roman" w:hAnsi="Century Gothic" w:cs="Calibri"/>
                <w:b/>
                <w:bCs/>
                <w:color w:val="000000"/>
                <w:sz w:val="16"/>
                <w:szCs w:val="16"/>
                <w:lang w:eastAsia="es-MX"/>
              </w:rPr>
            </w:pPr>
            <w:r w:rsidRPr="002C29F1">
              <w:rPr>
                <w:rFonts w:ascii="Century Gothic" w:eastAsia="Times New Roman" w:hAnsi="Century Gothic" w:cs="Calibri"/>
                <w:b/>
                <w:bCs/>
                <w:color w:val="000000"/>
                <w:sz w:val="16"/>
                <w:szCs w:val="16"/>
                <w:lang w:eastAsia="es-MX"/>
              </w:rPr>
              <w:t>Acrónimo</w:t>
            </w:r>
          </w:p>
        </w:tc>
        <w:tc>
          <w:tcPr>
            <w:tcW w:w="1984" w:type="dxa"/>
            <w:gridSpan w:val="3"/>
            <w:tcBorders>
              <w:top w:val="single" w:sz="8" w:space="0" w:color="FFFFFF"/>
              <w:left w:val="nil"/>
              <w:bottom w:val="single" w:sz="8" w:space="0" w:color="FFFFFF"/>
              <w:right w:val="single" w:sz="8" w:space="0" w:color="FFFFFF"/>
            </w:tcBorders>
            <w:shd w:val="clear" w:color="000000" w:fill="D9D9D9"/>
            <w:vAlign w:val="center"/>
            <w:hideMark/>
          </w:tcPr>
          <w:p w14:paraId="6B1B5C8C" w14:textId="77777777" w:rsidR="00F560FD" w:rsidRPr="002C29F1" w:rsidRDefault="00F560FD" w:rsidP="006A0658">
            <w:pPr>
              <w:spacing w:before="40" w:after="40" w:line="240" w:lineRule="auto"/>
              <w:jc w:val="center"/>
              <w:rPr>
                <w:rFonts w:ascii="Century Gothic" w:eastAsia="Times New Roman" w:hAnsi="Century Gothic" w:cs="Calibri"/>
                <w:b/>
                <w:bCs/>
                <w:color w:val="000000"/>
                <w:sz w:val="16"/>
                <w:szCs w:val="16"/>
                <w:lang w:eastAsia="es-MX"/>
              </w:rPr>
            </w:pPr>
            <w:r w:rsidRPr="002C29F1">
              <w:rPr>
                <w:rFonts w:ascii="Century Gothic" w:eastAsia="Times New Roman" w:hAnsi="Century Gothic" w:cs="Calibri"/>
                <w:b/>
                <w:bCs/>
                <w:color w:val="000000"/>
                <w:sz w:val="16"/>
                <w:szCs w:val="16"/>
                <w:lang w:eastAsia="es-MX"/>
              </w:rPr>
              <w:t>Número de casos totales</w:t>
            </w:r>
          </w:p>
        </w:tc>
        <w:tc>
          <w:tcPr>
            <w:tcW w:w="2226" w:type="dxa"/>
            <w:gridSpan w:val="3"/>
            <w:tcBorders>
              <w:top w:val="single" w:sz="8" w:space="0" w:color="FFFFFF"/>
              <w:left w:val="nil"/>
              <w:bottom w:val="single" w:sz="8" w:space="0" w:color="FFFFFF"/>
              <w:right w:val="single" w:sz="8" w:space="0" w:color="FFFFFF"/>
            </w:tcBorders>
            <w:shd w:val="clear" w:color="000000" w:fill="C5EAFF"/>
            <w:vAlign w:val="center"/>
            <w:hideMark/>
          </w:tcPr>
          <w:p w14:paraId="13BA5049" w14:textId="77777777" w:rsidR="00F560FD" w:rsidRPr="002C29F1" w:rsidRDefault="00F560FD" w:rsidP="006A0658">
            <w:pPr>
              <w:spacing w:before="40" w:after="40" w:line="240" w:lineRule="auto"/>
              <w:jc w:val="center"/>
              <w:rPr>
                <w:rFonts w:ascii="Century Gothic" w:eastAsia="Times New Roman" w:hAnsi="Century Gothic" w:cs="Calibri"/>
                <w:b/>
                <w:bCs/>
                <w:color w:val="000000"/>
                <w:sz w:val="16"/>
                <w:szCs w:val="16"/>
                <w:lang w:eastAsia="es-MX"/>
              </w:rPr>
            </w:pPr>
            <w:r w:rsidRPr="002C29F1">
              <w:rPr>
                <w:rFonts w:ascii="Century Gothic" w:eastAsia="Times New Roman" w:hAnsi="Century Gothic" w:cs="Calibri"/>
                <w:b/>
                <w:bCs/>
                <w:color w:val="000000"/>
                <w:sz w:val="16"/>
                <w:szCs w:val="16"/>
                <w:lang w:eastAsia="es-MX"/>
              </w:rPr>
              <w:t xml:space="preserve">Promedio de la tasa de </w:t>
            </w:r>
            <w:proofErr w:type="spellStart"/>
            <w:r w:rsidRPr="002C29F1">
              <w:rPr>
                <w:rFonts w:ascii="Century Gothic" w:eastAsia="Times New Roman" w:hAnsi="Century Gothic" w:cs="Calibri"/>
                <w:b/>
                <w:bCs/>
                <w:color w:val="000000"/>
                <w:sz w:val="16"/>
                <w:szCs w:val="16"/>
                <w:lang w:eastAsia="es-MX"/>
              </w:rPr>
              <w:t>sobrecobertura</w:t>
            </w:r>
            <w:proofErr w:type="spellEnd"/>
            <w:r w:rsidRPr="002C29F1">
              <w:rPr>
                <w:rFonts w:ascii="Century Gothic" w:eastAsia="Times New Roman" w:hAnsi="Century Gothic" w:cs="Calibri"/>
                <w:b/>
                <w:bCs/>
                <w:color w:val="000000"/>
                <w:sz w:val="16"/>
                <w:szCs w:val="16"/>
                <w:lang w:eastAsia="es-MX"/>
              </w:rPr>
              <w:t xml:space="preserve"> (%)</w:t>
            </w:r>
          </w:p>
        </w:tc>
        <w:tc>
          <w:tcPr>
            <w:tcW w:w="3517" w:type="dxa"/>
            <w:gridSpan w:val="3"/>
            <w:tcBorders>
              <w:top w:val="nil"/>
              <w:left w:val="nil"/>
              <w:bottom w:val="single" w:sz="8" w:space="0" w:color="FFFFFF"/>
              <w:right w:val="single" w:sz="8" w:space="0" w:color="FFFFFF"/>
            </w:tcBorders>
            <w:shd w:val="clear" w:color="000000" w:fill="F7CAAC"/>
            <w:vAlign w:val="center"/>
            <w:hideMark/>
          </w:tcPr>
          <w:p w14:paraId="6DA6C9DF" w14:textId="77777777" w:rsidR="00F560FD" w:rsidRPr="002C29F1" w:rsidRDefault="00F560FD" w:rsidP="006A0658">
            <w:pPr>
              <w:spacing w:before="40" w:after="40" w:line="240" w:lineRule="auto"/>
              <w:jc w:val="center"/>
              <w:rPr>
                <w:rFonts w:ascii="Century Gothic" w:eastAsia="Times New Roman" w:hAnsi="Century Gothic" w:cs="Calibri"/>
                <w:b/>
                <w:bCs/>
                <w:color w:val="000000"/>
                <w:sz w:val="16"/>
                <w:szCs w:val="16"/>
                <w:lang w:eastAsia="es-MX"/>
              </w:rPr>
            </w:pPr>
            <w:r w:rsidRPr="002C29F1">
              <w:rPr>
                <w:rFonts w:ascii="Century Gothic" w:eastAsia="Times New Roman" w:hAnsi="Century Gothic" w:cs="Calibri"/>
                <w:b/>
                <w:bCs/>
                <w:color w:val="000000"/>
                <w:sz w:val="16"/>
                <w:szCs w:val="16"/>
                <w:lang w:eastAsia="es-MX"/>
              </w:rPr>
              <w:t xml:space="preserve">Promedio de la tasa de no respuesta </w:t>
            </w:r>
            <w:r>
              <w:rPr>
                <w:rFonts w:ascii="Century Gothic" w:eastAsia="Times New Roman" w:hAnsi="Century Gothic" w:cs="Calibri"/>
                <w:b/>
                <w:bCs/>
                <w:color w:val="000000"/>
                <w:sz w:val="16"/>
                <w:szCs w:val="16"/>
                <w:lang w:eastAsia="es-MX"/>
              </w:rPr>
              <w:t>a nivel</w:t>
            </w:r>
            <w:r w:rsidRPr="002C29F1">
              <w:rPr>
                <w:rFonts w:ascii="Century Gothic" w:eastAsia="Times New Roman" w:hAnsi="Century Gothic" w:cs="Calibri"/>
                <w:b/>
                <w:bCs/>
                <w:color w:val="000000"/>
                <w:sz w:val="16"/>
                <w:szCs w:val="16"/>
                <w:lang w:eastAsia="es-MX"/>
              </w:rPr>
              <w:t xml:space="preserve"> unidad (%)</w:t>
            </w:r>
          </w:p>
        </w:tc>
      </w:tr>
      <w:tr w:rsidR="00F560FD" w:rsidRPr="002C29F1" w14:paraId="73F03489" w14:textId="77777777" w:rsidTr="006A0658">
        <w:trPr>
          <w:trHeight w:val="315"/>
          <w:tblHeader/>
          <w:jc w:val="center"/>
        </w:trPr>
        <w:tc>
          <w:tcPr>
            <w:tcW w:w="572" w:type="dxa"/>
            <w:vMerge/>
            <w:tcBorders>
              <w:top w:val="single" w:sz="8" w:space="0" w:color="FFFFFF"/>
              <w:left w:val="single" w:sz="8" w:space="0" w:color="FFFFFF"/>
              <w:bottom w:val="single" w:sz="8" w:space="0" w:color="FFFFFF"/>
              <w:right w:val="single" w:sz="8" w:space="0" w:color="FFFFFF"/>
            </w:tcBorders>
            <w:vAlign w:val="center"/>
            <w:hideMark/>
          </w:tcPr>
          <w:p w14:paraId="0F2CEB51" w14:textId="77777777" w:rsidR="00F560FD" w:rsidRPr="002C29F1" w:rsidRDefault="00F560FD" w:rsidP="006A0658">
            <w:pPr>
              <w:spacing w:before="40" w:after="40" w:line="240" w:lineRule="auto"/>
              <w:rPr>
                <w:rFonts w:ascii="Century Gothic" w:eastAsia="Times New Roman" w:hAnsi="Century Gothic" w:cs="Calibri"/>
                <w:b/>
                <w:bCs/>
                <w:color w:val="000000"/>
                <w:sz w:val="16"/>
                <w:szCs w:val="16"/>
                <w:lang w:eastAsia="es-MX"/>
              </w:rPr>
            </w:pPr>
          </w:p>
        </w:tc>
        <w:tc>
          <w:tcPr>
            <w:tcW w:w="5088" w:type="dxa"/>
            <w:vMerge/>
            <w:tcBorders>
              <w:top w:val="single" w:sz="8" w:space="0" w:color="FFFFFF"/>
              <w:left w:val="single" w:sz="8" w:space="0" w:color="FFFFFF"/>
              <w:bottom w:val="single" w:sz="8" w:space="0" w:color="FFFFFF"/>
              <w:right w:val="single" w:sz="8" w:space="0" w:color="FFFFFF"/>
            </w:tcBorders>
            <w:vAlign w:val="center"/>
            <w:hideMark/>
          </w:tcPr>
          <w:p w14:paraId="494C3288" w14:textId="77777777" w:rsidR="00F560FD" w:rsidRPr="002C29F1" w:rsidRDefault="00F560FD" w:rsidP="006A0658">
            <w:pPr>
              <w:spacing w:before="40" w:after="40" w:line="240" w:lineRule="auto"/>
              <w:rPr>
                <w:rFonts w:ascii="Century Gothic" w:eastAsia="Times New Roman" w:hAnsi="Century Gothic" w:cs="Calibri"/>
                <w:b/>
                <w:bCs/>
                <w:color w:val="000000"/>
                <w:sz w:val="16"/>
                <w:szCs w:val="16"/>
                <w:lang w:eastAsia="es-MX"/>
              </w:rPr>
            </w:pPr>
          </w:p>
        </w:tc>
        <w:tc>
          <w:tcPr>
            <w:tcW w:w="993" w:type="dxa"/>
            <w:vMerge/>
            <w:tcBorders>
              <w:top w:val="single" w:sz="8" w:space="0" w:color="FFFFFF"/>
              <w:left w:val="single" w:sz="8" w:space="0" w:color="FFFFFF"/>
              <w:bottom w:val="single" w:sz="8" w:space="0" w:color="FFFFFF"/>
              <w:right w:val="single" w:sz="8" w:space="0" w:color="FFFFFF"/>
            </w:tcBorders>
            <w:vAlign w:val="center"/>
            <w:hideMark/>
          </w:tcPr>
          <w:p w14:paraId="0B3B566A" w14:textId="77777777" w:rsidR="00F560FD" w:rsidRPr="002C29F1" w:rsidRDefault="00F560FD" w:rsidP="006A0658">
            <w:pPr>
              <w:spacing w:before="40" w:after="40" w:line="240" w:lineRule="auto"/>
              <w:rPr>
                <w:rFonts w:ascii="Century Gothic" w:eastAsia="Times New Roman" w:hAnsi="Century Gothic" w:cs="Calibri"/>
                <w:b/>
                <w:bCs/>
                <w:color w:val="000000"/>
                <w:sz w:val="16"/>
                <w:szCs w:val="16"/>
                <w:lang w:eastAsia="es-MX"/>
              </w:rPr>
            </w:pPr>
          </w:p>
        </w:tc>
        <w:tc>
          <w:tcPr>
            <w:tcW w:w="708" w:type="dxa"/>
            <w:tcBorders>
              <w:top w:val="nil"/>
              <w:left w:val="nil"/>
              <w:bottom w:val="single" w:sz="8" w:space="0" w:color="FFFFFF"/>
              <w:right w:val="single" w:sz="8" w:space="0" w:color="FFFFFF"/>
            </w:tcBorders>
            <w:shd w:val="clear" w:color="000000" w:fill="D9D9D9"/>
            <w:vAlign w:val="center"/>
            <w:hideMark/>
          </w:tcPr>
          <w:p w14:paraId="7E6ECD29" w14:textId="77777777" w:rsidR="00F560FD" w:rsidRPr="002C29F1" w:rsidRDefault="00F560FD" w:rsidP="006A0658">
            <w:pPr>
              <w:spacing w:before="40" w:after="40" w:line="240" w:lineRule="auto"/>
              <w:jc w:val="center"/>
              <w:rPr>
                <w:rFonts w:ascii="Century Gothic" w:eastAsia="Times New Roman" w:hAnsi="Century Gothic" w:cs="Calibri"/>
                <w:b/>
                <w:bCs/>
                <w:color w:val="000000"/>
                <w:sz w:val="16"/>
                <w:szCs w:val="16"/>
                <w:lang w:eastAsia="es-MX"/>
              </w:rPr>
            </w:pPr>
            <w:r w:rsidRPr="002C29F1">
              <w:rPr>
                <w:rFonts w:ascii="Century Gothic" w:eastAsia="Times New Roman" w:hAnsi="Century Gothic" w:cs="Calibri"/>
                <w:b/>
                <w:bCs/>
                <w:color w:val="000000"/>
                <w:sz w:val="16"/>
                <w:szCs w:val="16"/>
                <w:lang w:eastAsia="es-MX"/>
              </w:rPr>
              <w:t>2019</w:t>
            </w:r>
          </w:p>
        </w:tc>
        <w:tc>
          <w:tcPr>
            <w:tcW w:w="567" w:type="dxa"/>
            <w:tcBorders>
              <w:top w:val="nil"/>
              <w:left w:val="nil"/>
              <w:bottom w:val="single" w:sz="8" w:space="0" w:color="FFFFFF"/>
              <w:right w:val="single" w:sz="8" w:space="0" w:color="FFFFFF"/>
            </w:tcBorders>
            <w:shd w:val="clear" w:color="000000" w:fill="D9D9D9"/>
            <w:vAlign w:val="center"/>
            <w:hideMark/>
          </w:tcPr>
          <w:p w14:paraId="7BC1A7FC" w14:textId="77777777" w:rsidR="00F560FD" w:rsidRPr="002C29F1" w:rsidRDefault="00F560FD" w:rsidP="006A0658">
            <w:pPr>
              <w:spacing w:before="40" w:after="40" w:line="240" w:lineRule="auto"/>
              <w:jc w:val="center"/>
              <w:rPr>
                <w:rFonts w:ascii="Century Gothic" w:eastAsia="Times New Roman" w:hAnsi="Century Gothic" w:cs="Calibri"/>
                <w:b/>
                <w:bCs/>
                <w:color w:val="000000"/>
                <w:sz w:val="16"/>
                <w:szCs w:val="16"/>
                <w:lang w:eastAsia="es-MX"/>
              </w:rPr>
            </w:pPr>
            <w:r w:rsidRPr="002C29F1">
              <w:rPr>
                <w:rFonts w:ascii="Century Gothic" w:eastAsia="Times New Roman" w:hAnsi="Century Gothic" w:cs="Calibri"/>
                <w:b/>
                <w:bCs/>
                <w:color w:val="000000"/>
                <w:sz w:val="16"/>
                <w:szCs w:val="16"/>
                <w:lang w:eastAsia="es-MX"/>
              </w:rPr>
              <w:t>2020</w:t>
            </w:r>
          </w:p>
        </w:tc>
        <w:tc>
          <w:tcPr>
            <w:tcW w:w="709" w:type="dxa"/>
            <w:tcBorders>
              <w:top w:val="nil"/>
              <w:left w:val="nil"/>
              <w:bottom w:val="single" w:sz="8" w:space="0" w:color="FFFFFF"/>
              <w:right w:val="nil"/>
            </w:tcBorders>
            <w:shd w:val="clear" w:color="000000" w:fill="D9D9D9"/>
            <w:vAlign w:val="center"/>
            <w:hideMark/>
          </w:tcPr>
          <w:p w14:paraId="4F5665C2" w14:textId="77777777" w:rsidR="00F560FD" w:rsidRPr="002C29F1" w:rsidRDefault="00F560FD" w:rsidP="006A0658">
            <w:pPr>
              <w:spacing w:before="40" w:after="40" w:line="240" w:lineRule="auto"/>
              <w:jc w:val="center"/>
              <w:rPr>
                <w:rFonts w:ascii="Century Gothic" w:eastAsia="Times New Roman" w:hAnsi="Century Gothic" w:cs="Calibri"/>
                <w:b/>
                <w:bCs/>
                <w:color w:val="000000"/>
                <w:sz w:val="16"/>
                <w:szCs w:val="16"/>
                <w:lang w:eastAsia="es-MX"/>
              </w:rPr>
            </w:pPr>
            <w:r w:rsidRPr="002C29F1">
              <w:rPr>
                <w:rFonts w:ascii="Century Gothic" w:eastAsia="Times New Roman" w:hAnsi="Century Gothic" w:cs="Calibri"/>
                <w:b/>
                <w:bCs/>
                <w:color w:val="000000"/>
                <w:sz w:val="16"/>
                <w:szCs w:val="16"/>
                <w:lang w:eastAsia="es-MX"/>
              </w:rPr>
              <w:t>2021</w:t>
            </w:r>
          </w:p>
        </w:tc>
        <w:tc>
          <w:tcPr>
            <w:tcW w:w="709" w:type="dxa"/>
            <w:tcBorders>
              <w:top w:val="nil"/>
              <w:left w:val="single" w:sz="8" w:space="0" w:color="FFFFFF"/>
              <w:bottom w:val="single" w:sz="8" w:space="0" w:color="FFFFFF"/>
              <w:right w:val="nil"/>
            </w:tcBorders>
            <w:shd w:val="clear" w:color="000000" w:fill="C5EAFF"/>
            <w:vAlign w:val="center"/>
            <w:hideMark/>
          </w:tcPr>
          <w:p w14:paraId="408A9D04" w14:textId="77777777" w:rsidR="00F560FD" w:rsidRPr="002C29F1" w:rsidRDefault="00F560FD" w:rsidP="006A0658">
            <w:pPr>
              <w:spacing w:before="40" w:after="40" w:line="240" w:lineRule="auto"/>
              <w:jc w:val="center"/>
              <w:rPr>
                <w:rFonts w:ascii="Century Gothic" w:eastAsia="Times New Roman" w:hAnsi="Century Gothic" w:cs="Calibri"/>
                <w:b/>
                <w:bCs/>
                <w:color w:val="000000"/>
                <w:sz w:val="16"/>
                <w:szCs w:val="16"/>
                <w:lang w:eastAsia="es-MX"/>
              </w:rPr>
            </w:pPr>
            <w:r w:rsidRPr="002C29F1">
              <w:rPr>
                <w:rFonts w:ascii="Century Gothic" w:eastAsia="Times New Roman" w:hAnsi="Century Gothic" w:cs="Calibri"/>
                <w:b/>
                <w:bCs/>
                <w:color w:val="000000"/>
                <w:sz w:val="16"/>
                <w:szCs w:val="16"/>
                <w:lang w:eastAsia="es-MX"/>
              </w:rPr>
              <w:t>2019*</w:t>
            </w:r>
          </w:p>
        </w:tc>
        <w:tc>
          <w:tcPr>
            <w:tcW w:w="841" w:type="dxa"/>
            <w:tcBorders>
              <w:top w:val="nil"/>
              <w:left w:val="nil"/>
              <w:bottom w:val="single" w:sz="8" w:space="0" w:color="FFFFFF"/>
              <w:right w:val="single" w:sz="8" w:space="0" w:color="FFFFFF"/>
            </w:tcBorders>
            <w:shd w:val="clear" w:color="000000" w:fill="C5EAFF"/>
            <w:vAlign w:val="center"/>
            <w:hideMark/>
          </w:tcPr>
          <w:p w14:paraId="20B67E9E" w14:textId="77777777" w:rsidR="00F560FD" w:rsidRPr="002C29F1" w:rsidRDefault="00F560FD" w:rsidP="006A0658">
            <w:pPr>
              <w:spacing w:before="40" w:after="40" w:line="240" w:lineRule="auto"/>
              <w:jc w:val="center"/>
              <w:rPr>
                <w:rFonts w:ascii="Century Gothic" w:eastAsia="Times New Roman" w:hAnsi="Century Gothic" w:cs="Calibri"/>
                <w:b/>
                <w:bCs/>
                <w:color w:val="000000"/>
                <w:sz w:val="16"/>
                <w:szCs w:val="16"/>
                <w:lang w:eastAsia="es-MX"/>
              </w:rPr>
            </w:pPr>
            <w:r w:rsidRPr="002C29F1">
              <w:rPr>
                <w:rFonts w:ascii="Century Gothic" w:eastAsia="Times New Roman" w:hAnsi="Century Gothic" w:cs="Calibri"/>
                <w:b/>
                <w:bCs/>
                <w:color w:val="000000"/>
                <w:sz w:val="16"/>
                <w:szCs w:val="16"/>
                <w:lang w:eastAsia="es-MX"/>
              </w:rPr>
              <w:t>2020*</w:t>
            </w:r>
          </w:p>
        </w:tc>
        <w:tc>
          <w:tcPr>
            <w:tcW w:w="676" w:type="dxa"/>
            <w:tcBorders>
              <w:top w:val="nil"/>
              <w:left w:val="nil"/>
              <w:bottom w:val="single" w:sz="8" w:space="0" w:color="FFFFFF"/>
              <w:right w:val="single" w:sz="8" w:space="0" w:color="FFFFFF"/>
            </w:tcBorders>
            <w:shd w:val="clear" w:color="000000" w:fill="C5EAFF"/>
            <w:vAlign w:val="center"/>
            <w:hideMark/>
          </w:tcPr>
          <w:p w14:paraId="142436E9" w14:textId="77777777" w:rsidR="00F560FD" w:rsidRPr="002C29F1" w:rsidRDefault="00F560FD" w:rsidP="006A0658">
            <w:pPr>
              <w:spacing w:before="40" w:after="40" w:line="240" w:lineRule="auto"/>
              <w:jc w:val="center"/>
              <w:rPr>
                <w:rFonts w:ascii="Century Gothic" w:eastAsia="Times New Roman" w:hAnsi="Century Gothic" w:cs="Calibri"/>
                <w:b/>
                <w:bCs/>
                <w:color w:val="000000"/>
                <w:sz w:val="16"/>
                <w:szCs w:val="16"/>
                <w:lang w:eastAsia="es-MX"/>
              </w:rPr>
            </w:pPr>
            <w:r w:rsidRPr="002C29F1">
              <w:rPr>
                <w:rFonts w:ascii="Century Gothic" w:eastAsia="Times New Roman" w:hAnsi="Century Gothic" w:cs="Calibri"/>
                <w:b/>
                <w:bCs/>
                <w:color w:val="000000"/>
                <w:sz w:val="16"/>
                <w:szCs w:val="16"/>
                <w:lang w:eastAsia="es-MX"/>
              </w:rPr>
              <w:t>2021**</w:t>
            </w:r>
          </w:p>
        </w:tc>
        <w:tc>
          <w:tcPr>
            <w:tcW w:w="1155" w:type="dxa"/>
            <w:tcBorders>
              <w:top w:val="nil"/>
              <w:left w:val="nil"/>
              <w:bottom w:val="single" w:sz="8" w:space="0" w:color="FFFFFF"/>
              <w:right w:val="single" w:sz="8" w:space="0" w:color="FFFFFF"/>
            </w:tcBorders>
            <w:shd w:val="clear" w:color="000000" w:fill="F7CAAC"/>
            <w:vAlign w:val="center"/>
            <w:hideMark/>
          </w:tcPr>
          <w:p w14:paraId="4C5B555F" w14:textId="77777777" w:rsidR="00F560FD" w:rsidRPr="002C29F1" w:rsidRDefault="00F560FD" w:rsidP="006A0658">
            <w:pPr>
              <w:spacing w:before="40" w:after="40" w:line="240" w:lineRule="auto"/>
              <w:jc w:val="center"/>
              <w:rPr>
                <w:rFonts w:ascii="Century Gothic" w:eastAsia="Times New Roman" w:hAnsi="Century Gothic" w:cs="Calibri"/>
                <w:b/>
                <w:bCs/>
                <w:color w:val="000000"/>
                <w:sz w:val="16"/>
                <w:szCs w:val="16"/>
                <w:lang w:eastAsia="es-MX"/>
              </w:rPr>
            </w:pPr>
            <w:r w:rsidRPr="002C29F1">
              <w:rPr>
                <w:rFonts w:ascii="Century Gothic" w:eastAsia="Times New Roman" w:hAnsi="Century Gothic" w:cs="Calibri"/>
                <w:b/>
                <w:bCs/>
                <w:color w:val="000000"/>
                <w:sz w:val="16"/>
                <w:szCs w:val="16"/>
                <w:lang w:eastAsia="es-MX"/>
              </w:rPr>
              <w:t>2019*</w:t>
            </w:r>
          </w:p>
        </w:tc>
        <w:tc>
          <w:tcPr>
            <w:tcW w:w="1155" w:type="dxa"/>
            <w:tcBorders>
              <w:top w:val="nil"/>
              <w:left w:val="nil"/>
              <w:bottom w:val="single" w:sz="8" w:space="0" w:color="FFFFFF"/>
              <w:right w:val="single" w:sz="8" w:space="0" w:color="FFFFFF"/>
            </w:tcBorders>
            <w:shd w:val="clear" w:color="000000" w:fill="F7CAAC"/>
            <w:vAlign w:val="center"/>
            <w:hideMark/>
          </w:tcPr>
          <w:p w14:paraId="66E6F759" w14:textId="77777777" w:rsidR="00F560FD" w:rsidRPr="002C29F1" w:rsidRDefault="00F560FD" w:rsidP="006A0658">
            <w:pPr>
              <w:spacing w:before="40" w:after="40" w:line="240" w:lineRule="auto"/>
              <w:jc w:val="center"/>
              <w:rPr>
                <w:rFonts w:ascii="Century Gothic" w:eastAsia="Times New Roman" w:hAnsi="Century Gothic" w:cs="Calibri"/>
                <w:b/>
                <w:bCs/>
                <w:color w:val="000000"/>
                <w:sz w:val="16"/>
                <w:szCs w:val="16"/>
                <w:lang w:eastAsia="es-MX"/>
              </w:rPr>
            </w:pPr>
            <w:r w:rsidRPr="002C29F1">
              <w:rPr>
                <w:rFonts w:ascii="Century Gothic" w:eastAsia="Times New Roman" w:hAnsi="Century Gothic" w:cs="Calibri"/>
                <w:b/>
                <w:bCs/>
                <w:color w:val="000000"/>
                <w:sz w:val="16"/>
                <w:szCs w:val="16"/>
                <w:lang w:eastAsia="es-MX"/>
              </w:rPr>
              <w:t>2020*</w:t>
            </w:r>
          </w:p>
        </w:tc>
        <w:tc>
          <w:tcPr>
            <w:tcW w:w="1207" w:type="dxa"/>
            <w:tcBorders>
              <w:top w:val="nil"/>
              <w:left w:val="nil"/>
              <w:bottom w:val="single" w:sz="8" w:space="0" w:color="FFFFFF"/>
              <w:right w:val="single" w:sz="8" w:space="0" w:color="FFFFFF"/>
            </w:tcBorders>
            <w:shd w:val="clear" w:color="000000" w:fill="F7CAAC"/>
            <w:vAlign w:val="center"/>
            <w:hideMark/>
          </w:tcPr>
          <w:p w14:paraId="45AC095E" w14:textId="77777777" w:rsidR="00F560FD" w:rsidRPr="002C29F1" w:rsidRDefault="00F560FD" w:rsidP="006A0658">
            <w:pPr>
              <w:spacing w:before="40" w:after="40" w:line="240" w:lineRule="auto"/>
              <w:jc w:val="center"/>
              <w:rPr>
                <w:rFonts w:ascii="Century Gothic" w:eastAsia="Times New Roman" w:hAnsi="Century Gothic" w:cs="Calibri"/>
                <w:b/>
                <w:bCs/>
                <w:color w:val="000000"/>
                <w:sz w:val="16"/>
                <w:szCs w:val="16"/>
                <w:lang w:eastAsia="es-MX"/>
              </w:rPr>
            </w:pPr>
            <w:r w:rsidRPr="002C29F1">
              <w:rPr>
                <w:rFonts w:ascii="Century Gothic" w:eastAsia="Times New Roman" w:hAnsi="Century Gothic" w:cs="Calibri"/>
                <w:b/>
                <w:bCs/>
                <w:color w:val="000000"/>
                <w:sz w:val="16"/>
                <w:szCs w:val="16"/>
                <w:lang w:eastAsia="es-MX"/>
              </w:rPr>
              <w:t>2021**</w:t>
            </w:r>
          </w:p>
        </w:tc>
      </w:tr>
      <w:tr w:rsidR="00F560FD" w:rsidRPr="002C29F1" w14:paraId="1505FA72" w14:textId="77777777" w:rsidTr="006A0658">
        <w:trPr>
          <w:trHeight w:val="282"/>
          <w:jc w:val="center"/>
        </w:trPr>
        <w:tc>
          <w:tcPr>
            <w:tcW w:w="572" w:type="dxa"/>
            <w:tcBorders>
              <w:top w:val="nil"/>
              <w:left w:val="single" w:sz="8" w:space="0" w:color="FFFFFF"/>
              <w:bottom w:val="single" w:sz="8" w:space="0" w:color="FFFFFF"/>
              <w:right w:val="single" w:sz="8" w:space="0" w:color="FFFFFF"/>
            </w:tcBorders>
            <w:shd w:val="clear" w:color="000000" w:fill="F2F2F2"/>
            <w:noWrap/>
            <w:vAlign w:val="center"/>
            <w:hideMark/>
          </w:tcPr>
          <w:p w14:paraId="611C605B" w14:textId="77777777" w:rsidR="00F560FD" w:rsidRPr="002C29F1" w:rsidRDefault="00F560FD" w:rsidP="006A0658">
            <w:pPr>
              <w:spacing w:before="40" w:after="40" w:line="240" w:lineRule="auto"/>
              <w:jc w:val="center"/>
              <w:rPr>
                <w:rFonts w:ascii="Century Gothic" w:eastAsia="Times New Roman" w:hAnsi="Century Gothic" w:cs="Calibri"/>
                <w:color w:val="000000"/>
                <w:sz w:val="16"/>
                <w:szCs w:val="16"/>
                <w:lang w:eastAsia="es-MX"/>
              </w:rPr>
            </w:pPr>
            <w:r w:rsidRPr="002C29F1">
              <w:rPr>
                <w:rFonts w:ascii="Century Gothic" w:eastAsia="Times New Roman" w:hAnsi="Century Gothic" w:cs="Calibri"/>
                <w:color w:val="000000"/>
                <w:sz w:val="16"/>
                <w:szCs w:val="16"/>
                <w:lang w:eastAsia="es-MX"/>
              </w:rPr>
              <w:t>DGEE</w:t>
            </w:r>
          </w:p>
        </w:tc>
        <w:tc>
          <w:tcPr>
            <w:tcW w:w="5088" w:type="dxa"/>
            <w:tcBorders>
              <w:top w:val="nil"/>
              <w:left w:val="nil"/>
              <w:bottom w:val="single" w:sz="8" w:space="0" w:color="FFFFFF"/>
              <w:right w:val="single" w:sz="8" w:space="0" w:color="FFFFFF"/>
            </w:tcBorders>
            <w:shd w:val="clear" w:color="000000" w:fill="F2F2F2"/>
            <w:vAlign w:val="center"/>
            <w:hideMark/>
          </w:tcPr>
          <w:p w14:paraId="18A9752D" w14:textId="77777777" w:rsidR="00F560FD" w:rsidRPr="002C29F1" w:rsidRDefault="00F560FD" w:rsidP="006A0658">
            <w:pPr>
              <w:spacing w:before="40" w:after="40" w:line="240" w:lineRule="auto"/>
              <w:rPr>
                <w:rFonts w:ascii="Century Gothic" w:eastAsia="Times New Roman" w:hAnsi="Century Gothic" w:cs="Calibri"/>
                <w:color w:val="000000"/>
                <w:sz w:val="16"/>
                <w:szCs w:val="16"/>
                <w:lang w:eastAsia="es-MX"/>
              </w:rPr>
            </w:pPr>
            <w:r w:rsidRPr="002C29F1">
              <w:rPr>
                <w:rFonts w:ascii="Century Gothic" w:eastAsia="Times New Roman" w:hAnsi="Century Gothic" w:cs="Calibri"/>
                <w:color w:val="000000"/>
                <w:sz w:val="16"/>
                <w:szCs w:val="16"/>
                <w:lang w:eastAsia="es-MX"/>
              </w:rPr>
              <w:t>Finanzas Públicas Estatales y Municipales</w:t>
            </w:r>
          </w:p>
        </w:tc>
        <w:tc>
          <w:tcPr>
            <w:tcW w:w="993" w:type="dxa"/>
            <w:tcBorders>
              <w:top w:val="nil"/>
              <w:left w:val="nil"/>
              <w:bottom w:val="single" w:sz="8" w:space="0" w:color="FFFFFF"/>
              <w:right w:val="single" w:sz="8" w:space="0" w:color="FFFFFF"/>
            </w:tcBorders>
            <w:shd w:val="clear" w:color="000000" w:fill="F2F2F2"/>
            <w:vAlign w:val="center"/>
            <w:hideMark/>
          </w:tcPr>
          <w:p w14:paraId="38010B53" w14:textId="77777777" w:rsidR="00F560FD" w:rsidRPr="002C29F1" w:rsidRDefault="00F560FD" w:rsidP="006A0658">
            <w:pPr>
              <w:spacing w:before="40" w:after="40" w:line="240" w:lineRule="auto"/>
              <w:rPr>
                <w:rFonts w:ascii="Century Gothic" w:eastAsia="Times New Roman" w:hAnsi="Century Gothic" w:cs="Calibri"/>
                <w:color w:val="000000"/>
                <w:sz w:val="16"/>
                <w:szCs w:val="16"/>
                <w:lang w:eastAsia="es-MX"/>
              </w:rPr>
            </w:pPr>
            <w:r w:rsidRPr="002C29F1">
              <w:rPr>
                <w:rFonts w:ascii="Century Gothic" w:eastAsia="Times New Roman" w:hAnsi="Century Gothic" w:cs="Calibri"/>
                <w:color w:val="000000"/>
                <w:sz w:val="16"/>
                <w:szCs w:val="16"/>
                <w:lang w:eastAsia="es-MX"/>
              </w:rPr>
              <w:t>EFIPEM</w:t>
            </w:r>
          </w:p>
        </w:tc>
        <w:tc>
          <w:tcPr>
            <w:tcW w:w="708" w:type="dxa"/>
            <w:tcBorders>
              <w:top w:val="nil"/>
              <w:left w:val="nil"/>
              <w:bottom w:val="single" w:sz="8" w:space="0" w:color="FFFFFF"/>
              <w:right w:val="single" w:sz="8" w:space="0" w:color="FFFFFF"/>
            </w:tcBorders>
            <w:shd w:val="clear" w:color="000000" w:fill="F2F2F2"/>
            <w:vAlign w:val="center"/>
            <w:hideMark/>
          </w:tcPr>
          <w:p w14:paraId="1B1C500A" w14:textId="77777777" w:rsidR="00F560FD" w:rsidRPr="002C29F1" w:rsidRDefault="00F560FD" w:rsidP="006A0658">
            <w:pPr>
              <w:spacing w:before="40" w:after="40" w:line="240" w:lineRule="auto"/>
              <w:jc w:val="center"/>
              <w:rPr>
                <w:rFonts w:ascii="Century Gothic" w:eastAsia="Times New Roman" w:hAnsi="Century Gothic" w:cs="Calibri"/>
                <w:color w:val="000000"/>
                <w:sz w:val="16"/>
                <w:szCs w:val="16"/>
                <w:lang w:eastAsia="es-MX"/>
              </w:rPr>
            </w:pPr>
            <w:r w:rsidRPr="002C29F1">
              <w:rPr>
                <w:rFonts w:ascii="Century Gothic" w:eastAsia="Times New Roman" w:hAnsi="Century Gothic" w:cs="Calibri"/>
                <w:color w:val="000000"/>
                <w:sz w:val="16"/>
                <w:szCs w:val="16"/>
                <w:lang w:eastAsia="es-MX"/>
              </w:rPr>
              <w:t>4</w:t>
            </w:r>
          </w:p>
        </w:tc>
        <w:tc>
          <w:tcPr>
            <w:tcW w:w="567" w:type="dxa"/>
            <w:tcBorders>
              <w:top w:val="nil"/>
              <w:left w:val="nil"/>
              <w:bottom w:val="single" w:sz="8" w:space="0" w:color="FFFFFF"/>
              <w:right w:val="single" w:sz="8" w:space="0" w:color="FFFFFF"/>
            </w:tcBorders>
            <w:shd w:val="clear" w:color="000000" w:fill="F2F2F2"/>
            <w:vAlign w:val="center"/>
            <w:hideMark/>
          </w:tcPr>
          <w:p w14:paraId="28373DCA" w14:textId="77777777" w:rsidR="00F560FD" w:rsidRPr="002C29F1" w:rsidRDefault="00F560FD" w:rsidP="006A0658">
            <w:pPr>
              <w:spacing w:before="40" w:after="40" w:line="240" w:lineRule="auto"/>
              <w:jc w:val="center"/>
              <w:rPr>
                <w:rFonts w:ascii="Century Gothic" w:eastAsia="Times New Roman" w:hAnsi="Century Gothic" w:cs="Calibri"/>
                <w:color w:val="000000"/>
                <w:sz w:val="16"/>
                <w:szCs w:val="16"/>
                <w:lang w:eastAsia="es-MX"/>
              </w:rPr>
            </w:pPr>
            <w:r w:rsidRPr="002C29F1">
              <w:rPr>
                <w:rFonts w:ascii="Century Gothic" w:eastAsia="Times New Roman" w:hAnsi="Century Gothic" w:cs="Calibri"/>
                <w:color w:val="000000"/>
                <w:sz w:val="16"/>
                <w:szCs w:val="16"/>
                <w:lang w:eastAsia="es-MX"/>
              </w:rPr>
              <w:t>2</w:t>
            </w:r>
          </w:p>
        </w:tc>
        <w:tc>
          <w:tcPr>
            <w:tcW w:w="709" w:type="dxa"/>
            <w:tcBorders>
              <w:top w:val="nil"/>
              <w:left w:val="nil"/>
              <w:bottom w:val="single" w:sz="8" w:space="0" w:color="FFFFFF"/>
              <w:right w:val="nil"/>
            </w:tcBorders>
            <w:shd w:val="clear" w:color="000000" w:fill="F2F2F2"/>
            <w:vAlign w:val="center"/>
            <w:hideMark/>
          </w:tcPr>
          <w:p w14:paraId="6A4A4406" w14:textId="77777777" w:rsidR="00F560FD" w:rsidRPr="002C29F1" w:rsidRDefault="00F560FD" w:rsidP="006A0658">
            <w:pPr>
              <w:spacing w:before="40" w:after="40" w:line="240" w:lineRule="auto"/>
              <w:jc w:val="center"/>
              <w:rPr>
                <w:rFonts w:ascii="Century Gothic" w:eastAsia="Times New Roman" w:hAnsi="Century Gothic" w:cs="Calibri"/>
                <w:color w:val="000000"/>
                <w:sz w:val="16"/>
                <w:szCs w:val="16"/>
                <w:lang w:eastAsia="es-MX"/>
              </w:rPr>
            </w:pPr>
            <w:r w:rsidRPr="002C29F1">
              <w:rPr>
                <w:rFonts w:ascii="Century Gothic" w:eastAsia="Times New Roman" w:hAnsi="Century Gothic" w:cs="Calibri"/>
                <w:color w:val="000000"/>
                <w:sz w:val="16"/>
                <w:szCs w:val="16"/>
                <w:lang w:eastAsia="es-MX"/>
              </w:rPr>
              <w:t>2</w:t>
            </w:r>
          </w:p>
        </w:tc>
        <w:tc>
          <w:tcPr>
            <w:tcW w:w="709" w:type="dxa"/>
            <w:tcBorders>
              <w:top w:val="nil"/>
              <w:left w:val="nil"/>
              <w:bottom w:val="single" w:sz="8" w:space="0" w:color="FFFFFF"/>
              <w:right w:val="single" w:sz="8" w:space="0" w:color="FFFFFF"/>
            </w:tcBorders>
            <w:shd w:val="clear" w:color="000000" w:fill="E1F4FF"/>
            <w:vAlign w:val="center"/>
            <w:hideMark/>
          </w:tcPr>
          <w:p w14:paraId="3E208B9F" w14:textId="77777777" w:rsidR="00F560FD" w:rsidRPr="002C29F1" w:rsidRDefault="00F560FD" w:rsidP="006A0658">
            <w:pPr>
              <w:spacing w:before="40" w:after="40" w:line="240" w:lineRule="auto"/>
              <w:jc w:val="center"/>
              <w:rPr>
                <w:rFonts w:ascii="Century Gothic" w:eastAsia="Times New Roman" w:hAnsi="Century Gothic" w:cs="Calibri"/>
                <w:color w:val="000000"/>
                <w:sz w:val="16"/>
                <w:szCs w:val="16"/>
                <w:lang w:eastAsia="es-MX"/>
              </w:rPr>
            </w:pPr>
            <w:r w:rsidRPr="009F520A">
              <w:rPr>
                <w:rFonts w:ascii="Century Gothic" w:eastAsia="Times New Roman" w:hAnsi="Century Gothic" w:cs="Calibri"/>
                <w:color w:val="000000"/>
                <w:sz w:val="16"/>
                <w:szCs w:val="16"/>
                <w:lang w:eastAsia="es-MX"/>
              </w:rPr>
              <w:t>0</w:t>
            </w:r>
          </w:p>
        </w:tc>
        <w:tc>
          <w:tcPr>
            <w:tcW w:w="841" w:type="dxa"/>
            <w:tcBorders>
              <w:top w:val="nil"/>
              <w:left w:val="nil"/>
              <w:bottom w:val="single" w:sz="8" w:space="0" w:color="FFFFFF"/>
              <w:right w:val="single" w:sz="8" w:space="0" w:color="FFFFFF"/>
            </w:tcBorders>
            <w:shd w:val="clear" w:color="000000" w:fill="E1F4FF"/>
            <w:vAlign w:val="center"/>
            <w:hideMark/>
          </w:tcPr>
          <w:p w14:paraId="01992CC1" w14:textId="77777777" w:rsidR="00F560FD" w:rsidRPr="002C29F1" w:rsidRDefault="00F560FD" w:rsidP="006A0658">
            <w:pPr>
              <w:spacing w:before="40" w:after="40" w:line="240" w:lineRule="auto"/>
              <w:jc w:val="center"/>
              <w:rPr>
                <w:rFonts w:ascii="Century Gothic" w:eastAsia="Times New Roman" w:hAnsi="Century Gothic" w:cs="Calibri"/>
                <w:color w:val="000000"/>
                <w:sz w:val="16"/>
                <w:szCs w:val="16"/>
                <w:lang w:eastAsia="es-MX"/>
              </w:rPr>
            </w:pPr>
            <w:r w:rsidRPr="009F520A">
              <w:rPr>
                <w:rFonts w:ascii="Century Gothic" w:eastAsia="Times New Roman" w:hAnsi="Century Gothic" w:cs="Calibri"/>
                <w:color w:val="000000"/>
                <w:sz w:val="16"/>
                <w:szCs w:val="16"/>
                <w:lang w:eastAsia="es-MX"/>
              </w:rPr>
              <w:t>0</w:t>
            </w:r>
          </w:p>
        </w:tc>
        <w:tc>
          <w:tcPr>
            <w:tcW w:w="676" w:type="dxa"/>
            <w:tcBorders>
              <w:top w:val="nil"/>
              <w:left w:val="nil"/>
              <w:bottom w:val="single" w:sz="8" w:space="0" w:color="FFFFFF"/>
              <w:right w:val="single" w:sz="8" w:space="0" w:color="FFFFFF"/>
            </w:tcBorders>
            <w:shd w:val="clear" w:color="000000" w:fill="E1F4FF"/>
            <w:vAlign w:val="center"/>
            <w:hideMark/>
          </w:tcPr>
          <w:p w14:paraId="6C56A15B" w14:textId="77777777" w:rsidR="00F560FD" w:rsidRPr="002C29F1" w:rsidRDefault="00F560FD" w:rsidP="006A0658">
            <w:pPr>
              <w:spacing w:before="40" w:after="40" w:line="240" w:lineRule="auto"/>
              <w:jc w:val="center"/>
              <w:rPr>
                <w:rFonts w:ascii="Century Gothic" w:eastAsia="Times New Roman" w:hAnsi="Century Gothic" w:cs="Calibri"/>
                <w:color w:val="000000"/>
                <w:sz w:val="16"/>
                <w:szCs w:val="16"/>
                <w:lang w:eastAsia="es-MX"/>
              </w:rPr>
            </w:pPr>
            <w:r w:rsidRPr="009F520A">
              <w:rPr>
                <w:rFonts w:ascii="Century Gothic" w:eastAsia="Times New Roman" w:hAnsi="Century Gothic" w:cs="Calibri"/>
                <w:color w:val="000000"/>
                <w:sz w:val="16"/>
                <w:szCs w:val="16"/>
                <w:lang w:eastAsia="es-MX"/>
              </w:rPr>
              <w:t>0</w:t>
            </w:r>
          </w:p>
        </w:tc>
        <w:tc>
          <w:tcPr>
            <w:tcW w:w="1155" w:type="dxa"/>
            <w:tcBorders>
              <w:top w:val="nil"/>
              <w:left w:val="nil"/>
              <w:bottom w:val="single" w:sz="8" w:space="0" w:color="FFFFFF"/>
              <w:right w:val="single" w:sz="8" w:space="0" w:color="FFFFFF"/>
            </w:tcBorders>
            <w:shd w:val="clear" w:color="000000" w:fill="FBE4D5"/>
            <w:vAlign w:val="center"/>
            <w:hideMark/>
          </w:tcPr>
          <w:p w14:paraId="52791792" w14:textId="77777777" w:rsidR="00F560FD" w:rsidRPr="002C29F1" w:rsidRDefault="00F560FD" w:rsidP="006A0658">
            <w:pPr>
              <w:spacing w:before="40" w:after="40" w:line="240" w:lineRule="auto"/>
              <w:jc w:val="center"/>
              <w:rPr>
                <w:rFonts w:ascii="Century Gothic" w:eastAsia="Times New Roman" w:hAnsi="Century Gothic" w:cs="Calibri"/>
                <w:color w:val="000000"/>
                <w:sz w:val="16"/>
                <w:szCs w:val="16"/>
                <w:lang w:eastAsia="es-MX"/>
              </w:rPr>
            </w:pPr>
            <w:r w:rsidRPr="009F520A">
              <w:rPr>
                <w:rFonts w:ascii="Century Gothic" w:eastAsia="Times New Roman" w:hAnsi="Century Gothic" w:cs="Calibri"/>
                <w:color w:val="000000"/>
                <w:sz w:val="16"/>
                <w:szCs w:val="16"/>
                <w:lang w:eastAsia="es-MX"/>
              </w:rPr>
              <w:t xml:space="preserve">7 </w:t>
            </w:r>
            <w:r w:rsidRPr="009F520A">
              <w:rPr>
                <w:rFonts w:ascii="Century Gothic" w:eastAsia="Times New Roman" w:hAnsi="Century Gothic" w:cs="Calibri"/>
                <w:color w:val="000000"/>
                <w:sz w:val="16"/>
                <w:szCs w:val="16"/>
                <w:lang w:eastAsia="es-MX"/>
              </w:rPr>
              <w:br/>
              <w:t>(ponderado)</w:t>
            </w:r>
          </w:p>
        </w:tc>
        <w:tc>
          <w:tcPr>
            <w:tcW w:w="1155" w:type="dxa"/>
            <w:tcBorders>
              <w:top w:val="nil"/>
              <w:left w:val="nil"/>
              <w:bottom w:val="single" w:sz="8" w:space="0" w:color="FFFFFF"/>
              <w:right w:val="single" w:sz="8" w:space="0" w:color="FFFFFF"/>
            </w:tcBorders>
            <w:shd w:val="clear" w:color="000000" w:fill="FBE4D5"/>
            <w:vAlign w:val="center"/>
            <w:hideMark/>
          </w:tcPr>
          <w:p w14:paraId="0A8A16A2" w14:textId="77777777" w:rsidR="00F560FD" w:rsidRPr="002C29F1" w:rsidRDefault="00F560FD" w:rsidP="006A0658">
            <w:pPr>
              <w:spacing w:before="40" w:after="40" w:line="240" w:lineRule="auto"/>
              <w:jc w:val="center"/>
              <w:rPr>
                <w:rFonts w:ascii="Century Gothic" w:eastAsia="Times New Roman" w:hAnsi="Century Gothic" w:cs="Calibri"/>
                <w:color w:val="000000"/>
                <w:sz w:val="16"/>
                <w:szCs w:val="16"/>
                <w:lang w:eastAsia="es-MX"/>
              </w:rPr>
            </w:pPr>
            <w:r w:rsidRPr="009F520A">
              <w:rPr>
                <w:rFonts w:ascii="Century Gothic" w:eastAsia="Times New Roman" w:hAnsi="Century Gothic" w:cs="Calibri"/>
                <w:color w:val="000000"/>
                <w:sz w:val="16"/>
                <w:szCs w:val="16"/>
                <w:lang w:eastAsia="es-MX"/>
              </w:rPr>
              <w:t xml:space="preserve">5 </w:t>
            </w:r>
            <w:r w:rsidRPr="009F520A">
              <w:rPr>
                <w:rFonts w:ascii="Century Gothic" w:eastAsia="Times New Roman" w:hAnsi="Century Gothic" w:cs="Calibri"/>
                <w:color w:val="000000"/>
                <w:sz w:val="16"/>
                <w:szCs w:val="16"/>
                <w:lang w:eastAsia="es-MX"/>
              </w:rPr>
              <w:br/>
              <w:t>(ponderado)</w:t>
            </w:r>
          </w:p>
        </w:tc>
        <w:tc>
          <w:tcPr>
            <w:tcW w:w="1207" w:type="dxa"/>
            <w:tcBorders>
              <w:top w:val="nil"/>
              <w:left w:val="nil"/>
              <w:bottom w:val="single" w:sz="8" w:space="0" w:color="FFFFFF"/>
              <w:right w:val="single" w:sz="8" w:space="0" w:color="FFFFFF"/>
            </w:tcBorders>
            <w:shd w:val="clear" w:color="000000" w:fill="FBE4D5"/>
            <w:vAlign w:val="center"/>
            <w:hideMark/>
          </w:tcPr>
          <w:p w14:paraId="6E92E91D" w14:textId="77777777" w:rsidR="00F560FD" w:rsidRPr="002C29F1" w:rsidRDefault="00F560FD" w:rsidP="006A0658">
            <w:pPr>
              <w:spacing w:before="40" w:after="40" w:line="240" w:lineRule="auto"/>
              <w:jc w:val="center"/>
              <w:rPr>
                <w:rFonts w:ascii="Century Gothic" w:eastAsia="Times New Roman" w:hAnsi="Century Gothic" w:cs="Calibri"/>
                <w:color w:val="000000"/>
                <w:sz w:val="16"/>
                <w:szCs w:val="16"/>
                <w:lang w:eastAsia="es-MX"/>
              </w:rPr>
            </w:pPr>
            <w:r w:rsidRPr="009F520A">
              <w:rPr>
                <w:rFonts w:ascii="Century Gothic" w:eastAsia="Times New Roman" w:hAnsi="Century Gothic" w:cs="Calibri"/>
                <w:sz w:val="16"/>
                <w:szCs w:val="16"/>
                <w:lang w:eastAsia="es-MX"/>
              </w:rPr>
              <w:t>5</w:t>
            </w:r>
            <w:r w:rsidRPr="009F520A">
              <w:rPr>
                <w:rFonts w:ascii="Century Gothic" w:eastAsia="Times New Roman" w:hAnsi="Century Gothic" w:cs="Calibri"/>
                <w:color w:val="000000"/>
                <w:sz w:val="16"/>
                <w:szCs w:val="16"/>
                <w:lang w:eastAsia="es-MX"/>
              </w:rPr>
              <w:br/>
              <w:t>(ponderado)</w:t>
            </w:r>
          </w:p>
        </w:tc>
      </w:tr>
      <w:tr w:rsidR="00F560FD" w:rsidRPr="002C29F1" w14:paraId="47C07EA5" w14:textId="77777777" w:rsidTr="006A0658">
        <w:trPr>
          <w:trHeight w:val="219"/>
          <w:jc w:val="center"/>
        </w:trPr>
        <w:tc>
          <w:tcPr>
            <w:tcW w:w="572" w:type="dxa"/>
            <w:tcBorders>
              <w:top w:val="nil"/>
              <w:left w:val="single" w:sz="8" w:space="0" w:color="FFFFFF"/>
              <w:bottom w:val="single" w:sz="8" w:space="0" w:color="FFFFFF"/>
              <w:right w:val="single" w:sz="8" w:space="0" w:color="FFFFFF"/>
            </w:tcBorders>
            <w:shd w:val="clear" w:color="000000" w:fill="F2F2F2"/>
            <w:noWrap/>
            <w:vAlign w:val="center"/>
            <w:hideMark/>
          </w:tcPr>
          <w:p w14:paraId="21659319" w14:textId="77777777" w:rsidR="00F560FD" w:rsidRPr="002C29F1" w:rsidRDefault="00F560FD" w:rsidP="006A0658">
            <w:pPr>
              <w:spacing w:before="40" w:after="40" w:line="240" w:lineRule="auto"/>
              <w:jc w:val="center"/>
              <w:rPr>
                <w:rFonts w:ascii="Century Gothic" w:eastAsia="Times New Roman" w:hAnsi="Century Gothic" w:cs="Calibri"/>
                <w:color w:val="000000"/>
                <w:sz w:val="16"/>
                <w:szCs w:val="16"/>
                <w:lang w:eastAsia="es-MX"/>
              </w:rPr>
            </w:pPr>
            <w:r w:rsidRPr="002C29F1">
              <w:rPr>
                <w:rFonts w:ascii="Century Gothic" w:eastAsia="Times New Roman" w:hAnsi="Century Gothic" w:cs="Calibri"/>
                <w:color w:val="000000"/>
                <w:sz w:val="16"/>
                <w:szCs w:val="16"/>
                <w:lang w:eastAsia="es-MX"/>
              </w:rPr>
              <w:t>DGEE</w:t>
            </w:r>
          </w:p>
        </w:tc>
        <w:tc>
          <w:tcPr>
            <w:tcW w:w="5088" w:type="dxa"/>
            <w:tcBorders>
              <w:top w:val="nil"/>
              <w:left w:val="nil"/>
              <w:bottom w:val="single" w:sz="8" w:space="0" w:color="FFFFFF"/>
              <w:right w:val="single" w:sz="8" w:space="0" w:color="FFFFFF"/>
            </w:tcBorders>
            <w:shd w:val="clear" w:color="000000" w:fill="F2F2F2"/>
            <w:vAlign w:val="center"/>
            <w:hideMark/>
          </w:tcPr>
          <w:p w14:paraId="50C8FBF3" w14:textId="77777777" w:rsidR="00F560FD" w:rsidRPr="002C29F1" w:rsidRDefault="00F560FD" w:rsidP="006A0658">
            <w:pPr>
              <w:spacing w:before="40" w:after="40" w:line="240" w:lineRule="auto"/>
              <w:rPr>
                <w:rFonts w:ascii="Century Gothic" w:eastAsia="Times New Roman" w:hAnsi="Century Gothic" w:cs="Calibri"/>
                <w:color w:val="000000"/>
                <w:sz w:val="16"/>
                <w:szCs w:val="16"/>
                <w:lang w:eastAsia="es-MX"/>
              </w:rPr>
            </w:pPr>
            <w:r w:rsidRPr="002C29F1">
              <w:rPr>
                <w:rFonts w:ascii="Century Gothic" w:eastAsia="Times New Roman" w:hAnsi="Century Gothic" w:cs="Calibri"/>
                <w:color w:val="000000"/>
                <w:sz w:val="16"/>
                <w:szCs w:val="16"/>
                <w:lang w:eastAsia="es-MX"/>
              </w:rPr>
              <w:t>Accidentes de Tránsito Terrestre</w:t>
            </w:r>
          </w:p>
        </w:tc>
        <w:tc>
          <w:tcPr>
            <w:tcW w:w="993" w:type="dxa"/>
            <w:tcBorders>
              <w:top w:val="nil"/>
              <w:left w:val="nil"/>
              <w:bottom w:val="single" w:sz="8" w:space="0" w:color="FFFFFF"/>
              <w:right w:val="single" w:sz="8" w:space="0" w:color="FFFFFF"/>
            </w:tcBorders>
            <w:shd w:val="clear" w:color="000000" w:fill="F2F2F2"/>
            <w:vAlign w:val="center"/>
            <w:hideMark/>
          </w:tcPr>
          <w:p w14:paraId="49767943" w14:textId="77777777" w:rsidR="00F560FD" w:rsidRPr="002C29F1" w:rsidRDefault="00F560FD" w:rsidP="006A0658">
            <w:pPr>
              <w:spacing w:before="40" w:after="40" w:line="240" w:lineRule="auto"/>
              <w:rPr>
                <w:rFonts w:ascii="Century Gothic" w:eastAsia="Times New Roman" w:hAnsi="Century Gothic" w:cs="Calibri"/>
                <w:color w:val="000000"/>
                <w:sz w:val="16"/>
                <w:szCs w:val="16"/>
                <w:lang w:eastAsia="es-MX"/>
              </w:rPr>
            </w:pPr>
            <w:r w:rsidRPr="002C29F1">
              <w:rPr>
                <w:rFonts w:ascii="Century Gothic" w:eastAsia="Times New Roman" w:hAnsi="Century Gothic" w:cs="Calibri"/>
                <w:color w:val="000000"/>
                <w:sz w:val="16"/>
                <w:szCs w:val="16"/>
                <w:lang w:eastAsia="es-MX"/>
              </w:rPr>
              <w:t>ATUS</w:t>
            </w:r>
          </w:p>
        </w:tc>
        <w:tc>
          <w:tcPr>
            <w:tcW w:w="708" w:type="dxa"/>
            <w:tcBorders>
              <w:top w:val="nil"/>
              <w:left w:val="nil"/>
              <w:bottom w:val="single" w:sz="8" w:space="0" w:color="FFFFFF"/>
              <w:right w:val="single" w:sz="8" w:space="0" w:color="FFFFFF"/>
            </w:tcBorders>
            <w:shd w:val="clear" w:color="000000" w:fill="F2F2F2"/>
            <w:vAlign w:val="center"/>
            <w:hideMark/>
          </w:tcPr>
          <w:p w14:paraId="6116CCF7" w14:textId="77777777" w:rsidR="00F560FD" w:rsidRPr="002C29F1" w:rsidRDefault="00F560FD" w:rsidP="006A0658">
            <w:pPr>
              <w:spacing w:before="40" w:after="40" w:line="240" w:lineRule="auto"/>
              <w:jc w:val="center"/>
              <w:rPr>
                <w:rFonts w:ascii="Century Gothic" w:eastAsia="Times New Roman" w:hAnsi="Century Gothic" w:cs="Calibri"/>
                <w:color w:val="000000"/>
                <w:sz w:val="16"/>
                <w:szCs w:val="16"/>
                <w:lang w:eastAsia="es-MX"/>
              </w:rPr>
            </w:pPr>
            <w:r w:rsidRPr="002C29F1">
              <w:rPr>
                <w:rFonts w:ascii="Century Gothic" w:eastAsia="Times New Roman" w:hAnsi="Century Gothic" w:cs="Calibri"/>
                <w:color w:val="000000"/>
                <w:sz w:val="16"/>
                <w:szCs w:val="16"/>
                <w:lang w:eastAsia="es-MX"/>
              </w:rPr>
              <w:t>1</w:t>
            </w:r>
          </w:p>
        </w:tc>
        <w:tc>
          <w:tcPr>
            <w:tcW w:w="567" w:type="dxa"/>
            <w:tcBorders>
              <w:top w:val="nil"/>
              <w:left w:val="nil"/>
              <w:bottom w:val="single" w:sz="8" w:space="0" w:color="FFFFFF"/>
              <w:right w:val="single" w:sz="8" w:space="0" w:color="FFFFFF"/>
            </w:tcBorders>
            <w:shd w:val="clear" w:color="000000" w:fill="F2F2F2"/>
            <w:vAlign w:val="center"/>
            <w:hideMark/>
          </w:tcPr>
          <w:p w14:paraId="42C20077" w14:textId="77777777" w:rsidR="00F560FD" w:rsidRPr="002C29F1" w:rsidRDefault="00F560FD" w:rsidP="006A0658">
            <w:pPr>
              <w:spacing w:before="40" w:after="40" w:line="240" w:lineRule="auto"/>
              <w:jc w:val="center"/>
              <w:rPr>
                <w:rFonts w:ascii="Century Gothic" w:eastAsia="Times New Roman" w:hAnsi="Century Gothic" w:cs="Calibri"/>
                <w:color w:val="000000"/>
                <w:sz w:val="16"/>
                <w:szCs w:val="16"/>
                <w:lang w:eastAsia="es-MX"/>
              </w:rPr>
            </w:pPr>
            <w:r w:rsidRPr="002C29F1">
              <w:rPr>
                <w:rFonts w:ascii="Century Gothic" w:eastAsia="Times New Roman" w:hAnsi="Century Gothic" w:cs="Calibri"/>
                <w:color w:val="000000"/>
                <w:sz w:val="16"/>
                <w:szCs w:val="16"/>
                <w:lang w:eastAsia="es-MX"/>
              </w:rPr>
              <w:t>1</w:t>
            </w:r>
          </w:p>
        </w:tc>
        <w:tc>
          <w:tcPr>
            <w:tcW w:w="709" w:type="dxa"/>
            <w:tcBorders>
              <w:top w:val="nil"/>
              <w:left w:val="nil"/>
              <w:bottom w:val="single" w:sz="8" w:space="0" w:color="FFFFFF"/>
              <w:right w:val="single" w:sz="8" w:space="0" w:color="FFFFFF"/>
            </w:tcBorders>
            <w:shd w:val="clear" w:color="000000" w:fill="F2F2F2"/>
            <w:vAlign w:val="center"/>
            <w:hideMark/>
          </w:tcPr>
          <w:p w14:paraId="27989BD1" w14:textId="77777777" w:rsidR="00F560FD" w:rsidRPr="002C29F1" w:rsidRDefault="00F560FD" w:rsidP="006A0658">
            <w:pPr>
              <w:spacing w:before="40" w:after="40" w:line="240" w:lineRule="auto"/>
              <w:jc w:val="center"/>
              <w:rPr>
                <w:rFonts w:ascii="Century Gothic" w:eastAsia="Times New Roman" w:hAnsi="Century Gothic" w:cs="Calibri"/>
                <w:color w:val="000000"/>
                <w:sz w:val="16"/>
                <w:szCs w:val="16"/>
                <w:lang w:eastAsia="es-MX"/>
              </w:rPr>
            </w:pPr>
            <w:r w:rsidRPr="002C29F1">
              <w:rPr>
                <w:rFonts w:ascii="Century Gothic" w:eastAsia="Times New Roman" w:hAnsi="Century Gothic" w:cs="Calibri"/>
                <w:color w:val="000000"/>
                <w:sz w:val="16"/>
                <w:szCs w:val="16"/>
                <w:lang w:eastAsia="es-MX"/>
              </w:rPr>
              <w:t>1</w:t>
            </w:r>
          </w:p>
        </w:tc>
        <w:tc>
          <w:tcPr>
            <w:tcW w:w="709" w:type="dxa"/>
            <w:tcBorders>
              <w:top w:val="nil"/>
              <w:left w:val="nil"/>
              <w:bottom w:val="single" w:sz="8" w:space="0" w:color="FFFFFF"/>
              <w:right w:val="single" w:sz="8" w:space="0" w:color="FFFFFF"/>
            </w:tcBorders>
            <w:shd w:val="clear" w:color="000000" w:fill="E1F4FF"/>
            <w:vAlign w:val="center"/>
            <w:hideMark/>
          </w:tcPr>
          <w:p w14:paraId="249E5873" w14:textId="77777777" w:rsidR="00F560FD" w:rsidRPr="002C29F1" w:rsidRDefault="00F560FD" w:rsidP="006A0658">
            <w:pPr>
              <w:spacing w:before="40" w:after="40" w:line="240" w:lineRule="auto"/>
              <w:jc w:val="center"/>
              <w:rPr>
                <w:rFonts w:ascii="Century Gothic" w:eastAsia="Times New Roman" w:hAnsi="Century Gothic" w:cs="Calibri"/>
                <w:color w:val="000000"/>
                <w:sz w:val="16"/>
                <w:szCs w:val="16"/>
                <w:lang w:eastAsia="es-MX"/>
              </w:rPr>
            </w:pPr>
            <w:r w:rsidRPr="009F520A">
              <w:rPr>
                <w:rFonts w:ascii="Century Gothic" w:eastAsia="Times New Roman" w:hAnsi="Century Gothic" w:cs="Calibri"/>
                <w:color w:val="000000"/>
                <w:sz w:val="16"/>
                <w:szCs w:val="16"/>
                <w:lang w:eastAsia="es-MX"/>
              </w:rPr>
              <w:t>0</w:t>
            </w:r>
          </w:p>
        </w:tc>
        <w:tc>
          <w:tcPr>
            <w:tcW w:w="841" w:type="dxa"/>
            <w:tcBorders>
              <w:top w:val="nil"/>
              <w:left w:val="nil"/>
              <w:bottom w:val="single" w:sz="8" w:space="0" w:color="FFFFFF"/>
              <w:right w:val="single" w:sz="8" w:space="0" w:color="FFFFFF"/>
            </w:tcBorders>
            <w:shd w:val="clear" w:color="000000" w:fill="E1F4FF"/>
            <w:vAlign w:val="center"/>
            <w:hideMark/>
          </w:tcPr>
          <w:p w14:paraId="69B3FE1B" w14:textId="77777777" w:rsidR="00F560FD" w:rsidRPr="002C29F1" w:rsidRDefault="00F560FD" w:rsidP="006A0658">
            <w:pPr>
              <w:spacing w:before="40" w:after="40" w:line="240" w:lineRule="auto"/>
              <w:jc w:val="center"/>
              <w:rPr>
                <w:rFonts w:ascii="Century Gothic" w:eastAsia="Times New Roman" w:hAnsi="Century Gothic" w:cs="Calibri"/>
                <w:color w:val="000000"/>
                <w:sz w:val="16"/>
                <w:szCs w:val="16"/>
                <w:lang w:eastAsia="es-MX"/>
              </w:rPr>
            </w:pPr>
            <w:r w:rsidRPr="009F520A">
              <w:rPr>
                <w:rFonts w:ascii="Century Gothic" w:eastAsia="Times New Roman" w:hAnsi="Century Gothic" w:cs="Calibri"/>
                <w:color w:val="000000"/>
                <w:sz w:val="16"/>
                <w:szCs w:val="16"/>
                <w:lang w:eastAsia="es-MX"/>
              </w:rPr>
              <w:t>0</w:t>
            </w:r>
          </w:p>
        </w:tc>
        <w:tc>
          <w:tcPr>
            <w:tcW w:w="676" w:type="dxa"/>
            <w:tcBorders>
              <w:top w:val="nil"/>
              <w:left w:val="nil"/>
              <w:bottom w:val="single" w:sz="8" w:space="0" w:color="FFFFFF"/>
              <w:right w:val="single" w:sz="8" w:space="0" w:color="FFFFFF"/>
            </w:tcBorders>
            <w:shd w:val="clear" w:color="000000" w:fill="E1F4FF"/>
            <w:vAlign w:val="center"/>
            <w:hideMark/>
          </w:tcPr>
          <w:p w14:paraId="392832D7" w14:textId="77777777" w:rsidR="00F560FD" w:rsidRPr="002C29F1" w:rsidRDefault="00F560FD" w:rsidP="006A0658">
            <w:pPr>
              <w:spacing w:before="40" w:after="40" w:line="240" w:lineRule="auto"/>
              <w:jc w:val="center"/>
              <w:rPr>
                <w:rFonts w:ascii="Century Gothic" w:eastAsia="Times New Roman" w:hAnsi="Century Gothic" w:cs="Calibri"/>
                <w:color w:val="000000"/>
                <w:sz w:val="16"/>
                <w:szCs w:val="16"/>
                <w:lang w:eastAsia="es-MX"/>
              </w:rPr>
            </w:pPr>
            <w:r w:rsidRPr="009F520A">
              <w:rPr>
                <w:rFonts w:ascii="Century Gothic" w:eastAsia="Times New Roman" w:hAnsi="Century Gothic" w:cs="Calibri"/>
                <w:color w:val="000000"/>
                <w:sz w:val="16"/>
                <w:szCs w:val="16"/>
                <w:lang w:eastAsia="es-MX"/>
              </w:rPr>
              <w:t>0</w:t>
            </w:r>
          </w:p>
        </w:tc>
        <w:tc>
          <w:tcPr>
            <w:tcW w:w="1155" w:type="dxa"/>
            <w:tcBorders>
              <w:top w:val="nil"/>
              <w:left w:val="nil"/>
              <w:bottom w:val="single" w:sz="8" w:space="0" w:color="FFFFFF"/>
              <w:right w:val="single" w:sz="8" w:space="0" w:color="FFFFFF"/>
            </w:tcBorders>
            <w:shd w:val="clear" w:color="000000" w:fill="FBE4D5"/>
            <w:vAlign w:val="center"/>
            <w:hideMark/>
          </w:tcPr>
          <w:p w14:paraId="5633448F" w14:textId="77777777" w:rsidR="00F560FD" w:rsidRPr="002C29F1" w:rsidRDefault="00F560FD" w:rsidP="006A0658">
            <w:pPr>
              <w:spacing w:before="40" w:after="40" w:line="240" w:lineRule="auto"/>
              <w:jc w:val="center"/>
              <w:rPr>
                <w:rFonts w:ascii="Century Gothic" w:eastAsia="Times New Roman" w:hAnsi="Century Gothic" w:cs="Calibri"/>
                <w:color w:val="000000"/>
                <w:sz w:val="16"/>
                <w:szCs w:val="16"/>
                <w:lang w:eastAsia="es-MX"/>
              </w:rPr>
            </w:pPr>
            <w:r w:rsidRPr="009F520A">
              <w:rPr>
                <w:rFonts w:ascii="Century Gothic" w:eastAsia="Times New Roman" w:hAnsi="Century Gothic" w:cs="Calibri"/>
                <w:color w:val="000000"/>
                <w:sz w:val="16"/>
                <w:szCs w:val="16"/>
                <w:lang w:eastAsia="es-MX"/>
              </w:rPr>
              <w:t>0</w:t>
            </w:r>
          </w:p>
        </w:tc>
        <w:tc>
          <w:tcPr>
            <w:tcW w:w="1155" w:type="dxa"/>
            <w:tcBorders>
              <w:top w:val="nil"/>
              <w:left w:val="nil"/>
              <w:bottom w:val="single" w:sz="8" w:space="0" w:color="FFFFFF"/>
              <w:right w:val="single" w:sz="8" w:space="0" w:color="FFFFFF"/>
            </w:tcBorders>
            <w:shd w:val="clear" w:color="000000" w:fill="FBE4D5"/>
            <w:vAlign w:val="center"/>
            <w:hideMark/>
          </w:tcPr>
          <w:p w14:paraId="07DA15B8" w14:textId="77777777" w:rsidR="00F560FD" w:rsidRPr="002C29F1" w:rsidRDefault="00F560FD" w:rsidP="006A0658">
            <w:pPr>
              <w:spacing w:before="40" w:after="40" w:line="240" w:lineRule="auto"/>
              <w:jc w:val="center"/>
              <w:rPr>
                <w:rFonts w:ascii="Century Gothic" w:eastAsia="Times New Roman" w:hAnsi="Century Gothic" w:cs="Calibri"/>
                <w:color w:val="000000"/>
                <w:sz w:val="16"/>
                <w:szCs w:val="16"/>
                <w:lang w:eastAsia="es-MX"/>
              </w:rPr>
            </w:pPr>
            <w:r w:rsidRPr="009F520A">
              <w:rPr>
                <w:rFonts w:ascii="Century Gothic" w:eastAsia="Times New Roman" w:hAnsi="Century Gothic" w:cs="Calibri"/>
                <w:color w:val="000000"/>
                <w:sz w:val="16"/>
                <w:szCs w:val="16"/>
                <w:lang w:eastAsia="es-MX"/>
              </w:rPr>
              <w:t>4</w:t>
            </w:r>
          </w:p>
        </w:tc>
        <w:tc>
          <w:tcPr>
            <w:tcW w:w="1207" w:type="dxa"/>
            <w:tcBorders>
              <w:top w:val="nil"/>
              <w:left w:val="nil"/>
              <w:bottom w:val="single" w:sz="8" w:space="0" w:color="FFFFFF"/>
              <w:right w:val="single" w:sz="8" w:space="0" w:color="FFFFFF"/>
            </w:tcBorders>
            <w:shd w:val="clear" w:color="000000" w:fill="FBE4D5"/>
            <w:vAlign w:val="center"/>
            <w:hideMark/>
          </w:tcPr>
          <w:p w14:paraId="547FD94F" w14:textId="77777777" w:rsidR="00F560FD" w:rsidRPr="002C29F1" w:rsidRDefault="00F560FD" w:rsidP="006A0658">
            <w:pPr>
              <w:spacing w:before="40" w:after="40" w:line="240" w:lineRule="auto"/>
              <w:jc w:val="center"/>
              <w:rPr>
                <w:rFonts w:ascii="Century Gothic" w:eastAsia="Times New Roman" w:hAnsi="Century Gothic" w:cs="Calibri"/>
                <w:b/>
                <w:bCs/>
                <w:color w:val="548235"/>
                <w:sz w:val="16"/>
                <w:szCs w:val="16"/>
                <w:lang w:eastAsia="es-MX"/>
              </w:rPr>
            </w:pPr>
            <w:r w:rsidRPr="009F520A">
              <w:rPr>
                <w:rFonts w:ascii="Century Gothic" w:eastAsia="Times New Roman" w:hAnsi="Century Gothic" w:cs="Calibri"/>
                <w:b/>
                <w:bCs/>
                <w:color w:val="548235"/>
                <w:sz w:val="16"/>
                <w:szCs w:val="16"/>
                <w:lang w:eastAsia="es-MX"/>
              </w:rPr>
              <w:t>3</w:t>
            </w:r>
          </w:p>
        </w:tc>
      </w:tr>
      <w:tr w:rsidR="00F560FD" w:rsidRPr="002C29F1" w14:paraId="2A13539A" w14:textId="77777777" w:rsidTr="006A0658">
        <w:trPr>
          <w:trHeight w:val="315"/>
          <w:jc w:val="center"/>
        </w:trPr>
        <w:tc>
          <w:tcPr>
            <w:tcW w:w="572" w:type="dxa"/>
            <w:tcBorders>
              <w:top w:val="nil"/>
              <w:left w:val="nil"/>
              <w:bottom w:val="single" w:sz="8" w:space="0" w:color="FFFFFF"/>
              <w:right w:val="single" w:sz="8" w:space="0" w:color="FFFFFF"/>
            </w:tcBorders>
            <w:shd w:val="clear" w:color="000000" w:fill="F2F2F2"/>
            <w:vAlign w:val="center"/>
            <w:hideMark/>
          </w:tcPr>
          <w:p w14:paraId="3EC75CB4" w14:textId="77777777" w:rsidR="00F560FD" w:rsidRPr="002C29F1" w:rsidRDefault="00F560FD" w:rsidP="006A0658">
            <w:pPr>
              <w:spacing w:before="40" w:after="40" w:line="240" w:lineRule="auto"/>
              <w:jc w:val="center"/>
              <w:rPr>
                <w:rFonts w:ascii="Century Gothic" w:eastAsia="Times New Roman" w:hAnsi="Century Gothic" w:cs="Calibri"/>
                <w:color w:val="000000"/>
                <w:sz w:val="16"/>
                <w:szCs w:val="16"/>
                <w:lang w:eastAsia="es-MX"/>
              </w:rPr>
            </w:pPr>
            <w:r w:rsidRPr="002C29F1">
              <w:rPr>
                <w:rFonts w:ascii="Century Gothic" w:eastAsia="Times New Roman" w:hAnsi="Century Gothic" w:cs="Calibri"/>
                <w:color w:val="000000"/>
                <w:sz w:val="16"/>
                <w:szCs w:val="16"/>
                <w:lang w:eastAsia="es-MX"/>
              </w:rPr>
              <w:t>DGEE</w:t>
            </w:r>
          </w:p>
        </w:tc>
        <w:tc>
          <w:tcPr>
            <w:tcW w:w="5088" w:type="dxa"/>
            <w:tcBorders>
              <w:top w:val="nil"/>
              <w:left w:val="nil"/>
              <w:bottom w:val="single" w:sz="8" w:space="0" w:color="FFFFFF"/>
              <w:right w:val="single" w:sz="8" w:space="0" w:color="FFFFFF"/>
            </w:tcBorders>
            <w:shd w:val="clear" w:color="000000" w:fill="F2F2F2"/>
            <w:vAlign w:val="center"/>
            <w:hideMark/>
          </w:tcPr>
          <w:p w14:paraId="013C3A4A" w14:textId="77777777" w:rsidR="00F560FD" w:rsidRPr="002C29F1" w:rsidRDefault="00F560FD" w:rsidP="006A0658">
            <w:pPr>
              <w:spacing w:before="40" w:after="40" w:line="240" w:lineRule="auto"/>
              <w:rPr>
                <w:rFonts w:ascii="Century Gothic" w:eastAsia="Times New Roman" w:hAnsi="Century Gothic" w:cs="Calibri"/>
                <w:color w:val="000000"/>
                <w:sz w:val="16"/>
                <w:szCs w:val="16"/>
                <w:lang w:eastAsia="es-MX"/>
              </w:rPr>
            </w:pPr>
            <w:r w:rsidRPr="002C29F1">
              <w:rPr>
                <w:rFonts w:ascii="Century Gothic" w:eastAsia="Times New Roman" w:hAnsi="Century Gothic" w:cs="Calibri"/>
                <w:color w:val="000000"/>
                <w:sz w:val="16"/>
                <w:szCs w:val="16"/>
                <w:lang w:eastAsia="es-MX"/>
              </w:rPr>
              <w:t>Transporte Urbano de Pasajeros</w:t>
            </w:r>
          </w:p>
        </w:tc>
        <w:tc>
          <w:tcPr>
            <w:tcW w:w="993" w:type="dxa"/>
            <w:tcBorders>
              <w:top w:val="nil"/>
              <w:left w:val="nil"/>
              <w:bottom w:val="single" w:sz="8" w:space="0" w:color="FFFFFF"/>
              <w:right w:val="single" w:sz="8" w:space="0" w:color="FFFFFF"/>
            </w:tcBorders>
            <w:shd w:val="clear" w:color="000000" w:fill="F2F2F2"/>
            <w:vAlign w:val="center"/>
            <w:hideMark/>
          </w:tcPr>
          <w:p w14:paraId="7E94D4A3" w14:textId="77777777" w:rsidR="00F560FD" w:rsidRPr="002C29F1" w:rsidRDefault="00F560FD" w:rsidP="006A0658">
            <w:pPr>
              <w:spacing w:before="40" w:after="40" w:line="240" w:lineRule="auto"/>
              <w:rPr>
                <w:rFonts w:ascii="Century Gothic" w:eastAsia="Times New Roman" w:hAnsi="Century Gothic" w:cs="Calibri"/>
                <w:color w:val="000000"/>
                <w:sz w:val="16"/>
                <w:szCs w:val="16"/>
                <w:lang w:eastAsia="es-MX"/>
              </w:rPr>
            </w:pPr>
            <w:r w:rsidRPr="002C29F1">
              <w:rPr>
                <w:rFonts w:ascii="Century Gothic" w:eastAsia="Times New Roman" w:hAnsi="Century Gothic" w:cs="Calibri"/>
                <w:color w:val="000000"/>
                <w:sz w:val="16"/>
                <w:szCs w:val="16"/>
                <w:lang w:eastAsia="es-MX"/>
              </w:rPr>
              <w:t>ETUP</w:t>
            </w:r>
          </w:p>
        </w:tc>
        <w:tc>
          <w:tcPr>
            <w:tcW w:w="708" w:type="dxa"/>
            <w:tcBorders>
              <w:top w:val="nil"/>
              <w:left w:val="nil"/>
              <w:bottom w:val="single" w:sz="8" w:space="0" w:color="FFFFFF"/>
              <w:right w:val="single" w:sz="8" w:space="0" w:color="FFFFFF"/>
            </w:tcBorders>
            <w:shd w:val="clear" w:color="000000" w:fill="F2F2F2"/>
            <w:vAlign w:val="center"/>
            <w:hideMark/>
          </w:tcPr>
          <w:p w14:paraId="2EAE746B" w14:textId="77777777" w:rsidR="00F560FD" w:rsidRPr="002C29F1" w:rsidRDefault="00F560FD" w:rsidP="006A0658">
            <w:pPr>
              <w:spacing w:before="40" w:after="40" w:line="240" w:lineRule="auto"/>
              <w:jc w:val="center"/>
              <w:rPr>
                <w:rFonts w:ascii="Century Gothic" w:eastAsia="Times New Roman" w:hAnsi="Century Gothic" w:cs="Calibri"/>
                <w:color w:val="000000"/>
                <w:sz w:val="16"/>
                <w:szCs w:val="16"/>
                <w:lang w:eastAsia="es-MX"/>
              </w:rPr>
            </w:pPr>
            <w:r w:rsidRPr="002C29F1">
              <w:rPr>
                <w:rFonts w:ascii="Century Gothic" w:eastAsia="Times New Roman" w:hAnsi="Century Gothic" w:cs="Calibri"/>
                <w:color w:val="000000"/>
                <w:sz w:val="16"/>
                <w:szCs w:val="16"/>
                <w:lang w:eastAsia="es-MX"/>
              </w:rPr>
              <w:t>6</w:t>
            </w:r>
          </w:p>
        </w:tc>
        <w:tc>
          <w:tcPr>
            <w:tcW w:w="567" w:type="dxa"/>
            <w:tcBorders>
              <w:top w:val="nil"/>
              <w:left w:val="nil"/>
              <w:bottom w:val="single" w:sz="8" w:space="0" w:color="FFFFFF"/>
              <w:right w:val="single" w:sz="8" w:space="0" w:color="FFFFFF"/>
            </w:tcBorders>
            <w:shd w:val="clear" w:color="000000" w:fill="F2F2F2"/>
            <w:vAlign w:val="center"/>
            <w:hideMark/>
          </w:tcPr>
          <w:p w14:paraId="75B4EDFB" w14:textId="77777777" w:rsidR="00F560FD" w:rsidRPr="002C29F1" w:rsidRDefault="00F560FD" w:rsidP="006A0658">
            <w:pPr>
              <w:spacing w:before="40" w:after="40" w:line="240" w:lineRule="auto"/>
              <w:jc w:val="center"/>
              <w:rPr>
                <w:rFonts w:ascii="Century Gothic" w:eastAsia="Times New Roman" w:hAnsi="Century Gothic" w:cs="Calibri"/>
                <w:color w:val="000000"/>
                <w:sz w:val="16"/>
                <w:szCs w:val="16"/>
                <w:lang w:eastAsia="es-MX"/>
              </w:rPr>
            </w:pPr>
            <w:r w:rsidRPr="002C29F1">
              <w:rPr>
                <w:rFonts w:ascii="Century Gothic" w:eastAsia="Times New Roman" w:hAnsi="Century Gothic" w:cs="Calibri"/>
                <w:color w:val="000000"/>
                <w:sz w:val="16"/>
                <w:szCs w:val="16"/>
                <w:lang w:eastAsia="es-MX"/>
              </w:rPr>
              <w:t>10</w:t>
            </w:r>
          </w:p>
        </w:tc>
        <w:tc>
          <w:tcPr>
            <w:tcW w:w="709" w:type="dxa"/>
            <w:tcBorders>
              <w:top w:val="nil"/>
              <w:left w:val="nil"/>
              <w:bottom w:val="single" w:sz="8" w:space="0" w:color="FFFFFF"/>
              <w:right w:val="single" w:sz="8" w:space="0" w:color="FFFFFF"/>
            </w:tcBorders>
            <w:shd w:val="clear" w:color="000000" w:fill="F2F2F2"/>
            <w:vAlign w:val="center"/>
            <w:hideMark/>
          </w:tcPr>
          <w:p w14:paraId="391AB078" w14:textId="77777777" w:rsidR="00F560FD" w:rsidRPr="002C29F1" w:rsidRDefault="00F560FD" w:rsidP="006A0658">
            <w:pPr>
              <w:spacing w:before="40" w:after="40" w:line="240" w:lineRule="auto"/>
              <w:jc w:val="center"/>
              <w:rPr>
                <w:rFonts w:ascii="Century Gothic" w:eastAsia="Times New Roman" w:hAnsi="Century Gothic" w:cs="Calibri"/>
                <w:color w:val="000000"/>
                <w:sz w:val="16"/>
                <w:szCs w:val="16"/>
                <w:lang w:eastAsia="es-MX"/>
              </w:rPr>
            </w:pPr>
            <w:r w:rsidRPr="002C29F1">
              <w:rPr>
                <w:rFonts w:ascii="Century Gothic" w:eastAsia="Times New Roman" w:hAnsi="Century Gothic" w:cs="Calibri"/>
                <w:color w:val="000000"/>
                <w:sz w:val="16"/>
                <w:szCs w:val="16"/>
                <w:lang w:eastAsia="es-MX"/>
              </w:rPr>
              <w:t>12</w:t>
            </w:r>
          </w:p>
        </w:tc>
        <w:tc>
          <w:tcPr>
            <w:tcW w:w="709" w:type="dxa"/>
            <w:tcBorders>
              <w:top w:val="nil"/>
              <w:left w:val="nil"/>
              <w:bottom w:val="single" w:sz="8" w:space="0" w:color="FFFFFF"/>
              <w:right w:val="single" w:sz="8" w:space="0" w:color="FFFFFF"/>
            </w:tcBorders>
            <w:shd w:val="clear" w:color="000000" w:fill="E1F4FF"/>
            <w:vAlign w:val="center"/>
            <w:hideMark/>
          </w:tcPr>
          <w:p w14:paraId="4FF0AFDA" w14:textId="77777777" w:rsidR="00F560FD" w:rsidRPr="002C29F1" w:rsidRDefault="00F560FD" w:rsidP="006A0658">
            <w:pPr>
              <w:spacing w:before="40" w:after="40" w:line="240" w:lineRule="auto"/>
              <w:jc w:val="center"/>
              <w:rPr>
                <w:rFonts w:ascii="Century Gothic" w:eastAsia="Times New Roman" w:hAnsi="Century Gothic" w:cs="Calibri"/>
                <w:color w:val="000000"/>
                <w:sz w:val="16"/>
                <w:szCs w:val="16"/>
                <w:lang w:eastAsia="es-MX"/>
              </w:rPr>
            </w:pPr>
            <w:r w:rsidRPr="009F520A">
              <w:rPr>
                <w:rFonts w:ascii="Century Gothic" w:eastAsia="Times New Roman" w:hAnsi="Century Gothic" w:cs="Calibri"/>
                <w:color w:val="000000"/>
                <w:sz w:val="16"/>
                <w:szCs w:val="16"/>
                <w:lang w:eastAsia="es-MX"/>
              </w:rPr>
              <w:t>0</w:t>
            </w:r>
          </w:p>
        </w:tc>
        <w:tc>
          <w:tcPr>
            <w:tcW w:w="841" w:type="dxa"/>
            <w:tcBorders>
              <w:top w:val="nil"/>
              <w:left w:val="nil"/>
              <w:bottom w:val="single" w:sz="8" w:space="0" w:color="FFFFFF"/>
              <w:right w:val="single" w:sz="8" w:space="0" w:color="FFFFFF"/>
            </w:tcBorders>
            <w:shd w:val="clear" w:color="000000" w:fill="E1F4FF"/>
            <w:vAlign w:val="center"/>
            <w:hideMark/>
          </w:tcPr>
          <w:p w14:paraId="5F972A3E" w14:textId="77777777" w:rsidR="00F560FD" w:rsidRPr="002C29F1" w:rsidRDefault="00F560FD" w:rsidP="006A0658">
            <w:pPr>
              <w:spacing w:before="40" w:after="40" w:line="240" w:lineRule="auto"/>
              <w:jc w:val="center"/>
              <w:rPr>
                <w:rFonts w:ascii="Century Gothic" w:eastAsia="Times New Roman" w:hAnsi="Century Gothic" w:cs="Calibri"/>
                <w:color w:val="000000"/>
                <w:sz w:val="16"/>
                <w:szCs w:val="16"/>
                <w:lang w:eastAsia="es-MX"/>
              </w:rPr>
            </w:pPr>
            <w:r w:rsidRPr="009F520A">
              <w:rPr>
                <w:rFonts w:ascii="Century Gothic" w:eastAsia="Times New Roman" w:hAnsi="Century Gothic" w:cs="Calibri"/>
                <w:color w:val="000000"/>
                <w:sz w:val="16"/>
                <w:szCs w:val="16"/>
                <w:lang w:eastAsia="es-MX"/>
              </w:rPr>
              <w:t>0</w:t>
            </w:r>
          </w:p>
        </w:tc>
        <w:tc>
          <w:tcPr>
            <w:tcW w:w="676" w:type="dxa"/>
            <w:tcBorders>
              <w:top w:val="nil"/>
              <w:left w:val="nil"/>
              <w:bottom w:val="single" w:sz="8" w:space="0" w:color="FFFFFF"/>
              <w:right w:val="single" w:sz="8" w:space="0" w:color="FFFFFF"/>
            </w:tcBorders>
            <w:shd w:val="clear" w:color="000000" w:fill="E1F4FF"/>
            <w:vAlign w:val="center"/>
            <w:hideMark/>
          </w:tcPr>
          <w:p w14:paraId="453C6384" w14:textId="77777777" w:rsidR="00F560FD" w:rsidRPr="002C29F1" w:rsidRDefault="00F560FD" w:rsidP="006A0658">
            <w:pPr>
              <w:spacing w:before="40" w:after="40" w:line="240" w:lineRule="auto"/>
              <w:jc w:val="center"/>
              <w:rPr>
                <w:rFonts w:ascii="Century Gothic" w:eastAsia="Times New Roman" w:hAnsi="Century Gothic" w:cs="Calibri"/>
                <w:color w:val="000000"/>
                <w:sz w:val="16"/>
                <w:szCs w:val="16"/>
                <w:lang w:eastAsia="es-MX"/>
              </w:rPr>
            </w:pPr>
            <w:r w:rsidRPr="009F520A">
              <w:rPr>
                <w:rFonts w:ascii="Century Gothic" w:eastAsia="Times New Roman" w:hAnsi="Century Gothic" w:cs="Calibri"/>
                <w:color w:val="000000"/>
                <w:sz w:val="16"/>
                <w:szCs w:val="16"/>
                <w:lang w:eastAsia="es-MX"/>
              </w:rPr>
              <w:t>0</w:t>
            </w:r>
          </w:p>
        </w:tc>
        <w:tc>
          <w:tcPr>
            <w:tcW w:w="1155" w:type="dxa"/>
            <w:tcBorders>
              <w:top w:val="nil"/>
              <w:left w:val="nil"/>
              <w:bottom w:val="single" w:sz="8" w:space="0" w:color="FFFFFF"/>
              <w:right w:val="single" w:sz="8" w:space="0" w:color="FFFFFF"/>
            </w:tcBorders>
            <w:shd w:val="clear" w:color="000000" w:fill="FBE4D5"/>
            <w:vAlign w:val="center"/>
            <w:hideMark/>
          </w:tcPr>
          <w:p w14:paraId="38C2945F" w14:textId="77777777" w:rsidR="00F560FD" w:rsidRPr="002C29F1" w:rsidRDefault="00F560FD" w:rsidP="006A0658">
            <w:pPr>
              <w:spacing w:before="40" w:after="40" w:line="240" w:lineRule="auto"/>
              <w:jc w:val="center"/>
              <w:rPr>
                <w:rFonts w:ascii="Century Gothic" w:eastAsia="Times New Roman" w:hAnsi="Century Gothic" w:cs="Calibri"/>
                <w:color w:val="000000"/>
                <w:sz w:val="16"/>
                <w:szCs w:val="16"/>
                <w:lang w:eastAsia="es-MX"/>
              </w:rPr>
            </w:pPr>
            <w:r w:rsidRPr="009F520A">
              <w:rPr>
                <w:rFonts w:ascii="Century Gothic" w:eastAsia="Times New Roman" w:hAnsi="Century Gothic" w:cs="Calibri"/>
                <w:color w:val="000000"/>
                <w:sz w:val="16"/>
                <w:szCs w:val="16"/>
                <w:lang w:eastAsia="es-MX"/>
              </w:rPr>
              <w:t>0</w:t>
            </w:r>
          </w:p>
        </w:tc>
        <w:tc>
          <w:tcPr>
            <w:tcW w:w="1155" w:type="dxa"/>
            <w:tcBorders>
              <w:top w:val="nil"/>
              <w:left w:val="nil"/>
              <w:bottom w:val="single" w:sz="8" w:space="0" w:color="FFFFFF"/>
              <w:right w:val="single" w:sz="8" w:space="0" w:color="FFFFFF"/>
            </w:tcBorders>
            <w:shd w:val="clear" w:color="000000" w:fill="FBE4D5"/>
            <w:vAlign w:val="center"/>
            <w:hideMark/>
          </w:tcPr>
          <w:p w14:paraId="1BC2DD0D" w14:textId="77777777" w:rsidR="00F560FD" w:rsidRPr="002C29F1" w:rsidRDefault="00F560FD" w:rsidP="006A0658">
            <w:pPr>
              <w:spacing w:before="40" w:after="40" w:line="240" w:lineRule="auto"/>
              <w:jc w:val="center"/>
              <w:rPr>
                <w:rFonts w:ascii="Century Gothic" w:eastAsia="Times New Roman" w:hAnsi="Century Gothic" w:cs="Calibri"/>
                <w:color w:val="000000"/>
                <w:sz w:val="16"/>
                <w:szCs w:val="16"/>
                <w:lang w:eastAsia="es-MX"/>
              </w:rPr>
            </w:pPr>
            <w:r w:rsidRPr="009F520A">
              <w:rPr>
                <w:rFonts w:ascii="Century Gothic" w:eastAsia="Times New Roman" w:hAnsi="Century Gothic" w:cs="Calibri"/>
                <w:color w:val="000000"/>
                <w:sz w:val="16"/>
                <w:szCs w:val="16"/>
                <w:lang w:eastAsia="es-MX"/>
              </w:rPr>
              <w:t>2</w:t>
            </w:r>
          </w:p>
        </w:tc>
        <w:tc>
          <w:tcPr>
            <w:tcW w:w="1207" w:type="dxa"/>
            <w:tcBorders>
              <w:top w:val="nil"/>
              <w:left w:val="nil"/>
              <w:bottom w:val="single" w:sz="8" w:space="0" w:color="FFFFFF"/>
              <w:right w:val="single" w:sz="8" w:space="0" w:color="FFFFFF"/>
            </w:tcBorders>
            <w:shd w:val="clear" w:color="000000" w:fill="FBE4D5"/>
            <w:vAlign w:val="center"/>
            <w:hideMark/>
          </w:tcPr>
          <w:p w14:paraId="1DA6FBB7" w14:textId="77777777" w:rsidR="00F560FD" w:rsidRPr="002C29F1" w:rsidRDefault="00F560FD" w:rsidP="006A0658">
            <w:pPr>
              <w:spacing w:before="40" w:after="40" w:line="240" w:lineRule="auto"/>
              <w:jc w:val="center"/>
              <w:rPr>
                <w:rFonts w:ascii="Century Gothic" w:eastAsia="Times New Roman" w:hAnsi="Century Gothic" w:cs="Calibri"/>
                <w:b/>
                <w:bCs/>
                <w:color w:val="548235"/>
                <w:sz w:val="16"/>
                <w:szCs w:val="16"/>
                <w:lang w:eastAsia="es-MX"/>
              </w:rPr>
            </w:pPr>
            <w:r w:rsidRPr="009F520A">
              <w:rPr>
                <w:rFonts w:ascii="Century Gothic" w:eastAsia="Times New Roman" w:hAnsi="Century Gothic" w:cs="Calibri"/>
                <w:b/>
                <w:bCs/>
                <w:color w:val="548235"/>
                <w:sz w:val="16"/>
                <w:szCs w:val="16"/>
                <w:lang w:eastAsia="es-MX"/>
              </w:rPr>
              <w:t>0</w:t>
            </w:r>
          </w:p>
        </w:tc>
      </w:tr>
      <w:tr w:rsidR="00F560FD" w:rsidRPr="002C29F1" w14:paraId="18CA41A0" w14:textId="77777777" w:rsidTr="006A0658">
        <w:trPr>
          <w:trHeight w:val="315"/>
          <w:jc w:val="center"/>
        </w:trPr>
        <w:tc>
          <w:tcPr>
            <w:tcW w:w="572" w:type="dxa"/>
            <w:vMerge w:val="restart"/>
            <w:tcBorders>
              <w:top w:val="nil"/>
              <w:left w:val="single" w:sz="8" w:space="0" w:color="FFFFFF"/>
              <w:bottom w:val="single" w:sz="8" w:space="0" w:color="FFFFFF"/>
              <w:right w:val="single" w:sz="8" w:space="0" w:color="FFFFFF"/>
            </w:tcBorders>
            <w:shd w:val="clear" w:color="000000" w:fill="D9D9D9"/>
            <w:noWrap/>
            <w:vAlign w:val="center"/>
            <w:hideMark/>
          </w:tcPr>
          <w:p w14:paraId="427B16A8" w14:textId="77777777" w:rsidR="00F560FD" w:rsidRPr="002C29F1" w:rsidRDefault="00F560FD" w:rsidP="006A0658">
            <w:pPr>
              <w:spacing w:before="40" w:after="40" w:line="240" w:lineRule="auto"/>
              <w:jc w:val="center"/>
              <w:rPr>
                <w:rFonts w:ascii="Century Gothic" w:eastAsia="Times New Roman" w:hAnsi="Century Gothic" w:cs="Calibri"/>
                <w:color w:val="000000"/>
                <w:sz w:val="16"/>
                <w:szCs w:val="16"/>
                <w:lang w:eastAsia="es-MX"/>
              </w:rPr>
            </w:pPr>
            <w:r w:rsidRPr="002C29F1">
              <w:rPr>
                <w:rFonts w:ascii="Century Gothic" w:eastAsia="Times New Roman" w:hAnsi="Century Gothic" w:cs="Calibri"/>
                <w:color w:val="000000"/>
                <w:sz w:val="16"/>
                <w:szCs w:val="16"/>
                <w:lang w:eastAsia="es-MX"/>
              </w:rPr>
              <w:t>DGEE</w:t>
            </w:r>
          </w:p>
        </w:tc>
        <w:tc>
          <w:tcPr>
            <w:tcW w:w="5088" w:type="dxa"/>
            <w:vMerge w:val="restart"/>
            <w:tcBorders>
              <w:top w:val="nil"/>
              <w:left w:val="single" w:sz="8" w:space="0" w:color="FFFFFF"/>
              <w:bottom w:val="single" w:sz="8" w:space="0" w:color="FFFFFF"/>
              <w:right w:val="single" w:sz="8" w:space="0" w:color="FFFFFF"/>
            </w:tcBorders>
            <w:shd w:val="clear" w:color="000000" w:fill="D9D9D9"/>
            <w:vAlign w:val="center"/>
            <w:hideMark/>
          </w:tcPr>
          <w:p w14:paraId="07211176" w14:textId="77777777" w:rsidR="00F560FD" w:rsidRPr="002C29F1" w:rsidRDefault="00F560FD" w:rsidP="006A0658">
            <w:pPr>
              <w:spacing w:before="40" w:after="40" w:line="240" w:lineRule="auto"/>
              <w:rPr>
                <w:rFonts w:ascii="Century Gothic" w:eastAsia="Times New Roman" w:hAnsi="Century Gothic" w:cs="Calibri"/>
                <w:color w:val="000000"/>
                <w:sz w:val="16"/>
                <w:szCs w:val="16"/>
                <w:lang w:eastAsia="es-MX"/>
              </w:rPr>
            </w:pPr>
            <w:r w:rsidRPr="002C29F1">
              <w:rPr>
                <w:rFonts w:ascii="Century Gothic" w:eastAsia="Times New Roman" w:hAnsi="Century Gothic" w:cs="Calibri"/>
                <w:color w:val="000000"/>
                <w:sz w:val="16"/>
                <w:szCs w:val="16"/>
                <w:lang w:eastAsia="es-MX"/>
              </w:rPr>
              <w:t xml:space="preserve">Vehículos de Motor Registrados en Circulación </w:t>
            </w:r>
          </w:p>
        </w:tc>
        <w:tc>
          <w:tcPr>
            <w:tcW w:w="993" w:type="dxa"/>
            <w:vMerge w:val="restart"/>
            <w:tcBorders>
              <w:top w:val="nil"/>
              <w:left w:val="single" w:sz="8" w:space="0" w:color="FFFFFF"/>
              <w:bottom w:val="single" w:sz="8" w:space="0" w:color="FFFFFF"/>
              <w:right w:val="single" w:sz="8" w:space="0" w:color="FFFFFF"/>
            </w:tcBorders>
            <w:shd w:val="clear" w:color="000000" w:fill="D9D9D9"/>
            <w:vAlign w:val="center"/>
            <w:hideMark/>
          </w:tcPr>
          <w:p w14:paraId="1AA79AF6" w14:textId="77777777" w:rsidR="00F560FD" w:rsidRPr="002C29F1" w:rsidRDefault="00F560FD" w:rsidP="006A0658">
            <w:pPr>
              <w:spacing w:before="40" w:after="40" w:line="240" w:lineRule="auto"/>
              <w:rPr>
                <w:rFonts w:ascii="Century Gothic" w:eastAsia="Times New Roman" w:hAnsi="Century Gothic" w:cs="Calibri"/>
                <w:color w:val="000000"/>
                <w:sz w:val="16"/>
                <w:szCs w:val="16"/>
                <w:lang w:eastAsia="es-MX"/>
              </w:rPr>
            </w:pPr>
            <w:r w:rsidRPr="002C29F1">
              <w:rPr>
                <w:rFonts w:ascii="Century Gothic" w:eastAsia="Times New Roman" w:hAnsi="Century Gothic" w:cs="Calibri"/>
                <w:color w:val="000000"/>
                <w:sz w:val="16"/>
                <w:szCs w:val="16"/>
                <w:lang w:eastAsia="es-MX"/>
              </w:rPr>
              <w:t>VMRC</w:t>
            </w:r>
          </w:p>
        </w:tc>
        <w:tc>
          <w:tcPr>
            <w:tcW w:w="708" w:type="dxa"/>
            <w:vMerge w:val="restart"/>
            <w:tcBorders>
              <w:top w:val="nil"/>
              <w:left w:val="single" w:sz="8" w:space="0" w:color="FFFFFF"/>
              <w:bottom w:val="single" w:sz="8" w:space="0" w:color="FFFFFF"/>
              <w:right w:val="single" w:sz="8" w:space="0" w:color="FFFFFF"/>
            </w:tcBorders>
            <w:shd w:val="clear" w:color="000000" w:fill="D9D9D9"/>
            <w:vAlign w:val="center"/>
            <w:hideMark/>
          </w:tcPr>
          <w:p w14:paraId="2AF08099" w14:textId="77777777" w:rsidR="00F560FD" w:rsidRPr="002C29F1" w:rsidRDefault="00F560FD" w:rsidP="006A0658">
            <w:pPr>
              <w:spacing w:before="40" w:after="40" w:line="240" w:lineRule="auto"/>
              <w:jc w:val="center"/>
              <w:rPr>
                <w:rFonts w:ascii="Century Gothic" w:eastAsia="Times New Roman" w:hAnsi="Century Gothic" w:cs="Calibri"/>
                <w:color w:val="000000"/>
                <w:sz w:val="16"/>
                <w:szCs w:val="16"/>
                <w:lang w:eastAsia="es-MX"/>
              </w:rPr>
            </w:pPr>
            <w:r w:rsidRPr="002C29F1">
              <w:rPr>
                <w:rFonts w:ascii="Century Gothic" w:eastAsia="Times New Roman" w:hAnsi="Century Gothic" w:cs="Calibri"/>
                <w:color w:val="000000"/>
                <w:sz w:val="16"/>
                <w:szCs w:val="16"/>
                <w:lang w:eastAsia="es-MX"/>
              </w:rPr>
              <w:t>6</w:t>
            </w:r>
          </w:p>
        </w:tc>
        <w:tc>
          <w:tcPr>
            <w:tcW w:w="567" w:type="dxa"/>
            <w:vMerge w:val="restart"/>
            <w:tcBorders>
              <w:top w:val="nil"/>
              <w:left w:val="single" w:sz="8" w:space="0" w:color="FFFFFF"/>
              <w:bottom w:val="single" w:sz="8" w:space="0" w:color="FFFFFF"/>
              <w:right w:val="single" w:sz="8" w:space="0" w:color="FFFFFF"/>
            </w:tcBorders>
            <w:shd w:val="clear" w:color="000000" w:fill="D9D9D9"/>
            <w:vAlign w:val="center"/>
            <w:hideMark/>
          </w:tcPr>
          <w:p w14:paraId="67822E05" w14:textId="77777777" w:rsidR="00F560FD" w:rsidRPr="002C29F1" w:rsidRDefault="00F560FD" w:rsidP="006A0658">
            <w:pPr>
              <w:spacing w:before="40" w:after="40" w:line="240" w:lineRule="auto"/>
              <w:jc w:val="center"/>
              <w:rPr>
                <w:rFonts w:ascii="Century Gothic" w:eastAsia="Times New Roman" w:hAnsi="Century Gothic" w:cs="Calibri"/>
                <w:color w:val="000000"/>
                <w:sz w:val="16"/>
                <w:szCs w:val="16"/>
                <w:lang w:eastAsia="es-MX"/>
              </w:rPr>
            </w:pPr>
            <w:r w:rsidRPr="002C29F1">
              <w:rPr>
                <w:rFonts w:ascii="Century Gothic" w:eastAsia="Times New Roman" w:hAnsi="Century Gothic" w:cs="Calibri"/>
                <w:color w:val="000000"/>
                <w:sz w:val="16"/>
                <w:szCs w:val="16"/>
                <w:lang w:eastAsia="es-MX"/>
              </w:rPr>
              <w:t>12</w:t>
            </w:r>
          </w:p>
        </w:tc>
        <w:tc>
          <w:tcPr>
            <w:tcW w:w="709" w:type="dxa"/>
            <w:vMerge w:val="restart"/>
            <w:tcBorders>
              <w:top w:val="nil"/>
              <w:left w:val="single" w:sz="8" w:space="0" w:color="FFFFFF"/>
              <w:bottom w:val="single" w:sz="8" w:space="0" w:color="FFFFFF"/>
              <w:right w:val="single" w:sz="8" w:space="0" w:color="FFFFFF"/>
            </w:tcBorders>
            <w:shd w:val="clear" w:color="000000" w:fill="D9D9D9"/>
            <w:vAlign w:val="center"/>
            <w:hideMark/>
          </w:tcPr>
          <w:p w14:paraId="082C57C0" w14:textId="77777777" w:rsidR="00F560FD" w:rsidRPr="002C29F1" w:rsidRDefault="00F560FD" w:rsidP="006A0658">
            <w:pPr>
              <w:spacing w:before="40" w:after="40" w:line="240" w:lineRule="auto"/>
              <w:jc w:val="center"/>
              <w:rPr>
                <w:rFonts w:ascii="Century Gothic" w:eastAsia="Times New Roman" w:hAnsi="Century Gothic" w:cs="Calibri"/>
                <w:color w:val="000000"/>
                <w:sz w:val="16"/>
                <w:szCs w:val="16"/>
                <w:lang w:eastAsia="es-MX"/>
              </w:rPr>
            </w:pPr>
            <w:r w:rsidRPr="002C29F1">
              <w:rPr>
                <w:rFonts w:ascii="Century Gothic" w:eastAsia="Times New Roman" w:hAnsi="Century Gothic" w:cs="Calibri"/>
                <w:color w:val="000000"/>
                <w:sz w:val="16"/>
                <w:szCs w:val="16"/>
                <w:lang w:eastAsia="es-MX"/>
              </w:rPr>
              <w:t>12</w:t>
            </w:r>
          </w:p>
        </w:tc>
        <w:tc>
          <w:tcPr>
            <w:tcW w:w="709" w:type="dxa"/>
            <w:vMerge w:val="restart"/>
            <w:tcBorders>
              <w:top w:val="nil"/>
              <w:left w:val="single" w:sz="8" w:space="0" w:color="FFFFFF"/>
              <w:bottom w:val="single" w:sz="8" w:space="0" w:color="FFFFFF"/>
              <w:right w:val="single" w:sz="8" w:space="0" w:color="FFFFFF"/>
            </w:tcBorders>
            <w:shd w:val="clear" w:color="000000" w:fill="C5EAFF"/>
            <w:vAlign w:val="center"/>
            <w:hideMark/>
          </w:tcPr>
          <w:p w14:paraId="282F23BD" w14:textId="77777777" w:rsidR="00F560FD" w:rsidRPr="002C29F1" w:rsidRDefault="00F560FD" w:rsidP="006A0658">
            <w:pPr>
              <w:spacing w:before="40" w:after="40" w:line="240" w:lineRule="auto"/>
              <w:jc w:val="center"/>
              <w:rPr>
                <w:rFonts w:ascii="Century Gothic" w:eastAsia="Times New Roman" w:hAnsi="Century Gothic" w:cs="Calibri"/>
                <w:color w:val="000000"/>
                <w:sz w:val="16"/>
                <w:szCs w:val="16"/>
                <w:lang w:eastAsia="es-MX"/>
              </w:rPr>
            </w:pPr>
            <w:r w:rsidRPr="009F520A">
              <w:rPr>
                <w:rFonts w:ascii="Century Gothic" w:eastAsia="Times New Roman" w:hAnsi="Century Gothic" w:cs="Calibri"/>
                <w:color w:val="000000"/>
                <w:sz w:val="16"/>
                <w:szCs w:val="16"/>
                <w:lang w:eastAsia="es-MX"/>
              </w:rPr>
              <w:t>0</w:t>
            </w:r>
          </w:p>
        </w:tc>
        <w:tc>
          <w:tcPr>
            <w:tcW w:w="841" w:type="dxa"/>
            <w:tcBorders>
              <w:top w:val="nil"/>
              <w:left w:val="nil"/>
              <w:bottom w:val="single" w:sz="8" w:space="0" w:color="FFFFFF"/>
              <w:right w:val="single" w:sz="8" w:space="0" w:color="FFFFFF"/>
            </w:tcBorders>
            <w:shd w:val="clear" w:color="000000" w:fill="C5EAFF"/>
            <w:vAlign w:val="center"/>
            <w:hideMark/>
          </w:tcPr>
          <w:p w14:paraId="337ACBF9" w14:textId="77777777" w:rsidR="00F560FD" w:rsidRPr="002C29F1" w:rsidRDefault="00F560FD" w:rsidP="006A0658">
            <w:pPr>
              <w:spacing w:before="40" w:after="40" w:line="240" w:lineRule="auto"/>
              <w:jc w:val="center"/>
              <w:rPr>
                <w:rFonts w:ascii="Century Gothic" w:eastAsia="Times New Roman" w:hAnsi="Century Gothic" w:cs="Calibri"/>
                <w:color w:val="000000"/>
                <w:sz w:val="16"/>
                <w:szCs w:val="16"/>
                <w:lang w:eastAsia="es-MX"/>
              </w:rPr>
            </w:pPr>
            <w:r w:rsidRPr="009F520A">
              <w:rPr>
                <w:rFonts w:ascii="Century Gothic" w:eastAsia="Times New Roman" w:hAnsi="Century Gothic" w:cs="Calibri"/>
                <w:color w:val="000000"/>
                <w:sz w:val="16"/>
                <w:szCs w:val="16"/>
                <w:lang w:eastAsia="es-MX"/>
              </w:rPr>
              <w:t>0</w:t>
            </w:r>
          </w:p>
        </w:tc>
        <w:tc>
          <w:tcPr>
            <w:tcW w:w="676" w:type="dxa"/>
            <w:vMerge w:val="restart"/>
            <w:tcBorders>
              <w:top w:val="nil"/>
              <w:left w:val="single" w:sz="8" w:space="0" w:color="FFFFFF"/>
              <w:bottom w:val="single" w:sz="8" w:space="0" w:color="FFFFFF"/>
              <w:right w:val="single" w:sz="8" w:space="0" w:color="FFFFFF"/>
            </w:tcBorders>
            <w:shd w:val="clear" w:color="000000" w:fill="C5EAFF"/>
            <w:vAlign w:val="center"/>
            <w:hideMark/>
          </w:tcPr>
          <w:p w14:paraId="08EFDFC9" w14:textId="77777777" w:rsidR="00F560FD" w:rsidRPr="002C29F1" w:rsidRDefault="00F560FD" w:rsidP="006A0658">
            <w:pPr>
              <w:spacing w:before="40" w:after="40" w:line="240" w:lineRule="auto"/>
              <w:jc w:val="center"/>
              <w:rPr>
                <w:rFonts w:ascii="Century Gothic" w:eastAsia="Times New Roman" w:hAnsi="Century Gothic" w:cs="Calibri"/>
                <w:color w:val="000000"/>
                <w:sz w:val="16"/>
                <w:szCs w:val="16"/>
                <w:lang w:eastAsia="es-MX"/>
              </w:rPr>
            </w:pPr>
            <w:r w:rsidRPr="009F520A">
              <w:rPr>
                <w:rFonts w:ascii="Century Gothic" w:eastAsia="Times New Roman" w:hAnsi="Century Gothic" w:cs="Calibri"/>
                <w:color w:val="000000"/>
                <w:sz w:val="16"/>
                <w:szCs w:val="16"/>
                <w:lang w:eastAsia="es-MX"/>
              </w:rPr>
              <w:t>0</w:t>
            </w:r>
          </w:p>
        </w:tc>
        <w:tc>
          <w:tcPr>
            <w:tcW w:w="1155" w:type="dxa"/>
            <w:vMerge w:val="restart"/>
            <w:tcBorders>
              <w:top w:val="nil"/>
              <w:left w:val="single" w:sz="8" w:space="0" w:color="FFFFFF"/>
              <w:bottom w:val="single" w:sz="8" w:space="0" w:color="FFFFFF"/>
              <w:right w:val="single" w:sz="8" w:space="0" w:color="FFFFFF"/>
            </w:tcBorders>
            <w:shd w:val="clear" w:color="000000" w:fill="F7CAAC"/>
            <w:vAlign w:val="center"/>
            <w:hideMark/>
          </w:tcPr>
          <w:p w14:paraId="7568CAB4" w14:textId="77777777" w:rsidR="00F560FD" w:rsidRPr="002C29F1" w:rsidRDefault="00F560FD" w:rsidP="006A0658">
            <w:pPr>
              <w:spacing w:before="40" w:after="40" w:line="240" w:lineRule="auto"/>
              <w:jc w:val="center"/>
              <w:rPr>
                <w:rFonts w:ascii="Century Gothic" w:eastAsia="Times New Roman" w:hAnsi="Century Gothic" w:cs="Calibri"/>
                <w:color w:val="000000"/>
                <w:sz w:val="16"/>
                <w:szCs w:val="16"/>
                <w:lang w:eastAsia="es-MX"/>
              </w:rPr>
            </w:pPr>
            <w:r w:rsidRPr="009F520A">
              <w:rPr>
                <w:rFonts w:ascii="Century Gothic" w:eastAsia="Times New Roman" w:hAnsi="Century Gothic" w:cs="Calibri"/>
                <w:color w:val="000000"/>
                <w:sz w:val="16"/>
                <w:szCs w:val="16"/>
                <w:lang w:eastAsia="es-MX"/>
              </w:rPr>
              <w:t>0</w:t>
            </w:r>
          </w:p>
        </w:tc>
        <w:tc>
          <w:tcPr>
            <w:tcW w:w="1155" w:type="dxa"/>
            <w:tcBorders>
              <w:top w:val="nil"/>
              <w:left w:val="nil"/>
              <w:bottom w:val="single" w:sz="8" w:space="0" w:color="FFFFFF"/>
              <w:right w:val="single" w:sz="8" w:space="0" w:color="FFFFFF"/>
            </w:tcBorders>
            <w:shd w:val="clear" w:color="000000" w:fill="F7CAAC"/>
            <w:vAlign w:val="center"/>
            <w:hideMark/>
          </w:tcPr>
          <w:p w14:paraId="50354D6E" w14:textId="77777777" w:rsidR="00F560FD" w:rsidRPr="002C29F1" w:rsidRDefault="00F560FD" w:rsidP="006A0658">
            <w:pPr>
              <w:spacing w:before="40" w:after="40" w:line="240" w:lineRule="auto"/>
              <w:jc w:val="center"/>
              <w:rPr>
                <w:rFonts w:ascii="Century Gothic" w:eastAsia="Times New Roman" w:hAnsi="Century Gothic" w:cs="Calibri"/>
                <w:color w:val="000000"/>
                <w:sz w:val="16"/>
                <w:szCs w:val="16"/>
                <w:lang w:eastAsia="es-MX"/>
              </w:rPr>
            </w:pPr>
            <w:r w:rsidRPr="009F520A">
              <w:rPr>
                <w:rFonts w:ascii="Century Gothic" w:eastAsia="Times New Roman" w:hAnsi="Century Gothic" w:cs="Calibri"/>
                <w:color w:val="000000"/>
                <w:sz w:val="16"/>
                <w:szCs w:val="16"/>
                <w:lang w:eastAsia="es-MX"/>
              </w:rPr>
              <w:t>0</w:t>
            </w:r>
          </w:p>
        </w:tc>
        <w:tc>
          <w:tcPr>
            <w:tcW w:w="1207" w:type="dxa"/>
            <w:vMerge w:val="restart"/>
            <w:tcBorders>
              <w:top w:val="nil"/>
              <w:left w:val="single" w:sz="8" w:space="0" w:color="FFFFFF"/>
              <w:bottom w:val="single" w:sz="8" w:space="0" w:color="FFFFFF"/>
              <w:right w:val="single" w:sz="8" w:space="0" w:color="FFFFFF"/>
            </w:tcBorders>
            <w:shd w:val="clear" w:color="000000" w:fill="F7CAAC"/>
            <w:vAlign w:val="center"/>
            <w:hideMark/>
          </w:tcPr>
          <w:p w14:paraId="27E8607C" w14:textId="77777777" w:rsidR="00F560FD" w:rsidRPr="002C29F1" w:rsidRDefault="00F560FD" w:rsidP="006A0658">
            <w:pPr>
              <w:spacing w:before="40" w:after="40" w:line="240" w:lineRule="auto"/>
              <w:jc w:val="center"/>
              <w:rPr>
                <w:rFonts w:ascii="Century Gothic" w:eastAsia="Times New Roman" w:hAnsi="Century Gothic" w:cs="Calibri"/>
                <w:color w:val="000000"/>
                <w:sz w:val="16"/>
                <w:szCs w:val="16"/>
                <w:lang w:eastAsia="es-MX"/>
              </w:rPr>
            </w:pPr>
            <w:r w:rsidRPr="009F520A">
              <w:rPr>
                <w:rFonts w:ascii="Century Gothic" w:eastAsia="Times New Roman" w:hAnsi="Century Gothic" w:cs="Calibri"/>
                <w:color w:val="000000"/>
                <w:sz w:val="16"/>
                <w:szCs w:val="16"/>
                <w:lang w:eastAsia="es-MX"/>
              </w:rPr>
              <w:t>0</w:t>
            </w:r>
          </w:p>
        </w:tc>
      </w:tr>
      <w:tr w:rsidR="00F560FD" w:rsidRPr="002C29F1" w14:paraId="380789D5" w14:textId="77777777" w:rsidTr="006A0658">
        <w:trPr>
          <w:trHeight w:val="315"/>
          <w:jc w:val="center"/>
        </w:trPr>
        <w:tc>
          <w:tcPr>
            <w:tcW w:w="572" w:type="dxa"/>
            <w:vMerge/>
            <w:tcBorders>
              <w:top w:val="nil"/>
              <w:left w:val="single" w:sz="8" w:space="0" w:color="FFFFFF"/>
              <w:bottom w:val="single" w:sz="8" w:space="0" w:color="FFFFFF"/>
              <w:right w:val="single" w:sz="8" w:space="0" w:color="FFFFFF"/>
            </w:tcBorders>
            <w:vAlign w:val="center"/>
            <w:hideMark/>
          </w:tcPr>
          <w:p w14:paraId="22446308" w14:textId="77777777" w:rsidR="00F560FD" w:rsidRPr="002C29F1" w:rsidRDefault="00F560FD" w:rsidP="006A0658">
            <w:pPr>
              <w:spacing w:before="40" w:after="40" w:line="240" w:lineRule="auto"/>
              <w:rPr>
                <w:rFonts w:ascii="Century Gothic" w:eastAsia="Times New Roman" w:hAnsi="Century Gothic" w:cs="Calibri"/>
                <w:color w:val="000000"/>
                <w:sz w:val="16"/>
                <w:szCs w:val="16"/>
                <w:lang w:eastAsia="es-MX"/>
              </w:rPr>
            </w:pPr>
          </w:p>
        </w:tc>
        <w:tc>
          <w:tcPr>
            <w:tcW w:w="5088" w:type="dxa"/>
            <w:vMerge/>
            <w:tcBorders>
              <w:top w:val="nil"/>
              <w:left w:val="single" w:sz="8" w:space="0" w:color="FFFFFF"/>
              <w:bottom w:val="single" w:sz="8" w:space="0" w:color="FFFFFF"/>
              <w:right w:val="single" w:sz="8" w:space="0" w:color="FFFFFF"/>
            </w:tcBorders>
            <w:vAlign w:val="center"/>
            <w:hideMark/>
          </w:tcPr>
          <w:p w14:paraId="3497DD75" w14:textId="77777777" w:rsidR="00F560FD" w:rsidRPr="002C29F1" w:rsidRDefault="00F560FD" w:rsidP="006A0658">
            <w:pPr>
              <w:spacing w:before="40" w:after="40" w:line="240" w:lineRule="auto"/>
              <w:rPr>
                <w:rFonts w:ascii="Century Gothic" w:eastAsia="Times New Roman" w:hAnsi="Century Gothic" w:cs="Calibri"/>
                <w:color w:val="000000"/>
                <w:sz w:val="16"/>
                <w:szCs w:val="16"/>
                <w:lang w:eastAsia="es-MX"/>
              </w:rPr>
            </w:pPr>
          </w:p>
        </w:tc>
        <w:tc>
          <w:tcPr>
            <w:tcW w:w="993" w:type="dxa"/>
            <w:vMerge/>
            <w:tcBorders>
              <w:top w:val="nil"/>
              <w:left w:val="single" w:sz="8" w:space="0" w:color="FFFFFF"/>
              <w:bottom w:val="single" w:sz="8" w:space="0" w:color="FFFFFF"/>
              <w:right w:val="single" w:sz="8" w:space="0" w:color="FFFFFF"/>
            </w:tcBorders>
            <w:vAlign w:val="center"/>
            <w:hideMark/>
          </w:tcPr>
          <w:p w14:paraId="4117AA25" w14:textId="77777777" w:rsidR="00F560FD" w:rsidRPr="002C29F1" w:rsidRDefault="00F560FD" w:rsidP="006A0658">
            <w:pPr>
              <w:spacing w:before="40" w:after="40" w:line="240" w:lineRule="auto"/>
              <w:rPr>
                <w:rFonts w:ascii="Century Gothic" w:eastAsia="Times New Roman" w:hAnsi="Century Gothic" w:cs="Calibri"/>
                <w:color w:val="000000"/>
                <w:sz w:val="16"/>
                <w:szCs w:val="16"/>
                <w:lang w:eastAsia="es-MX"/>
              </w:rPr>
            </w:pPr>
          </w:p>
        </w:tc>
        <w:tc>
          <w:tcPr>
            <w:tcW w:w="708" w:type="dxa"/>
            <w:vMerge/>
            <w:tcBorders>
              <w:top w:val="nil"/>
              <w:left w:val="single" w:sz="8" w:space="0" w:color="FFFFFF"/>
              <w:bottom w:val="single" w:sz="8" w:space="0" w:color="FFFFFF"/>
              <w:right w:val="single" w:sz="8" w:space="0" w:color="FFFFFF"/>
            </w:tcBorders>
            <w:vAlign w:val="center"/>
            <w:hideMark/>
          </w:tcPr>
          <w:p w14:paraId="43E722B6" w14:textId="77777777" w:rsidR="00F560FD" w:rsidRPr="002C29F1" w:rsidRDefault="00F560FD" w:rsidP="006A0658">
            <w:pPr>
              <w:spacing w:before="40" w:after="40" w:line="240" w:lineRule="auto"/>
              <w:rPr>
                <w:rFonts w:ascii="Century Gothic" w:eastAsia="Times New Roman" w:hAnsi="Century Gothic" w:cs="Calibri"/>
                <w:color w:val="000000"/>
                <w:sz w:val="16"/>
                <w:szCs w:val="16"/>
                <w:lang w:eastAsia="es-MX"/>
              </w:rPr>
            </w:pPr>
          </w:p>
        </w:tc>
        <w:tc>
          <w:tcPr>
            <w:tcW w:w="567" w:type="dxa"/>
            <w:vMerge/>
            <w:tcBorders>
              <w:top w:val="nil"/>
              <w:left w:val="single" w:sz="8" w:space="0" w:color="FFFFFF"/>
              <w:bottom w:val="single" w:sz="8" w:space="0" w:color="FFFFFF"/>
              <w:right w:val="single" w:sz="8" w:space="0" w:color="FFFFFF"/>
            </w:tcBorders>
            <w:vAlign w:val="center"/>
            <w:hideMark/>
          </w:tcPr>
          <w:p w14:paraId="152B6EB8" w14:textId="77777777" w:rsidR="00F560FD" w:rsidRPr="002C29F1" w:rsidRDefault="00F560FD" w:rsidP="006A0658">
            <w:pPr>
              <w:spacing w:before="40" w:after="40" w:line="240" w:lineRule="auto"/>
              <w:rPr>
                <w:rFonts w:ascii="Century Gothic" w:eastAsia="Times New Roman" w:hAnsi="Century Gothic" w:cs="Calibri"/>
                <w:color w:val="000000"/>
                <w:sz w:val="16"/>
                <w:szCs w:val="16"/>
                <w:lang w:eastAsia="es-MX"/>
              </w:rPr>
            </w:pPr>
          </w:p>
        </w:tc>
        <w:tc>
          <w:tcPr>
            <w:tcW w:w="709" w:type="dxa"/>
            <w:vMerge/>
            <w:tcBorders>
              <w:top w:val="nil"/>
              <w:left w:val="single" w:sz="8" w:space="0" w:color="FFFFFF"/>
              <w:bottom w:val="single" w:sz="8" w:space="0" w:color="FFFFFF"/>
              <w:right w:val="single" w:sz="8" w:space="0" w:color="FFFFFF"/>
            </w:tcBorders>
            <w:vAlign w:val="center"/>
            <w:hideMark/>
          </w:tcPr>
          <w:p w14:paraId="3E435113" w14:textId="77777777" w:rsidR="00F560FD" w:rsidRPr="002C29F1" w:rsidRDefault="00F560FD" w:rsidP="006A0658">
            <w:pPr>
              <w:spacing w:before="40" w:after="40" w:line="240" w:lineRule="auto"/>
              <w:rPr>
                <w:rFonts w:ascii="Century Gothic" w:eastAsia="Times New Roman" w:hAnsi="Century Gothic" w:cs="Calibri"/>
                <w:color w:val="000000"/>
                <w:sz w:val="16"/>
                <w:szCs w:val="16"/>
                <w:lang w:eastAsia="es-MX"/>
              </w:rPr>
            </w:pPr>
          </w:p>
        </w:tc>
        <w:tc>
          <w:tcPr>
            <w:tcW w:w="709" w:type="dxa"/>
            <w:vMerge/>
            <w:tcBorders>
              <w:top w:val="nil"/>
              <w:left w:val="single" w:sz="8" w:space="0" w:color="FFFFFF"/>
              <w:bottom w:val="single" w:sz="8" w:space="0" w:color="FFFFFF"/>
              <w:right w:val="single" w:sz="8" w:space="0" w:color="FFFFFF"/>
            </w:tcBorders>
            <w:vAlign w:val="center"/>
            <w:hideMark/>
          </w:tcPr>
          <w:p w14:paraId="378A23A3" w14:textId="77777777" w:rsidR="00F560FD" w:rsidRPr="002C29F1" w:rsidRDefault="00F560FD" w:rsidP="006A0658">
            <w:pPr>
              <w:spacing w:before="40" w:after="40" w:line="240" w:lineRule="auto"/>
              <w:rPr>
                <w:rFonts w:ascii="Century Gothic" w:eastAsia="Times New Roman" w:hAnsi="Century Gothic" w:cs="Calibri"/>
                <w:color w:val="000000"/>
                <w:sz w:val="16"/>
                <w:szCs w:val="16"/>
                <w:lang w:eastAsia="es-MX"/>
              </w:rPr>
            </w:pPr>
          </w:p>
        </w:tc>
        <w:tc>
          <w:tcPr>
            <w:tcW w:w="841" w:type="dxa"/>
            <w:tcBorders>
              <w:top w:val="nil"/>
              <w:left w:val="nil"/>
              <w:bottom w:val="single" w:sz="8" w:space="0" w:color="FFFFFF"/>
              <w:right w:val="single" w:sz="8" w:space="0" w:color="FFFFFF"/>
            </w:tcBorders>
            <w:shd w:val="clear" w:color="000000" w:fill="C5EAFF"/>
            <w:vAlign w:val="center"/>
            <w:hideMark/>
          </w:tcPr>
          <w:p w14:paraId="498606F8" w14:textId="77777777" w:rsidR="00F560FD" w:rsidRPr="002C29F1" w:rsidRDefault="00F560FD" w:rsidP="006A0658">
            <w:pPr>
              <w:spacing w:before="40" w:after="40" w:line="240" w:lineRule="auto"/>
              <w:jc w:val="center"/>
              <w:rPr>
                <w:rFonts w:ascii="Century Gothic" w:eastAsia="Times New Roman" w:hAnsi="Century Gothic" w:cs="Calibri"/>
                <w:color w:val="000000"/>
                <w:sz w:val="16"/>
                <w:szCs w:val="16"/>
                <w:lang w:eastAsia="es-MX"/>
              </w:rPr>
            </w:pPr>
            <w:r w:rsidRPr="009F520A">
              <w:rPr>
                <w:rFonts w:ascii="Century Gothic" w:eastAsia="Times New Roman" w:hAnsi="Century Gothic" w:cs="Calibri"/>
                <w:color w:val="000000"/>
                <w:sz w:val="16"/>
                <w:szCs w:val="16"/>
                <w:lang w:eastAsia="es-MX"/>
              </w:rPr>
              <w:t>(0 anual) /</w:t>
            </w:r>
            <w:r w:rsidRPr="009F520A">
              <w:rPr>
                <w:rFonts w:ascii="Century Gothic" w:eastAsia="Times New Roman" w:hAnsi="Century Gothic" w:cs="Calibri"/>
                <w:color w:val="000000"/>
                <w:sz w:val="16"/>
                <w:szCs w:val="16"/>
                <w:vertAlign w:val="superscript"/>
                <w:lang w:eastAsia="es-MX"/>
              </w:rPr>
              <w:t>a</w:t>
            </w:r>
          </w:p>
        </w:tc>
        <w:tc>
          <w:tcPr>
            <w:tcW w:w="676" w:type="dxa"/>
            <w:vMerge/>
            <w:tcBorders>
              <w:top w:val="nil"/>
              <w:left w:val="single" w:sz="8" w:space="0" w:color="FFFFFF"/>
              <w:bottom w:val="single" w:sz="8" w:space="0" w:color="FFFFFF"/>
              <w:right w:val="single" w:sz="8" w:space="0" w:color="FFFFFF"/>
            </w:tcBorders>
            <w:vAlign w:val="center"/>
            <w:hideMark/>
          </w:tcPr>
          <w:p w14:paraId="35C6415E" w14:textId="77777777" w:rsidR="00F560FD" w:rsidRPr="002C29F1" w:rsidRDefault="00F560FD" w:rsidP="006A0658">
            <w:pPr>
              <w:spacing w:before="40" w:after="40" w:line="240" w:lineRule="auto"/>
              <w:rPr>
                <w:rFonts w:ascii="Century Gothic" w:eastAsia="Times New Roman" w:hAnsi="Century Gothic" w:cs="Calibri"/>
                <w:color w:val="000000"/>
                <w:sz w:val="16"/>
                <w:szCs w:val="16"/>
                <w:lang w:eastAsia="es-MX"/>
              </w:rPr>
            </w:pPr>
          </w:p>
        </w:tc>
        <w:tc>
          <w:tcPr>
            <w:tcW w:w="1155" w:type="dxa"/>
            <w:vMerge/>
            <w:tcBorders>
              <w:top w:val="nil"/>
              <w:left w:val="single" w:sz="8" w:space="0" w:color="FFFFFF"/>
              <w:bottom w:val="single" w:sz="8" w:space="0" w:color="FFFFFF"/>
              <w:right w:val="single" w:sz="8" w:space="0" w:color="FFFFFF"/>
            </w:tcBorders>
            <w:vAlign w:val="center"/>
            <w:hideMark/>
          </w:tcPr>
          <w:p w14:paraId="11C694DC" w14:textId="77777777" w:rsidR="00F560FD" w:rsidRPr="002C29F1" w:rsidRDefault="00F560FD" w:rsidP="006A0658">
            <w:pPr>
              <w:spacing w:before="40" w:after="40" w:line="240" w:lineRule="auto"/>
              <w:rPr>
                <w:rFonts w:ascii="Century Gothic" w:eastAsia="Times New Roman" w:hAnsi="Century Gothic" w:cs="Calibri"/>
                <w:color w:val="000000"/>
                <w:sz w:val="16"/>
                <w:szCs w:val="16"/>
                <w:lang w:eastAsia="es-MX"/>
              </w:rPr>
            </w:pPr>
          </w:p>
        </w:tc>
        <w:tc>
          <w:tcPr>
            <w:tcW w:w="1155" w:type="dxa"/>
            <w:tcBorders>
              <w:top w:val="nil"/>
              <w:left w:val="nil"/>
              <w:bottom w:val="single" w:sz="8" w:space="0" w:color="FFFFFF"/>
              <w:right w:val="single" w:sz="8" w:space="0" w:color="FFFFFF"/>
            </w:tcBorders>
            <w:shd w:val="clear" w:color="000000" w:fill="F7CAAC"/>
            <w:vAlign w:val="center"/>
            <w:hideMark/>
          </w:tcPr>
          <w:p w14:paraId="0A496A02" w14:textId="77777777" w:rsidR="00F560FD" w:rsidRPr="002C29F1" w:rsidRDefault="00F560FD" w:rsidP="006A0658">
            <w:pPr>
              <w:spacing w:before="40" w:after="40" w:line="240" w:lineRule="auto"/>
              <w:jc w:val="center"/>
              <w:rPr>
                <w:rFonts w:ascii="Century Gothic" w:eastAsia="Times New Roman" w:hAnsi="Century Gothic" w:cs="Calibri"/>
                <w:color w:val="000000"/>
                <w:sz w:val="16"/>
                <w:szCs w:val="16"/>
                <w:lang w:eastAsia="es-MX"/>
              </w:rPr>
            </w:pPr>
            <w:r w:rsidRPr="009F520A">
              <w:rPr>
                <w:rFonts w:ascii="Century Gothic" w:eastAsia="Times New Roman" w:hAnsi="Century Gothic" w:cs="Calibri"/>
                <w:color w:val="000000"/>
                <w:sz w:val="16"/>
                <w:szCs w:val="16"/>
                <w:lang w:eastAsia="es-MX"/>
              </w:rPr>
              <w:t>(0 anual) /</w:t>
            </w:r>
            <w:r w:rsidRPr="009F520A">
              <w:rPr>
                <w:rFonts w:ascii="Century Gothic" w:eastAsia="Times New Roman" w:hAnsi="Century Gothic" w:cs="Calibri"/>
                <w:color w:val="000000"/>
                <w:sz w:val="16"/>
                <w:szCs w:val="16"/>
                <w:vertAlign w:val="superscript"/>
                <w:lang w:eastAsia="es-MX"/>
              </w:rPr>
              <w:t>a</w:t>
            </w:r>
          </w:p>
        </w:tc>
        <w:tc>
          <w:tcPr>
            <w:tcW w:w="1207" w:type="dxa"/>
            <w:vMerge/>
            <w:tcBorders>
              <w:top w:val="nil"/>
              <w:left w:val="single" w:sz="8" w:space="0" w:color="FFFFFF"/>
              <w:bottom w:val="single" w:sz="8" w:space="0" w:color="FFFFFF"/>
              <w:right w:val="single" w:sz="8" w:space="0" w:color="FFFFFF"/>
            </w:tcBorders>
            <w:vAlign w:val="center"/>
            <w:hideMark/>
          </w:tcPr>
          <w:p w14:paraId="3D74770A" w14:textId="77777777" w:rsidR="00F560FD" w:rsidRPr="002C29F1" w:rsidRDefault="00F560FD" w:rsidP="006A0658">
            <w:pPr>
              <w:spacing w:before="40" w:after="40" w:line="240" w:lineRule="auto"/>
              <w:rPr>
                <w:rFonts w:ascii="Century Gothic" w:eastAsia="Times New Roman" w:hAnsi="Century Gothic" w:cs="Calibri"/>
                <w:color w:val="000000"/>
                <w:sz w:val="16"/>
                <w:szCs w:val="16"/>
                <w:lang w:eastAsia="es-MX"/>
              </w:rPr>
            </w:pPr>
          </w:p>
        </w:tc>
      </w:tr>
      <w:tr w:rsidR="00F560FD" w:rsidRPr="002C29F1" w14:paraId="2ED49CA0" w14:textId="77777777" w:rsidTr="006A0658">
        <w:trPr>
          <w:trHeight w:val="315"/>
          <w:jc w:val="center"/>
        </w:trPr>
        <w:tc>
          <w:tcPr>
            <w:tcW w:w="572" w:type="dxa"/>
            <w:vMerge w:val="restart"/>
            <w:tcBorders>
              <w:top w:val="nil"/>
              <w:left w:val="single" w:sz="8" w:space="0" w:color="FFFFFF"/>
              <w:bottom w:val="single" w:sz="8" w:space="0" w:color="FFFFFF"/>
              <w:right w:val="single" w:sz="8" w:space="0" w:color="FFFFFF"/>
            </w:tcBorders>
            <w:shd w:val="clear" w:color="000000" w:fill="D9D9D9"/>
            <w:noWrap/>
            <w:vAlign w:val="center"/>
            <w:hideMark/>
          </w:tcPr>
          <w:p w14:paraId="143F89FF" w14:textId="77777777" w:rsidR="00F560FD" w:rsidRPr="002C29F1" w:rsidRDefault="00F560FD" w:rsidP="006A0658">
            <w:pPr>
              <w:spacing w:before="40" w:after="40" w:line="240" w:lineRule="auto"/>
              <w:jc w:val="center"/>
              <w:rPr>
                <w:rFonts w:ascii="Century Gothic" w:eastAsia="Times New Roman" w:hAnsi="Century Gothic" w:cs="Calibri"/>
                <w:color w:val="000000"/>
                <w:sz w:val="16"/>
                <w:szCs w:val="16"/>
                <w:lang w:eastAsia="es-MX"/>
              </w:rPr>
            </w:pPr>
            <w:r w:rsidRPr="002C29F1">
              <w:rPr>
                <w:rFonts w:ascii="Century Gothic" w:eastAsia="Times New Roman" w:hAnsi="Century Gothic" w:cs="Calibri"/>
                <w:color w:val="000000"/>
                <w:sz w:val="16"/>
                <w:szCs w:val="16"/>
                <w:lang w:eastAsia="es-MX"/>
              </w:rPr>
              <w:t>DGEE</w:t>
            </w:r>
          </w:p>
        </w:tc>
        <w:tc>
          <w:tcPr>
            <w:tcW w:w="5088" w:type="dxa"/>
            <w:vMerge w:val="restart"/>
            <w:tcBorders>
              <w:top w:val="nil"/>
              <w:left w:val="single" w:sz="8" w:space="0" w:color="FFFFFF"/>
              <w:bottom w:val="single" w:sz="8" w:space="0" w:color="FFFFFF"/>
              <w:right w:val="single" w:sz="8" w:space="0" w:color="FFFFFF"/>
            </w:tcBorders>
            <w:shd w:val="clear" w:color="000000" w:fill="D9D9D9"/>
            <w:vAlign w:val="center"/>
            <w:hideMark/>
          </w:tcPr>
          <w:p w14:paraId="649DB867" w14:textId="77777777" w:rsidR="00F560FD" w:rsidRPr="002C29F1" w:rsidRDefault="00F560FD" w:rsidP="006A0658">
            <w:pPr>
              <w:spacing w:before="40" w:after="40" w:line="240" w:lineRule="auto"/>
              <w:rPr>
                <w:rFonts w:ascii="Century Gothic" w:eastAsia="Times New Roman" w:hAnsi="Century Gothic" w:cs="Calibri"/>
                <w:color w:val="000000"/>
                <w:sz w:val="16"/>
                <w:szCs w:val="16"/>
                <w:lang w:eastAsia="es-MX"/>
              </w:rPr>
            </w:pPr>
            <w:r w:rsidRPr="002C29F1">
              <w:rPr>
                <w:rFonts w:ascii="Century Gothic" w:eastAsia="Times New Roman" w:hAnsi="Century Gothic" w:cs="Calibri"/>
                <w:color w:val="000000"/>
                <w:sz w:val="16"/>
                <w:szCs w:val="16"/>
                <w:lang w:eastAsia="es-MX"/>
              </w:rPr>
              <w:t>Sacrificio de Ganado en Rastros Municipales</w:t>
            </w:r>
          </w:p>
        </w:tc>
        <w:tc>
          <w:tcPr>
            <w:tcW w:w="993" w:type="dxa"/>
            <w:vMerge w:val="restart"/>
            <w:tcBorders>
              <w:top w:val="nil"/>
              <w:left w:val="single" w:sz="8" w:space="0" w:color="FFFFFF"/>
              <w:bottom w:val="single" w:sz="8" w:space="0" w:color="FFFFFF"/>
              <w:right w:val="single" w:sz="8" w:space="0" w:color="FFFFFF"/>
            </w:tcBorders>
            <w:shd w:val="clear" w:color="000000" w:fill="D9D9D9"/>
            <w:vAlign w:val="center"/>
            <w:hideMark/>
          </w:tcPr>
          <w:p w14:paraId="11B82D2C" w14:textId="77777777" w:rsidR="00F560FD" w:rsidRPr="002C29F1" w:rsidRDefault="00F560FD" w:rsidP="006A0658">
            <w:pPr>
              <w:spacing w:before="40" w:after="40" w:line="240" w:lineRule="auto"/>
              <w:rPr>
                <w:rFonts w:ascii="Century Gothic" w:eastAsia="Times New Roman" w:hAnsi="Century Gothic" w:cs="Calibri"/>
                <w:color w:val="000000"/>
                <w:sz w:val="16"/>
                <w:szCs w:val="16"/>
                <w:lang w:eastAsia="es-MX"/>
              </w:rPr>
            </w:pPr>
            <w:r w:rsidRPr="002C29F1">
              <w:rPr>
                <w:rFonts w:ascii="Century Gothic" w:eastAsia="Times New Roman" w:hAnsi="Century Gothic" w:cs="Calibri"/>
                <w:color w:val="000000"/>
                <w:sz w:val="16"/>
                <w:szCs w:val="16"/>
                <w:lang w:eastAsia="es-MX"/>
              </w:rPr>
              <w:t>ESGRM</w:t>
            </w:r>
          </w:p>
        </w:tc>
        <w:tc>
          <w:tcPr>
            <w:tcW w:w="708" w:type="dxa"/>
            <w:vMerge w:val="restart"/>
            <w:tcBorders>
              <w:top w:val="nil"/>
              <w:left w:val="single" w:sz="8" w:space="0" w:color="FFFFFF"/>
              <w:bottom w:val="single" w:sz="8" w:space="0" w:color="FFFFFF"/>
              <w:right w:val="single" w:sz="8" w:space="0" w:color="FFFFFF"/>
            </w:tcBorders>
            <w:shd w:val="clear" w:color="000000" w:fill="D9D9D9"/>
            <w:vAlign w:val="center"/>
            <w:hideMark/>
          </w:tcPr>
          <w:p w14:paraId="61A9BE15" w14:textId="77777777" w:rsidR="00F560FD" w:rsidRPr="002C29F1" w:rsidRDefault="00F560FD" w:rsidP="006A0658">
            <w:pPr>
              <w:spacing w:before="40" w:after="40" w:line="240" w:lineRule="auto"/>
              <w:jc w:val="center"/>
              <w:rPr>
                <w:rFonts w:ascii="Century Gothic" w:eastAsia="Times New Roman" w:hAnsi="Century Gothic" w:cs="Calibri"/>
                <w:color w:val="000000"/>
                <w:sz w:val="16"/>
                <w:szCs w:val="16"/>
                <w:lang w:eastAsia="es-MX"/>
              </w:rPr>
            </w:pPr>
            <w:r w:rsidRPr="002C29F1">
              <w:rPr>
                <w:rFonts w:ascii="Century Gothic" w:eastAsia="Times New Roman" w:hAnsi="Century Gothic" w:cs="Calibri"/>
                <w:color w:val="000000"/>
                <w:sz w:val="16"/>
                <w:szCs w:val="16"/>
                <w:lang w:eastAsia="es-MX"/>
              </w:rPr>
              <w:t>10</w:t>
            </w:r>
          </w:p>
        </w:tc>
        <w:tc>
          <w:tcPr>
            <w:tcW w:w="567" w:type="dxa"/>
            <w:vMerge w:val="restart"/>
            <w:tcBorders>
              <w:top w:val="nil"/>
              <w:left w:val="single" w:sz="8" w:space="0" w:color="FFFFFF"/>
              <w:bottom w:val="single" w:sz="8" w:space="0" w:color="FFFFFF"/>
              <w:right w:val="single" w:sz="8" w:space="0" w:color="FFFFFF"/>
            </w:tcBorders>
            <w:shd w:val="clear" w:color="000000" w:fill="D9D9D9"/>
            <w:vAlign w:val="center"/>
            <w:hideMark/>
          </w:tcPr>
          <w:p w14:paraId="47EE284F" w14:textId="77777777" w:rsidR="00F560FD" w:rsidRPr="002C29F1" w:rsidRDefault="00F560FD" w:rsidP="006A0658">
            <w:pPr>
              <w:spacing w:before="40" w:after="40" w:line="240" w:lineRule="auto"/>
              <w:jc w:val="center"/>
              <w:rPr>
                <w:rFonts w:ascii="Century Gothic" w:eastAsia="Times New Roman" w:hAnsi="Century Gothic" w:cs="Calibri"/>
                <w:color w:val="000000"/>
                <w:sz w:val="16"/>
                <w:szCs w:val="16"/>
                <w:lang w:eastAsia="es-MX"/>
              </w:rPr>
            </w:pPr>
            <w:r w:rsidRPr="002C29F1">
              <w:rPr>
                <w:rFonts w:ascii="Century Gothic" w:eastAsia="Times New Roman" w:hAnsi="Century Gothic" w:cs="Calibri"/>
                <w:color w:val="000000"/>
                <w:sz w:val="16"/>
                <w:szCs w:val="16"/>
                <w:lang w:eastAsia="es-MX"/>
              </w:rPr>
              <w:t>12</w:t>
            </w:r>
          </w:p>
        </w:tc>
        <w:tc>
          <w:tcPr>
            <w:tcW w:w="709" w:type="dxa"/>
            <w:vMerge w:val="restart"/>
            <w:tcBorders>
              <w:top w:val="nil"/>
              <w:left w:val="single" w:sz="8" w:space="0" w:color="FFFFFF"/>
              <w:bottom w:val="single" w:sz="8" w:space="0" w:color="FFFFFF"/>
              <w:right w:val="single" w:sz="8" w:space="0" w:color="FFFFFF"/>
            </w:tcBorders>
            <w:shd w:val="clear" w:color="000000" w:fill="D9D9D9"/>
            <w:vAlign w:val="center"/>
            <w:hideMark/>
          </w:tcPr>
          <w:p w14:paraId="168D4222" w14:textId="77777777" w:rsidR="00F560FD" w:rsidRPr="002C29F1" w:rsidRDefault="00F560FD" w:rsidP="006A0658">
            <w:pPr>
              <w:spacing w:before="40" w:after="40" w:line="240" w:lineRule="auto"/>
              <w:jc w:val="center"/>
              <w:rPr>
                <w:rFonts w:ascii="Century Gothic" w:eastAsia="Times New Roman" w:hAnsi="Century Gothic" w:cs="Calibri"/>
                <w:color w:val="000000"/>
                <w:sz w:val="16"/>
                <w:szCs w:val="16"/>
                <w:lang w:eastAsia="es-MX"/>
              </w:rPr>
            </w:pPr>
            <w:r w:rsidRPr="002C29F1">
              <w:rPr>
                <w:rFonts w:ascii="Century Gothic" w:eastAsia="Times New Roman" w:hAnsi="Century Gothic" w:cs="Calibri"/>
                <w:color w:val="000000"/>
                <w:sz w:val="16"/>
                <w:szCs w:val="16"/>
                <w:lang w:eastAsia="es-MX"/>
              </w:rPr>
              <w:t>12</w:t>
            </w:r>
          </w:p>
        </w:tc>
        <w:tc>
          <w:tcPr>
            <w:tcW w:w="709" w:type="dxa"/>
            <w:vMerge w:val="restart"/>
            <w:tcBorders>
              <w:top w:val="nil"/>
              <w:left w:val="single" w:sz="8" w:space="0" w:color="FFFFFF"/>
              <w:bottom w:val="single" w:sz="8" w:space="0" w:color="FFFFFF"/>
              <w:right w:val="single" w:sz="8" w:space="0" w:color="FFFFFF"/>
            </w:tcBorders>
            <w:shd w:val="clear" w:color="000000" w:fill="C5EAFF"/>
            <w:vAlign w:val="center"/>
            <w:hideMark/>
          </w:tcPr>
          <w:p w14:paraId="442EC740" w14:textId="77777777" w:rsidR="00F560FD" w:rsidRPr="002C29F1" w:rsidRDefault="00F560FD" w:rsidP="006A0658">
            <w:pPr>
              <w:spacing w:before="40" w:after="40" w:line="240" w:lineRule="auto"/>
              <w:jc w:val="center"/>
              <w:rPr>
                <w:rFonts w:ascii="Century Gothic" w:eastAsia="Times New Roman" w:hAnsi="Century Gothic" w:cs="Calibri"/>
                <w:color w:val="000000"/>
                <w:sz w:val="16"/>
                <w:szCs w:val="16"/>
                <w:lang w:eastAsia="es-MX"/>
              </w:rPr>
            </w:pPr>
            <w:r w:rsidRPr="009F520A">
              <w:rPr>
                <w:rFonts w:ascii="Century Gothic" w:eastAsia="Times New Roman" w:hAnsi="Century Gothic" w:cs="Calibri"/>
                <w:color w:val="000000"/>
                <w:sz w:val="16"/>
                <w:szCs w:val="16"/>
                <w:lang w:eastAsia="es-MX"/>
              </w:rPr>
              <w:t>0</w:t>
            </w:r>
          </w:p>
        </w:tc>
        <w:tc>
          <w:tcPr>
            <w:tcW w:w="841" w:type="dxa"/>
            <w:tcBorders>
              <w:top w:val="nil"/>
              <w:left w:val="nil"/>
              <w:bottom w:val="single" w:sz="8" w:space="0" w:color="FFFFFF"/>
              <w:right w:val="single" w:sz="8" w:space="0" w:color="FFFFFF"/>
            </w:tcBorders>
            <w:shd w:val="clear" w:color="000000" w:fill="C5EAFF"/>
            <w:vAlign w:val="center"/>
            <w:hideMark/>
          </w:tcPr>
          <w:p w14:paraId="519EC53B" w14:textId="77777777" w:rsidR="00F560FD" w:rsidRPr="002C29F1" w:rsidRDefault="00F560FD" w:rsidP="006A0658">
            <w:pPr>
              <w:spacing w:before="40" w:after="40" w:line="240" w:lineRule="auto"/>
              <w:jc w:val="center"/>
              <w:rPr>
                <w:rFonts w:ascii="Century Gothic" w:eastAsia="Times New Roman" w:hAnsi="Century Gothic" w:cs="Calibri"/>
                <w:color w:val="000000"/>
                <w:sz w:val="16"/>
                <w:szCs w:val="16"/>
                <w:lang w:eastAsia="es-MX"/>
              </w:rPr>
            </w:pPr>
            <w:r w:rsidRPr="009F520A">
              <w:rPr>
                <w:rFonts w:ascii="Century Gothic" w:eastAsia="Times New Roman" w:hAnsi="Century Gothic" w:cs="Calibri"/>
                <w:color w:val="000000"/>
                <w:sz w:val="16"/>
                <w:szCs w:val="16"/>
                <w:lang w:eastAsia="es-MX"/>
              </w:rPr>
              <w:t>0</w:t>
            </w:r>
          </w:p>
        </w:tc>
        <w:tc>
          <w:tcPr>
            <w:tcW w:w="676" w:type="dxa"/>
            <w:vMerge w:val="restart"/>
            <w:tcBorders>
              <w:top w:val="nil"/>
              <w:left w:val="single" w:sz="8" w:space="0" w:color="FFFFFF"/>
              <w:bottom w:val="single" w:sz="8" w:space="0" w:color="FFFFFF"/>
              <w:right w:val="single" w:sz="8" w:space="0" w:color="FFFFFF"/>
            </w:tcBorders>
            <w:shd w:val="clear" w:color="000000" w:fill="C5EAFF"/>
            <w:vAlign w:val="center"/>
            <w:hideMark/>
          </w:tcPr>
          <w:p w14:paraId="53014040" w14:textId="77777777" w:rsidR="00F560FD" w:rsidRPr="002C29F1" w:rsidRDefault="00F560FD" w:rsidP="006A0658">
            <w:pPr>
              <w:spacing w:before="40" w:after="40" w:line="240" w:lineRule="auto"/>
              <w:jc w:val="center"/>
              <w:rPr>
                <w:rFonts w:ascii="Century Gothic" w:eastAsia="Times New Roman" w:hAnsi="Century Gothic" w:cs="Calibri"/>
                <w:color w:val="000000"/>
                <w:sz w:val="16"/>
                <w:szCs w:val="16"/>
                <w:lang w:eastAsia="es-MX"/>
              </w:rPr>
            </w:pPr>
            <w:r w:rsidRPr="009F520A">
              <w:rPr>
                <w:rFonts w:ascii="Century Gothic" w:eastAsia="Times New Roman" w:hAnsi="Century Gothic" w:cs="Calibri"/>
                <w:color w:val="000000"/>
                <w:sz w:val="16"/>
                <w:szCs w:val="16"/>
                <w:lang w:eastAsia="es-MX"/>
              </w:rPr>
              <w:t>0</w:t>
            </w:r>
          </w:p>
        </w:tc>
        <w:tc>
          <w:tcPr>
            <w:tcW w:w="1155" w:type="dxa"/>
            <w:vMerge w:val="restart"/>
            <w:tcBorders>
              <w:top w:val="nil"/>
              <w:left w:val="single" w:sz="8" w:space="0" w:color="FFFFFF"/>
              <w:bottom w:val="single" w:sz="8" w:space="0" w:color="FFFFFF"/>
              <w:right w:val="single" w:sz="8" w:space="0" w:color="FFFFFF"/>
            </w:tcBorders>
            <w:shd w:val="clear" w:color="000000" w:fill="F7CAAC"/>
            <w:vAlign w:val="center"/>
            <w:hideMark/>
          </w:tcPr>
          <w:p w14:paraId="720AAC97" w14:textId="77777777" w:rsidR="00F560FD" w:rsidRPr="002C29F1" w:rsidRDefault="00F560FD" w:rsidP="006A0658">
            <w:pPr>
              <w:spacing w:before="40" w:after="40" w:line="240" w:lineRule="auto"/>
              <w:jc w:val="center"/>
              <w:rPr>
                <w:rFonts w:ascii="Century Gothic" w:eastAsia="Times New Roman" w:hAnsi="Century Gothic" w:cs="Calibri"/>
                <w:color w:val="000000"/>
                <w:sz w:val="16"/>
                <w:szCs w:val="16"/>
                <w:lang w:eastAsia="es-MX"/>
              </w:rPr>
            </w:pPr>
            <w:r w:rsidRPr="009F520A">
              <w:rPr>
                <w:rFonts w:ascii="Century Gothic" w:eastAsia="Times New Roman" w:hAnsi="Century Gothic" w:cs="Calibri"/>
                <w:color w:val="000000"/>
                <w:sz w:val="16"/>
                <w:szCs w:val="16"/>
                <w:lang w:eastAsia="es-MX"/>
              </w:rPr>
              <w:t>3</w:t>
            </w:r>
          </w:p>
        </w:tc>
        <w:tc>
          <w:tcPr>
            <w:tcW w:w="1155" w:type="dxa"/>
            <w:tcBorders>
              <w:top w:val="nil"/>
              <w:left w:val="nil"/>
              <w:bottom w:val="single" w:sz="8" w:space="0" w:color="FFFFFF"/>
              <w:right w:val="single" w:sz="8" w:space="0" w:color="FFFFFF"/>
            </w:tcBorders>
            <w:shd w:val="clear" w:color="000000" w:fill="F7CAAC"/>
            <w:vAlign w:val="center"/>
            <w:hideMark/>
          </w:tcPr>
          <w:p w14:paraId="1E8C18CA" w14:textId="77777777" w:rsidR="00F560FD" w:rsidRPr="002C29F1" w:rsidRDefault="00F560FD" w:rsidP="006A0658">
            <w:pPr>
              <w:spacing w:before="40" w:after="40" w:line="240" w:lineRule="auto"/>
              <w:jc w:val="center"/>
              <w:rPr>
                <w:rFonts w:ascii="Century Gothic" w:eastAsia="Times New Roman" w:hAnsi="Century Gothic" w:cs="Calibri"/>
                <w:color w:val="000000"/>
                <w:sz w:val="16"/>
                <w:szCs w:val="16"/>
                <w:lang w:eastAsia="es-MX"/>
              </w:rPr>
            </w:pPr>
            <w:r w:rsidRPr="009F520A">
              <w:rPr>
                <w:rFonts w:ascii="Century Gothic" w:eastAsia="Times New Roman" w:hAnsi="Century Gothic" w:cs="Calibri"/>
                <w:color w:val="000000"/>
                <w:sz w:val="16"/>
                <w:szCs w:val="16"/>
                <w:lang w:eastAsia="es-MX"/>
              </w:rPr>
              <w:t>5</w:t>
            </w:r>
          </w:p>
        </w:tc>
        <w:tc>
          <w:tcPr>
            <w:tcW w:w="1207" w:type="dxa"/>
            <w:vMerge w:val="restart"/>
            <w:tcBorders>
              <w:top w:val="nil"/>
              <w:left w:val="single" w:sz="8" w:space="0" w:color="FFFFFF"/>
              <w:bottom w:val="single" w:sz="8" w:space="0" w:color="FFFFFF"/>
              <w:right w:val="single" w:sz="8" w:space="0" w:color="FFFFFF"/>
            </w:tcBorders>
            <w:shd w:val="clear" w:color="000000" w:fill="F7CAAC"/>
            <w:vAlign w:val="center"/>
            <w:hideMark/>
          </w:tcPr>
          <w:p w14:paraId="7F9FC1A4" w14:textId="77777777" w:rsidR="00F560FD" w:rsidRPr="002C29F1" w:rsidRDefault="00F560FD" w:rsidP="006A0658">
            <w:pPr>
              <w:spacing w:before="40" w:after="40" w:line="240" w:lineRule="auto"/>
              <w:jc w:val="center"/>
              <w:rPr>
                <w:rFonts w:ascii="Century Gothic" w:eastAsia="Times New Roman" w:hAnsi="Century Gothic" w:cs="Calibri"/>
                <w:b/>
                <w:bCs/>
                <w:color w:val="548235"/>
                <w:sz w:val="16"/>
                <w:szCs w:val="16"/>
                <w:lang w:eastAsia="es-MX"/>
              </w:rPr>
            </w:pPr>
            <w:r w:rsidRPr="009F520A">
              <w:rPr>
                <w:rFonts w:ascii="Century Gothic" w:eastAsia="Times New Roman" w:hAnsi="Century Gothic" w:cs="Calibri"/>
                <w:b/>
                <w:bCs/>
                <w:color w:val="548235"/>
                <w:sz w:val="16"/>
                <w:szCs w:val="16"/>
                <w:lang w:eastAsia="es-MX"/>
              </w:rPr>
              <w:t>4</w:t>
            </w:r>
          </w:p>
        </w:tc>
      </w:tr>
      <w:tr w:rsidR="00F560FD" w:rsidRPr="002C29F1" w14:paraId="3E66732B" w14:textId="77777777" w:rsidTr="006A0658">
        <w:trPr>
          <w:trHeight w:val="315"/>
          <w:jc w:val="center"/>
        </w:trPr>
        <w:tc>
          <w:tcPr>
            <w:tcW w:w="572" w:type="dxa"/>
            <w:vMerge/>
            <w:tcBorders>
              <w:top w:val="nil"/>
              <w:left w:val="single" w:sz="8" w:space="0" w:color="FFFFFF"/>
              <w:bottom w:val="single" w:sz="8" w:space="0" w:color="FFFFFF"/>
              <w:right w:val="single" w:sz="8" w:space="0" w:color="FFFFFF"/>
            </w:tcBorders>
            <w:vAlign w:val="center"/>
            <w:hideMark/>
          </w:tcPr>
          <w:p w14:paraId="2D897D45" w14:textId="77777777" w:rsidR="00F560FD" w:rsidRPr="002C29F1" w:rsidRDefault="00F560FD" w:rsidP="006A0658">
            <w:pPr>
              <w:spacing w:before="40" w:after="40" w:line="240" w:lineRule="auto"/>
              <w:rPr>
                <w:rFonts w:ascii="Century Gothic" w:eastAsia="Times New Roman" w:hAnsi="Century Gothic" w:cs="Calibri"/>
                <w:color w:val="000000"/>
                <w:sz w:val="16"/>
                <w:szCs w:val="16"/>
                <w:lang w:eastAsia="es-MX"/>
              </w:rPr>
            </w:pPr>
          </w:p>
        </w:tc>
        <w:tc>
          <w:tcPr>
            <w:tcW w:w="5088" w:type="dxa"/>
            <w:vMerge/>
            <w:tcBorders>
              <w:top w:val="nil"/>
              <w:left w:val="single" w:sz="8" w:space="0" w:color="FFFFFF"/>
              <w:bottom w:val="single" w:sz="8" w:space="0" w:color="FFFFFF"/>
              <w:right w:val="single" w:sz="8" w:space="0" w:color="FFFFFF"/>
            </w:tcBorders>
            <w:vAlign w:val="center"/>
            <w:hideMark/>
          </w:tcPr>
          <w:p w14:paraId="0E977D10" w14:textId="77777777" w:rsidR="00F560FD" w:rsidRPr="002C29F1" w:rsidRDefault="00F560FD" w:rsidP="006A0658">
            <w:pPr>
              <w:spacing w:before="40" w:after="40" w:line="240" w:lineRule="auto"/>
              <w:rPr>
                <w:rFonts w:ascii="Century Gothic" w:eastAsia="Times New Roman" w:hAnsi="Century Gothic" w:cs="Calibri"/>
                <w:color w:val="000000"/>
                <w:sz w:val="16"/>
                <w:szCs w:val="16"/>
                <w:lang w:eastAsia="es-MX"/>
              </w:rPr>
            </w:pPr>
          </w:p>
        </w:tc>
        <w:tc>
          <w:tcPr>
            <w:tcW w:w="993" w:type="dxa"/>
            <w:vMerge/>
            <w:tcBorders>
              <w:top w:val="nil"/>
              <w:left w:val="single" w:sz="8" w:space="0" w:color="FFFFFF"/>
              <w:bottom w:val="single" w:sz="8" w:space="0" w:color="FFFFFF"/>
              <w:right w:val="single" w:sz="8" w:space="0" w:color="FFFFFF"/>
            </w:tcBorders>
            <w:vAlign w:val="center"/>
            <w:hideMark/>
          </w:tcPr>
          <w:p w14:paraId="64A57CBE" w14:textId="77777777" w:rsidR="00F560FD" w:rsidRPr="002C29F1" w:rsidRDefault="00F560FD" w:rsidP="006A0658">
            <w:pPr>
              <w:spacing w:before="40" w:after="40" w:line="240" w:lineRule="auto"/>
              <w:rPr>
                <w:rFonts w:ascii="Century Gothic" w:eastAsia="Times New Roman" w:hAnsi="Century Gothic" w:cs="Calibri"/>
                <w:color w:val="000000"/>
                <w:sz w:val="16"/>
                <w:szCs w:val="16"/>
                <w:lang w:eastAsia="es-MX"/>
              </w:rPr>
            </w:pPr>
          </w:p>
        </w:tc>
        <w:tc>
          <w:tcPr>
            <w:tcW w:w="708" w:type="dxa"/>
            <w:vMerge/>
            <w:tcBorders>
              <w:top w:val="nil"/>
              <w:left w:val="single" w:sz="8" w:space="0" w:color="FFFFFF"/>
              <w:bottom w:val="single" w:sz="8" w:space="0" w:color="FFFFFF"/>
              <w:right w:val="single" w:sz="8" w:space="0" w:color="FFFFFF"/>
            </w:tcBorders>
            <w:vAlign w:val="center"/>
            <w:hideMark/>
          </w:tcPr>
          <w:p w14:paraId="3BAF6C20" w14:textId="77777777" w:rsidR="00F560FD" w:rsidRPr="002C29F1" w:rsidRDefault="00F560FD" w:rsidP="006A0658">
            <w:pPr>
              <w:spacing w:before="40" w:after="40" w:line="240" w:lineRule="auto"/>
              <w:rPr>
                <w:rFonts w:ascii="Century Gothic" w:eastAsia="Times New Roman" w:hAnsi="Century Gothic" w:cs="Calibri"/>
                <w:color w:val="000000"/>
                <w:sz w:val="16"/>
                <w:szCs w:val="16"/>
                <w:lang w:eastAsia="es-MX"/>
              </w:rPr>
            </w:pPr>
          </w:p>
        </w:tc>
        <w:tc>
          <w:tcPr>
            <w:tcW w:w="567" w:type="dxa"/>
            <w:vMerge/>
            <w:tcBorders>
              <w:top w:val="nil"/>
              <w:left w:val="single" w:sz="8" w:space="0" w:color="FFFFFF"/>
              <w:bottom w:val="single" w:sz="8" w:space="0" w:color="FFFFFF"/>
              <w:right w:val="single" w:sz="8" w:space="0" w:color="FFFFFF"/>
            </w:tcBorders>
            <w:vAlign w:val="center"/>
            <w:hideMark/>
          </w:tcPr>
          <w:p w14:paraId="53D3DF11" w14:textId="77777777" w:rsidR="00F560FD" w:rsidRPr="002C29F1" w:rsidRDefault="00F560FD" w:rsidP="006A0658">
            <w:pPr>
              <w:spacing w:before="40" w:after="40" w:line="240" w:lineRule="auto"/>
              <w:rPr>
                <w:rFonts w:ascii="Century Gothic" w:eastAsia="Times New Roman" w:hAnsi="Century Gothic" w:cs="Calibri"/>
                <w:color w:val="000000"/>
                <w:sz w:val="16"/>
                <w:szCs w:val="16"/>
                <w:lang w:eastAsia="es-MX"/>
              </w:rPr>
            </w:pPr>
          </w:p>
        </w:tc>
        <w:tc>
          <w:tcPr>
            <w:tcW w:w="709" w:type="dxa"/>
            <w:vMerge/>
            <w:tcBorders>
              <w:top w:val="nil"/>
              <w:left w:val="single" w:sz="8" w:space="0" w:color="FFFFFF"/>
              <w:bottom w:val="single" w:sz="8" w:space="0" w:color="FFFFFF"/>
              <w:right w:val="single" w:sz="8" w:space="0" w:color="FFFFFF"/>
            </w:tcBorders>
            <w:vAlign w:val="center"/>
            <w:hideMark/>
          </w:tcPr>
          <w:p w14:paraId="0221680B" w14:textId="77777777" w:rsidR="00F560FD" w:rsidRPr="002C29F1" w:rsidRDefault="00F560FD" w:rsidP="006A0658">
            <w:pPr>
              <w:spacing w:before="40" w:after="40" w:line="240" w:lineRule="auto"/>
              <w:rPr>
                <w:rFonts w:ascii="Century Gothic" w:eastAsia="Times New Roman" w:hAnsi="Century Gothic" w:cs="Calibri"/>
                <w:color w:val="000000"/>
                <w:sz w:val="16"/>
                <w:szCs w:val="16"/>
                <w:lang w:eastAsia="es-MX"/>
              </w:rPr>
            </w:pPr>
          </w:p>
        </w:tc>
        <w:tc>
          <w:tcPr>
            <w:tcW w:w="709" w:type="dxa"/>
            <w:vMerge/>
            <w:tcBorders>
              <w:top w:val="nil"/>
              <w:left w:val="single" w:sz="8" w:space="0" w:color="FFFFFF"/>
              <w:bottom w:val="single" w:sz="8" w:space="0" w:color="FFFFFF"/>
              <w:right w:val="single" w:sz="8" w:space="0" w:color="FFFFFF"/>
            </w:tcBorders>
            <w:vAlign w:val="center"/>
            <w:hideMark/>
          </w:tcPr>
          <w:p w14:paraId="56A131CE" w14:textId="77777777" w:rsidR="00F560FD" w:rsidRPr="002C29F1" w:rsidRDefault="00F560FD" w:rsidP="006A0658">
            <w:pPr>
              <w:spacing w:before="40" w:after="40" w:line="240" w:lineRule="auto"/>
              <w:rPr>
                <w:rFonts w:ascii="Century Gothic" w:eastAsia="Times New Roman" w:hAnsi="Century Gothic" w:cs="Calibri"/>
                <w:color w:val="000000"/>
                <w:sz w:val="16"/>
                <w:szCs w:val="16"/>
                <w:lang w:eastAsia="es-MX"/>
              </w:rPr>
            </w:pPr>
          </w:p>
        </w:tc>
        <w:tc>
          <w:tcPr>
            <w:tcW w:w="841" w:type="dxa"/>
            <w:tcBorders>
              <w:top w:val="nil"/>
              <w:left w:val="nil"/>
              <w:bottom w:val="single" w:sz="8" w:space="0" w:color="FFFFFF"/>
              <w:right w:val="single" w:sz="8" w:space="0" w:color="FFFFFF"/>
            </w:tcBorders>
            <w:shd w:val="clear" w:color="000000" w:fill="C5EAFF"/>
            <w:vAlign w:val="center"/>
            <w:hideMark/>
          </w:tcPr>
          <w:p w14:paraId="01009471" w14:textId="77777777" w:rsidR="00F560FD" w:rsidRPr="002C29F1" w:rsidRDefault="00F560FD" w:rsidP="006A0658">
            <w:pPr>
              <w:spacing w:before="40" w:after="40" w:line="240" w:lineRule="auto"/>
              <w:jc w:val="center"/>
              <w:rPr>
                <w:rFonts w:ascii="Century Gothic" w:eastAsia="Times New Roman" w:hAnsi="Century Gothic" w:cs="Calibri"/>
                <w:color w:val="000000"/>
                <w:sz w:val="16"/>
                <w:szCs w:val="16"/>
                <w:lang w:eastAsia="es-MX"/>
              </w:rPr>
            </w:pPr>
            <w:r w:rsidRPr="009F520A">
              <w:rPr>
                <w:rFonts w:ascii="Century Gothic" w:eastAsia="Times New Roman" w:hAnsi="Century Gothic" w:cs="Calibri"/>
                <w:color w:val="000000"/>
                <w:sz w:val="16"/>
                <w:szCs w:val="16"/>
                <w:lang w:eastAsia="es-MX"/>
              </w:rPr>
              <w:t>(0 anual) /</w:t>
            </w:r>
            <w:r w:rsidRPr="009F520A">
              <w:rPr>
                <w:rFonts w:ascii="Century Gothic" w:eastAsia="Times New Roman" w:hAnsi="Century Gothic" w:cs="Calibri"/>
                <w:color w:val="000000"/>
                <w:sz w:val="16"/>
                <w:szCs w:val="16"/>
                <w:vertAlign w:val="superscript"/>
                <w:lang w:eastAsia="es-MX"/>
              </w:rPr>
              <w:t>a</w:t>
            </w:r>
          </w:p>
        </w:tc>
        <w:tc>
          <w:tcPr>
            <w:tcW w:w="676" w:type="dxa"/>
            <w:vMerge/>
            <w:tcBorders>
              <w:top w:val="nil"/>
              <w:left w:val="single" w:sz="8" w:space="0" w:color="FFFFFF"/>
              <w:bottom w:val="single" w:sz="8" w:space="0" w:color="FFFFFF"/>
              <w:right w:val="single" w:sz="8" w:space="0" w:color="FFFFFF"/>
            </w:tcBorders>
            <w:vAlign w:val="center"/>
            <w:hideMark/>
          </w:tcPr>
          <w:p w14:paraId="0E4B6D0C" w14:textId="77777777" w:rsidR="00F560FD" w:rsidRPr="002C29F1" w:rsidRDefault="00F560FD" w:rsidP="006A0658">
            <w:pPr>
              <w:spacing w:before="40" w:after="40" w:line="240" w:lineRule="auto"/>
              <w:rPr>
                <w:rFonts w:ascii="Century Gothic" w:eastAsia="Times New Roman" w:hAnsi="Century Gothic" w:cs="Calibri"/>
                <w:color w:val="000000"/>
                <w:sz w:val="16"/>
                <w:szCs w:val="16"/>
                <w:lang w:eastAsia="es-MX"/>
              </w:rPr>
            </w:pPr>
          </w:p>
        </w:tc>
        <w:tc>
          <w:tcPr>
            <w:tcW w:w="1155" w:type="dxa"/>
            <w:vMerge/>
            <w:tcBorders>
              <w:top w:val="nil"/>
              <w:left w:val="single" w:sz="8" w:space="0" w:color="FFFFFF"/>
              <w:bottom w:val="single" w:sz="8" w:space="0" w:color="FFFFFF"/>
              <w:right w:val="single" w:sz="8" w:space="0" w:color="FFFFFF"/>
            </w:tcBorders>
            <w:vAlign w:val="center"/>
            <w:hideMark/>
          </w:tcPr>
          <w:p w14:paraId="7EA32F76" w14:textId="77777777" w:rsidR="00F560FD" w:rsidRPr="002C29F1" w:rsidRDefault="00F560FD" w:rsidP="006A0658">
            <w:pPr>
              <w:spacing w:before="40" w:after="40" w:line="240" w:lineRule="auto"/>
              <w:rPr>
                <w:rFonts w:ascii="Century Gothic" w:eastAsia="Times New Roman" w:hAnsi="Century Gothic" w:cs="Calibri"/>
                <w:color w:val="000000"/>
                <w:sz w:val="16"/>
                <w:szCs w:val="16"/>
                <w:lang w:eastAsia="es-MX"/>
              </w:rPr>
            </w:pPr>
          </w:p>
        </w:tc>
        <w:tc>
          <w:tcPr>
            <w:tcW w:w="1155" w:type="dxa"/>
            <w:tcBorders>
              <w:top w:val="nil"/>
              <w:left w:val="nil"/>
              <w:bottom w:val="single" w:sz="8" w:space="0" w:color="FFFFFF"/>
              <w:right w:val="single" w:sz="8" w:space="0" w:color="FFFFFF"/>
            </w:tcBorders>
            <w:shd w:val="clear" w:color="000000" w:fill="F7CAAC"/>
            <w:vAlign w:val="center"/>
            <w:hideMark/>
          </w:tcPr>
          <w:p w14:paraId="5560BFDC" w14:textId="77777777" w:rsidR="00F560FD" w:rsidRPr="002C29F1" w:rsidRDefault="00F560FD" w:rsidP="006A0658">
            <w:pPr>
              <w:spacing w:before="40" w:after="40" w:line="240" w:lineRule="auto"/>
              <w:jc w:val="center"/>
              <w:rPr>
                <w:rFonts w:ascii="Century Gothic" w:eastAsia="Times New Roman" w:hAnsi="Century Gothic" w:cs="Calibri"/>
                <w:color w:val="000000"/>
                <w:sz w:val="16"/>
                <w:szCs w:val="16"/>
                <w:lang w:eastAsia="es-MX"/>
              </w:rPr>
            </w:pPr>
            <w:r w:rsidRPr="009F520A">
              <w:rPr>
                <w:rFonts w:ascii="Century Gothic" w:eastAsia="Times New Roman" w:hAnsi="Century Gothic" w:cs="Calibri"/>
                <w:color w:val="000000"/>
                <w:sz w:val="16"/>
                <w:szCs w:val="16"/>
                <w:lang w:eastAsia="es-MX"/>
              </w:rPr>
              <w:t>(</w:t>
            </w:r>
            <w:r w:rsidRPr="009F520A">
              <w:rPr>
                <w:rFonts w:ascii="Century Gothic" w:eastAsia="Times New Roman" w:hAnsi="Century Gothic" w:cs="Calibri"/>
                <w:b/>
                <w:bCs/>
                <w:color w:val="548235"/>
                <w:sz w:val="16"/>
                <w:szCs w:val="16"/>
                <w:lang w:eastAsia="es-MX"/>
              </w:rPr>
              <w:t>0</w:t>
            </w:r>
            <w:r w:rsidRPr="009F520A">
              <w:rPr>
                <w:rFonts w:ascii="Century Gothic" w:eastAsia="Times New Roman" w:hAnsi="Century Gothic" w:cs="Calibri"/>
                <w:b/>
                <w:bCs/>
                <w:color w:val="BF8F00"/>
                <w:sz w:val="16"/>
                <w:szCs w:val="16"/>
                <w:lang w:eastAsia="es-MX"/>
              </w:rPr>
              <w:t xml:space="preserve"> </w:t>
            </w:r>
            <w:r w:rsidRPr="009F520A">
              <w:rPr>
                <w:rFonts w:ascii="Century Gothic" w:eastAsia="Times New Roman" w:hAnsi="Century Gothic" w:cs="Calibri"/>
                <w:color w:val="000000"/>
                <w:sz w:val="16"/>
                <w:szCs w:val="16"/>
                <w:lang w:eastAsia="es-MX"/>
              </w:rPr>
              <w:t>anual) /</w:t>
            </w:r>
            <w:r w:rsidRPr="009F520A">
              <w:rPr>
                <w:rFonts w:ascii="Century Gothic" w:eastAsia="Times New Roman" w:hAnsi="Century Gothic" w:cs="Calibri"/>
                <w:color w:val="000000"/>
                <w:sz w:val="16"/>
                <w:szCs w:val="16"/>
                <w:vertAlign w:val="superscript"/>
                <w:lang w:eastAsia="es-MX"/>
              </w:rPr>
              <w:t>a</w:t>
            </w:r>
          </w:p>
        </w:tc>
        <w:tc>
          <w:tcPr>
            <w:tcW w:w="1207" w:type="dxa"/>
            <w:vMerge/>
            <w:tcBorders>
              <w:top w:val="nil"/>
              <w:left w:val="single" w:sz="8" w:space="0" w:color="FFFFFF"/>
              <w:bottom w:val="single" w:sz="8" w:space="0" w:color="FFFFFF"/>
              <w:right w:val="single" w:sz="8" w:space="0" w:color="FFFFFF"/>
            </w:tcBorders>
            <w:vAlign w:val="center"/>
            <w:hideMark/>
          </w:tcPr>
          <w:p w14:paraId="7BAD320F" w14:textId="77777777" w:rsidR="00F560FD" w:rsidRPr="002C29F1" w:rsidRDefault="00F560FD" w:rsidP="006A0658">
            <w:pPr>
              <w:spacing w:before="40" w:after="40" w:line="240" w:lineRule="auto"/>
              <w:rPr>
                <w:rFonts w:ascii="Century Gothic" w:eastAsia="Times New Roman" w:hAnsi="Century Gothic" w:cs="Calibri"/>
                <w:b/>
                <w:bCs/>
                <w:color w:val="548235"/>
                <w:sz w:val="16"/>
                <w:szCs w:val="16"/>
                <w:lang w:eastAsia="es-MX"/>
              </w:rPr>
            </w:pPr>
          </w:p>
        </w:tc>
      </w:tr>
      <w:tr w:rsidR="00F560FD" w:rsidRPr="002C29F1" w14:paraId="20264444" w14:textId="77777777" w:rsidTr="006A0658">
        <w:trPr>
          <w:trHeight w:val="555"/>
          <w:jc w:val="center"/>
        </w:trPr>
        <w:tc>
          <w:tcPr>
            <w:tcW w:w="572" w:type="dxa"/>
            <w:tcBorders>
              <w:top w:val="nil"/>
              <w:left w:val="single" w:sz="8" w:space="0" w:color="FFFFFF"/>
              <w:bottom w:val="single" w:sz="8" w:space="0" w:color="FFFFFF"/>
              <w:right w:val="single" w:sz="8" w:space="0" w:color="FFFFFF"/>
            </w:tcBorders>
            <w:shd w:val="clear" w:color="000000" w:fill="D9D9D9"/>
            <w:noWrap/>
            <w:vAlign w:val="center"/>
            <w:hideMark/>
          </w:tcPr>
          <w:p w14:paraId="7B5D0D10" w14:textId="77777777" w:rsidR="00F560FD" w:rsidRPr="002C29F1" w:rsidRDefault="00F560FD" w:rsidP="006A0658">
            <w:pPr>
              <w:spacing w:before="40" w:after="40" w:line="240" w:lineRule="auto"/>
              <w:jc w:val="center"/>
              <w:rPr>
                <w:rFonts w:ascii="Century Gothic" w:eastAsia="Times New Roman" w:hAnsi="Century Gothic" w:cs="Calibri"/>
                <w:color w:val="000000"/>
                <w:sz w:val="16"/>
                <w:szCs w:val="16"/>
                <w:lang w:eastAsia="es-MX"/>
              </w:rPr>
            </w:pPr>
            <w:r w:rsidRPr="002C29F1">
              <w:rPr>
                <w:rFonts w:ascii="Century Gothic" w:eastAsia="Times New Roman" w:hAnsi="Century Gothic" w:cs="Calibri"/>
                <w:color w:val="000000"/>
                <w:sz w:val="16"/>
                <w:szCs w:val="16"/>
                <w:lang w:eastAsia="es-MX"/>
              </w:rPr>
              <w:t>DGES</w:t>
            </w:r>
          </w:p>
        </w:tc>
        <w:tc>
          <w:tcPr>
            <w:tcW w:w="5088" w:type="dxa"/>
            <w:tcBorders>
              <w:top w:val="nil"/>
              <w:left w:val="nil"/>
              <w:bottom w:val="single" w:sz="8" w:space="0" w:color="FFFFFF"/>
              <w:right w:val="single" w:sz="8" w:space="0" w:color="FFFFFF"/>
            </w:tcBorders>
            <w:shd w:val="clear" w:color="000000" w:fill="D9D9D9"/>
            <w:vAlign w:val="center"/>
            <w:hideMark/>
          </w:tcPr>
          <w:p w14:paraId="3BCB13DA" w14:textId="77777777" w:rsidR="00F560FD" w:rsidRPr="002C29F1" w:rsidRDefault="00F560FD" w:rsidP="006A0658">
            <w:pPr>
              <w:spacing w:before="40" w:after="40" w:line="240" w:lineRule="auto"/>
              <w:rPr>
                <w:rFonts w:ascii="Century Gothic" w:eastAsia="Times New Roman" w:hAnsi="Century Gothic" w:cs="Calibri"/>
                <w:color w:val="000000"/>
                <w:sz w:val="16"/>
                <w:szCs w:val="16"/>
                <w:lang w:eastAsia="es-MX"/>
              </w:rPr>
            </w:pPr>
            <w:r w:rsidRPr="002C29F1">
              <w:rPr>
                <w:rFonts w:ascii="Century Gothic" w:eastAsia="Times New Roman" w:hAnsi="Century Gothic" w:cs="Calibri"/>
                <w:color w:val="000000"/>
                <w:sz w:val="16"/>
                <w:szCs w:val="16"/>
                <w:lang w:eastAsia="es-MX"/>
              </w:rPr>
              <w:t>Estadística de Nacimientos Registrados</w:t>
            </w:r>
          </w:p>
        </w:tc>
        <w:tc>
          <w:tcPr>
            <w:tcW w:w="993" w:type="dxa"/>
            <w:tcBorders>
              <w:top w:val="nil"/>
              <w:left w:val="nil"/>
              <w:bottom w:val="single" w:sz="8" w:space="0" w:color="FFFFFF"/>
              <w:right w:val="single" w:sz="8" w:space="0" w:color="FFFFFF"/>
            </w:tcBorders>
            <w:shd w:val="clear" w:color="000000" w:fill="D9D9D9"/>
            <w:vAlign w:val="center"/>
            <w:hideMark/>
          </w:tcPr>
          <w:p w14:paraId="78C5618B" w14:textId="77777777" w:rsidR="00F560FD" w:rsidRPr="002C29F1" w:rsidRDefault="00F560FD" w:rsidP="006A0658">
            <w:pPr>
              <w:spacing w:before="40" w:after="40" w:line="240" w:lineRule="auto"/>
              <w:rPr>
                <w:rFonts w:ascii="Century Gothic" w:eastAsia="Times New Roman" w:hAnsi="Century Gothic" w:cs="Calibri"/>
                <w:color w:val="000000"/>
                <w:sz w:val="16"/>
                <w:szCs w:val="16"/>
                <w:lang w:eastAsia="es-MX"/>
              </w:rPr>
            </w:pPr>
            <w:r w:rsidRPr="002C29F1">
              <w:rPr>
                <w:rFonts w:ascii="Century Gothic" w:eastAsia="Times New Roman" w:hAnsi="Century Gothic" w:cs="Calibri"/>
                <w:color w:val="000000"/>
                <w:sz w:val="16"/>
                <w:szCs w:val="16"/>
                <w:lang w:eastAsia="es-MX"/>
              </w:rPr>
              <w:t>ENR</w:t>
            </w:r>
          </w:p>
        </w:tc>
        <w:tc>
          <w:tcPr>
            <w:tcW w:w="708" w:type="dxa"/>
            <w:tcBorders>
              <w:top w:val="nil"/>
              <w:left w:val="nil"/>
              <w:bottom w:val="single" w:sz="8" w:space="0" w:color="FFFFFF"/>
              <w:right w:val="single" w:sz="8" w:space="0" w:color="FFFFFF"/>
            </w:tcBorders>
            <w:shd w:val="clear" w:color="000000" w:fill="D9D9D9"/>
            <w:vAlign w:val="center"/>
            <w:hideMark/>
          </w:tcPr>
          <w:p w14:paraId="473BF90C" w14:textId="77777777" w:rsidR="00F560FD" w:rsidRPr="002C29F1" w:rsidRDefault="00F560FD" w:rsidP="006A0658">
            <w:pPr>
              <w:spacing w:before="40" w:after="40" w:line="240" w:lineRule="auto"/>
              <w:jc w:val="center"/>
              <w:rPr>
                <w:rFonts w:ascii="Century Gothic" w:eastAsia="Times New Roman" w:hAnsi="Century Gothic" w:cs="Calibri"/>
                <w:color w:val="000000"/>
                <w:sz w:val="16"/>
                <w:szCs w:val="16"/>
                <w:lang w:eastAsia="es-MX"/>
              </w:rPr>
            </w:pPr>
            <w:r w:rsidRPr="002C29F1">
              <w:rPr>
                <w:rFonts w:ascii="Century Gothic" w:eastAsia="Times New Roman" w:hAnsi="Century Gothic" w:cs="Calibri"/>
                <w:color w:val="000000"/>
                <w:sz w:val="16"/>
                <w:szCs w:val="16"/>
                <w:lang w:eastAsia="es-MX"/>
              </w:rPr>
              <w:t>-</w:t>
            </w:r>
          </w:p>
        </w:tc>
        <w:tc>
          <w:tcPr>
            <w:tcW w:w="567" w:type="dxa"/>
            <w:tcBorders>
              <w:top w:val="nil"/>
              <w:left w:val="nil"/>
              <w:bottom w:val="single" w:sz="8" w:space="0" w:color="FFFFFF"/>
              <w:right w:val="single" w:sz="8" w:space="0" w:color="FFFFFF"/>
            </w:tcBorders>
            <w:shd w:val="clear" w:color="000000" w:fill="D9D9D9"/>
            <w:vAlign w:val="center"/>
            <w:hideMark/>
          </w:tcPr>
          <w:p w14:paraId="62CE1C65" w14:textId="77777777" w:rsidR="00F560FD" w:rsidRPr="002C29F1" w:rsidRDefault="00F560FD" w:rsidP="006A0658">
            <w:pPr>
              <w:spacing w:before="40" w:after="40" w:line="240" w:lineRule="auto"/>
              <w:jc w:val="center"/>
              <w:rPr>
                <w:rFonts w:ascii="Century Gothic" w:eastAsia="Times New Roman" w:hAnsi="Century Gothic" w:cs="Calibri"/>
                <w:color w:val="000000"/>
                <w:sz w:val="16"/>
                <w:szCs w:val="16"/>
                <w:lang w:eastAsia="es-MX"/>
              </w:rPr>
            </w:pPr>
            <w:r w:rsidRPr="002C29F1">
              <w:rPr>
                <w:rFonts w:ascii="Century Gothic" w:eastAsia="Times New Roman" w:hAnsi="Century Gothic" w:cs="Calibri"/>
                <w:color w:val="000000"/>
                <w:sz w:val="16"/>
                <w:szCs w:val="16"/>
                <w:lang w:eastAsia="es-MX"/>
              </w:rPr>
              <w:t>-</w:t>
            </w:r>
          </w:p>
        </w:tc>
        <w:tc>
          <w:tcPr>
            <w:tcW w:w="709" w:type="dxa"/>
            <w:tcBorders>
              <w:top w:val="nil"/>
              <w:left w:val="nil"/>
              <w:bottom w:val="single" w:sz="8" w:space="0" w:color="FFFFFF"/>
              <w:right w:val="single" w:sz="8" w:space="0" w:color="FFFFFF"/>
            </w:tcBorders>
            <w:shd w:val="clear" w:color="000000" w:fill="D9D9D9"/>
            <w:vAlign w:val="center"/>
            <w:hideMark/>
          </w:tcPr>
          <w:p w14:paraId="18244322" w14:textId="77777777" w:rsidR="00F560FD" w:rsidRPr="002C29F1" w:rsidRDefault="00F560FD" w:rsidP="006A0658">
            <w:pPr>
              <w:spacing w:before="40" w:after="40" w:line="240" w:lineRule="auto"/>
              <w:jc w:val="center"/>
              <w:rPr>
                <w:rFonts w:ascii="Century Gothic" w:eastAsia="Times New Roman" w:hAnsi="Century Gothic" w:cs="Calibri"/>
                <w:color w:val="000000"/>
                <w:sz w:val="16"/>
                <w:szCs w:val="16"/>
                <w:lang w:eastAsia="es-MX"/>
              </w:rPr>
            </w:pPr>
            <w:r w:rsidRPr="002C29F1">
              <w:rPr>
                <w:rFonts w:ascii="Century Gothic" w:eastAsia="Times New Roman" w:hAnsi="Century Gothic" w:cs="Calibri"/>
                <w:color w:val="000000"/>
                <w:sz w:val="16"/>
                <w:szCs w:val="16"/>
                <w:lang w:eastAsia="es-MX"/>
              </w:rPr>
              <w:t>33</w:t>
            </w:r>
          </w:p>
        </w:tc>
        <w:tc>
          <w:tcPr>
            <w:tcW w:w="709" w:type="dxa"/>
            <w:tcBorders>
              <w:top w:val="nil"/>
              <w:left w:val="nil"/>
              <w:bottom w:val="single" w:sz="8" w:space="0" w:color="FFFFFF"/>
              <w:right w:val="single" w:sz="8" w:space="0" w:color="FFFFFF"/>
            </w:tcBorders>
            <w:shd w:val="clear" w:color="000000" w:fill="C5EAFF"/>
            <w:vAlign w:val="center"/>
            <w:hideMark/>
          </w:tcPr>
          <w:p w14:paraId="42302D2B" w14:textId="77777777" w:rsidR="00F560FD" w:rsidRPr="002C29F1" w:rsidRDefault="00F560FD" w:rsidP="006A0658">
            <w:pPr>
              <w:spacing w:before="40" w:after="40" w:line="240" w:lineRule="auto"/>
              <w:jc w:val="center"/>
              <w:rPr>
                <w:rFonts w:ascii="Century Gothic" w:eastAsia="Times New Roman" w:hAnsi="Century Gothic" w:cs="Calibri"/>
                <w:color w:val="000000"/>
                <w:sz w:val="16"/>
                <w:szCs w:val="16"/>
                <w:lang w:eastAsia="es-MX"/>
              </w:rPr>
            </w:pPr>
            <w:r w:rsidRPr="009F520A">
              <w:rPr>
                <w:rFonts w:ascii="Century Gothic" w:eastAsia="Times New Roman" w:hAnsi="Century Gothic" w:cs="Calibri"/>
                <w:color w:val="000000"/>
                <w:sz w:val="16"/>
                <w:szCs w:val="16"/>
                <w:lang w:eastAsia="es-MX"/>
              </w:rPr>
              <w:t>-</w:t>
            </w:r>
          </w:p>
        </w:tc>
        <w:tc>
          <w:tcPr>
            <w:tcW w:w="841" w:type="dxa"/>
            <w:tcBorders>
              <w:top w:val="nil"/>
              <w:left w:val="nil"/>
              <w:bottom w:val="single" w:sz="8" w:space="0" w:color="FFFFFF"/>
              <w:right w:val="single" w:sz="8" w:space="0" w:color="FFFFFF"/>
            </w:tcBorders>
            <w:shd w:val="clear" w:color="000000" w:fill="C5EAFF"/>
            <w:vAlign w:val="center"/>
            <w:hideMark/>
          </w:tcPr>
          <w:p w14:paraId="4D419ED7" w14:textId="77777777" w:rsidR="00F560FD" w:rsidRPr="002C29F1" w:rsidRDefault="00F560FD" w:rsidP="006A0658">
            <w:pPr>
              <w:spacing w:before="40" w:after="40" w:line="240" w:lineRule="auto"/>
              <w:jc w:val="center"/>
              <w:rPr>
                <w:rFonts w:ascii="Century Gothic" w:eastAsia="Times New Roman" w:hAnsi="Century Gothic" w:cs="Calibri"/>
                <w:color w:val="000000"/>
                <w:sz w:val="16"/>
                <w:szCs w:val="16"/>
                <w:lang w:eastAsia="es-MX"/>
              </w:rPr>
            </w:pPr>
            <w:r w:rsidRPr="009F520A">
              <w:rPr>
                <w:rFonts w:ascii="Century Gothic" w:eastAsia="Times New Roman" w:hAnsi="Century Gothic" w:cs="Calibri"/>
                <w:color w:val="000000"/>
                <w:sz w:val="16"/>
                <w:szCs w:val="16"/>
                <w:lang w:eastAsia="es-MX"/>
              </w:rPr>
              <w:t>-</w:t>
            </w:r>
          </w:p>
        </w:tc>
        <w:tc>
          <w:tcPr>
            <w:tcW w:w="676" w:type="dxa"/>
            <w:tcBorders>
              <w:top w:val="nil"/>
              <w:left w:val="nil"/>
              <w:bottom w:val="single" w:sz="8" w:space="0" w:color="FFFFFF"/>
              <w:right w:val="single" w:sz="8" w:space="0" w:color="FFFFFF"/>
            </w:tcBorders>
            <w:shd w:val="clear" w:color="000000" w:fill="C5EAFF"/>
            <w:vAlign w:val="center"/>
            <w:hideMark/>
          </w:tcPr>
          <w:p w14:paraId="69777E3C" w14:textId="77777777" w:rsidR="00F560FD" w:rsidRPr="002C29F1" w:rsidRDefault="00F560FD" w:rsidP="006A0658">
            <w:pPr>
              <w:spacing w:before="40" w:after="40" w:line="240" w:lineRule="auto"/>
              <w:jc w:val="center"/>
              <w:rPr>
                <w:rFonts w:ascii="Century Gothic" w:eastAsia="Times New Roman" w:hAnsi="Century Gothic" w:cs="Calibri"/>
                <w:color w:val="000000"/>
                <w:sz w:val="16"/>
                <w:szCs w:val="16"/>
                <w:lang w:eastAsia="es-MX"/>
              </w:rPr>
            </w:pPr>
            <w:r w:rsidRPr="009F520A">
              <w:rPr>
                <w:rFonts w:ascii="Century Gothic" w:eastAsia="Times New Roman" w:hAnsi="Century Gothic" w:cs="Calibri"/>
                <w:color w:val="000000"/>
                <w:sz w:val="16"/>
                <w:szCs w:val="16"/>
                <w:lang w:eastAsia="es-MX"/>
              </w:rPr>
              <w:t>0</w:t>
            </w:r>
          </w:p>
        </w:tc>
        <w:tc>
          <w:tcPr>
            <w:tcW w:w="1155" w:type="dxa"/>
            <w:tcBorders>
              <w:top w:val="nil"/>
              <w:left w:val="nil"/>
              <w:bottom w:val="single" w:sz="8" w:space="0" w:color="FFFFFF"/>
              <w:right w:val="single" w:sz="8" w:space="0" w:color="FFFFFF"/>
            </w:tcBorders>
            <w:shd w:val="clear" w:color="000000" w:fill="F7CAAC"/>
            <w:vAlign w:val="center"/>
            <w:hideMark/>
          </w:tcPr>
          <w:p w14:paraId="2832C5B9" w14:textId="77777777" w:rsidR="00F560FD" w:rsidRPr="002C29F1" w:rsidRDefault="00F560FD" w:rsidP="006A0658">
            <w:pPr>
              <w:spacing w:before="40" w:after="40" w:line="240" w:lineRule="auto"/>
              <w:jc w:val="center"/>
              <w:rPr>
                <w:rFonts w:ascii="Century Gothic" w:eastAsia="Times New Roman" w:hAnsi="Century Gothic" w:cs="Calibri"/>
                <w:color w:val="000000"/>
                <w:sz w:val="16"/>
                <w:szCs w:val="16"/>
                <w:lang w:eastAsia="es-MX"/>
              </w:rPr>
            </w:pPr>
            <w:r w:rsidRPr="009F520A">
              <w:rPr>
                <w:rFonts w:ascii="Century Gothic" w:eastAsia="Times New Roman" w:hAnsi="Century Gothic" w:cs="Calibri"/>
                <w:color w:val="000000"/>
                <w:sz w:val="16"/>
                <w:szCs w:val="16"/>
                <w:lang w:eastAsia="es-MX"/>
              </w:rPr>
              <w:t>-</w:t>
            </w:r>
          </w:p>
        </w:tc>
        <w:tc>
          <w:tcPr>
            <w:tcW w:w="1155" w:type="dxa"/>
            <w:tcBorders>
              <w:top w:val="nil"/>
              <w:left w:val="nil"/>
              <w:bottom w:val="single" w:sz="8" w:space="0" w:color="FFFFFF"/>
              <w:right w:val="single" w:sz="8" w:space="0" w:color="FFFFFF"/>
            </w:tcBorders>
            <w:shd w:val="clear" w:color="000000" w:fill="F7CAAC"/>
            <w:vAlign w:val="center"/>
            <w:hideMark/>
          </w:tcPr>
          <w:p w14:paraId="3ED822B3" w14:textId="77777777" w:rsidR="00F560FD" w:rsidRPr="002C29F1" w:rsidRDefault="00F560FD" w:rsidP="006A0658">
            <w:pPr>
              <w:spacing w:before="40" w:after="40" w:line="240" w:lineRule="auto"/>
              <w:jc w:val="center"/>
              <w:rPr>
                <w:rFonts w:ascii="Century Gothic" w:eastAsia="Times New Roman" w:hAnsi="Century Gothic" w:cs="Calibri"/>
                <w:color w:val="000000"/>
                <w:sz w:val="16"/>
                <w:szCs w:val="16"/>
                <w:lang w:eastAsia="es-MX"/>
              </w:rPr>
            </w:pPr>
            <w:r w:rsidRPr="009F520A">
              <w:rPr>
                <w:rFonts w:ascii="Century Gothic" w:eastAsia="Times New Roman" w:hAnsi="Century Gothic" w:cs="Calibri"/>
                <w:color w:val="000000"/>
                <w:sz w:val="16"/>
                <w:szCs w:val="16"/>
                <w:lang w:eastAsia="es-MX"/>
              </w:rPr>
              <w:t>-</w:t>
            </w:r>
          </w:p>
        </w:tc>
        <w:tc>
          <w:tcPr>
            <w:tcW w:w="1207" w:type="dxa"/>
            <w:tcBorders>
              <w:top w:val="nil"/>
              <w:left w:val="nil"/>
              <w:bottom w:val="single" w:sz="8" w:space="0" w:color="FFFFFF"/>
              <w:right w:val="single" w:sz="8" w:space="0" w:color="FFFFFF"/>
            </w:tcBorders>
            <w:shd w:val="clear" w:color="000000" w:fill="F7CAAC"/>
            <w:vAlign w:val="center"/>
            <w:hideMark/>
          </w:tcPr>
          <w:p w14:paraId="04B7F45D" w14:textId="77777777" w:rsidR="00F560FD" w:rsidRPr="002C29F1" w:rsidRDefault="00F560FD" w:rsidP="006A0658">
            <w:pPr>
              <w:spacing w:before="40" w:after="40" w:line="240" w:lineRule="auto"/>
              <w:jc w:val="center"/>
              <w:rPr>
                <w:rFonts w:ascii="Century Gothic" w:eastAsia="Times New Roman" w:hAnsi="Century Gothic" w:cs="Calibri"/>
                <w:color w:val="000000"/>
                <w:sz w:val="16"/>
                <w:szCs w:val="16"/>
                <w:lang w:eastAsia="es-MX"/>
              </w:rPr>
            </w:pPr>
            <w:r w:rsidRPr="009F520A">
              <w:rPr>
                <w:rFonts w:ascii="Century Gothic" w:eastAsia="Times New Roman" w:hAnsi="Century Gothic" w:cs="Calibri"/>
                <w:color w:val="000000"/>
                <w:sz w:val="16"/>
                <w:szCs w:val="16"/>
                <w:lang w:eastAsia="es-MX"/>
              </w:rPr>
              <w:t>0</w:t>
            </w:r>
          </w:p>
        </w:tc>
      </w:tr>
      <w:tr w:rsidR="00F560FD" w:rsidRPr="002C29F1" w14:paraId="48B6CC80" w14:textId="77777777" w:rsidTr="006A0658">
        <w:trPr>
          <w:trHeight w:val="555"/>
          <w:jc w:val="center"/>
        </w:trPr>
        <w:tc>
          <w:tcPr>
            <w:tcW w:w="572" w:type="dxa"/>
            <w:tcBorders>
              <w:top w:val="nil"/>
              <w:left w:val="single" w:sz="8" w:space="0" w:color="FFFFFF"/>
              <w:bottom w:val="single" w:sz="8" w:space="0" w:color="FFFFFF"/>
              <w:right w:val="single" w:sz="8" w:space="0" w:color="FFFFFF"/>
            </w:tcBorders>
            <w:shd w:val="clear" w:color="000000" w:fill="F2F2F2"/>
            <w:noWrap/>
            <w:vAlign w:val="center"/>
            <w:hideMark/>
          </w:tcPr>
          <w:p w14:paraId="7715AC2F" w14:textId="77777777" w:rsidR="00F560FD" w:rsidRPr="002C29F1" w:rsidRDefault="00F560FD" w:rsidP="006A0658">
            <w:pPr>
              <w:spacing w:before="40" w:after="40" w:line="240" w:lineRule="auto"/>
              <w:jc w:val="center"/>
              <w:rPr>
                <w:rFonts w:ascii="Century Gothic" w:eastAsia="Times New Roman" w:hAnsi="Century Gothic" w:cs="Calibri"/>
                <w:color w:val="000000"/>
                <w:sz w:val="16"/>
                <w:szCs w:val="16"/>
                <w:lang w:eastAsia="es-MX"/>
              </w:rPr>
            </w:pPr>
            <w:r w:rsidRPr="002C29F1">
              <w:rPr>
                <w:rFonts w:ascii="Century Gothic" w:eastAsia="Times New Roman" w:hAnsi="Century Gothic" w:cs="Calibri"/>
                <w:color w:val="000000"/>
                <w:sz w:val="16"/>
                <w:szCs w:val="16"/>
                <w:lang w:eastAsia="es-MX"/>
              </w:rPr>
              <w:t>DGES</w:t>
            </w:r>
          </w:p>
        </w:tc>
        <w:tc>
          <w:tcPr>
            <w:tcW w:w="5088" w:type="dxa"/>
            <w:tcBorders>
              <w:top w:val="nil"/>
              <w:left w:val="nil"/>
              <w:bottom w:val="single" w:sz="8" w:space="0" w:color="FFFFFF"/>
              <w:right w:val="single" w:sz="8" w:space="0" w:color="FFFFFF"/>
            </w:tcBorders>
            <w:shd w:val="clear" w:color="000000" w:fill="F2F2F2"/>
            <w:vAlign w:val="center"/>
            <w:hideMark/>
          </w:tcPr>
          <w:p w14:paraId="157B6BDB" w14:textId="77777777" w:rsidR="00F560FD" w:rsidRPr="002C29F1" w:rsidRDefault="00F560FD" w:rsidP="006A0658">
            <w:pPr>
              <w:spacing w:before="40" w:after="40" w:line="240" w:lineRule="auto"/>
              <w:rPr>
                <w:rFonts w:ascii="Century Gothic" w:eastAsia="Times New Roman" w:hAnsi="Century Gothic" w:cs="Calibri"/>
                <w:color w:val="000000"/>
                <w:sz w:val="16"/>
                <w:szCs w:val="16"/>
                <w:lang w:eastAsia="es-MX"/>
              </w:rPr>
            </w:pPr>
            <w:r w:rsidRPr="002C29F1">
              <w:rPr>
                <w:rFonts w:ascii="Century Gothic" w:eastAsia="Times New Roman" w:hAnsi="Century Gothic" w:cs="Calibri"/>
                <w:color w:val="000000"/>
                <w:sz w:val="16"/>
                <w:szCs w:val="16"/>
                <w:lang w:eastAsia="es-MX"/>
              </w:rPr>
              <w:t>Estadísticas de Defunciones Registradas</w:t>
            </w:r>
          </w:p>
        </w:tc>
        <w:tc>
          <w:tcPr>
            <w:tcW w:w="993" w:type="dxa"/>
            <w:tcBorders>
              <w:top w:val="nil"/>
              <w:left w:val="nil"/>
              <w:bottom w:val="single" w:sz="8" w:space="0" w:color="FFFFFF"/>
              <w:right w:val="single" w:sz="8" w:space="0" w:color="FFFFFF"/>
            </w:tcBorders>
            <w:shd w:val="clear" w:color="000000" w:fill="F2F2F2"/>
            <w:vAlign w:val="center"/>
            <w:hideMark/>
          </w:tcPr>
          <w:p w14:paraId="3AE56FE0" w14:textId="77777777" w:rsidR="00F560FD" w:rsidRPr="002C29F1" w:rsidRDefault="00F560FD" w:rsidP="006A0658">
            <w:pPr>
              <w:spacing w:before="40" w:after="40" w:line="240" w:lineRule="auto"/>
              <w:rPr>
                <w:rFonts w:ascii="Century Gothic" w:eastAsia="Times New Roman" w:hAnsi="Century Gothic" w:cs="Calibri"/>
                <w:color w:val="000000"/>
                <w:sz w:val="16"/>
                <w:szCs w:val="16"/>
                <w:lang w:eastAsia="es-MX"/>
              </w:rPr>
            </w:pPr>
            <w:r w:rsidRPr="002C29F1">
              <w:rPr>
                <w:rFonts w:ascii="Century Gothic" w:eastAsia="Times New Roman" w:hAnsi="Century Gothic" w:cs="Calibri"/>
                <w:color w:val="000000"/>
                <w:sz w:val="16"/>
                <w:szCs w:val="16"/>
                <w:lang w:eastAsia="es-MX"/>
              </w:rPr>
              <w:t>EDR</w:t>
            </w:r>
          </w:p>
        </w:tc>
        <w:tc>
          <w:tcPr>
            <w:tcW w:w="708" w:type="dxa"/>
            <w:tcBorders>
              <w:top w:val="nil"/>
              <w:left w:val="nil"/>
              <w:bottom w:val="single" w:sz="8" w:space="0" w:color="FFFFFF"/>
              <w:right w:val="single" w:sz="8" w:space="0" w:color="FFFFFF"/>
            </w:tcBorders>
            <w:shd w:val="clear" w:color="000000" w:fill="F2F2F2"/>
            <w:vAlign w:val="center"/>
            <w:hideMark/>
          </w:tcPr>
          <w:p w14:paraId="0F01AA83" w14:textId="77777777" w:rsidR="00F560FD" w:rsidRPr="002C29F1" w:rsidRDefault="00F560FD" w:rsidP="006A0658">
            <w:pPr>
              <w:spacing w:before="40" w:after="40" w:line="240" w:lineRule="auto"/>
              <w:jc w:val="center"/>
              <w:rPr>
                <w:rFonts w:ascii="Century Gothic" w:eastAsia="Times New Roman" w:hAnsi="Century Gothic" w:cs="Calibri"/>
                <w:color w:val="000000"/>
                <w:sz w:val="16"/>
                <w:szCs w:val="16"/>
                <w:lang w:eastAsia="es-MX"/>
              </w:rPr>
            </w:pPr>
            <w:r w:rsidRPr="002C29F1">
              <w:rPr>
                <w:rFonts w:ascii="Century Gothic" w:eastAsia="Times New Roman" w:hAnsi="Century Gothic" w:cs="Calibri"/>
                <w:color w:val="000000"/>
                <w:sz w:val="16"/>
                <w:szCs w:val="16"/>
                <w:lang w:eastAsia="es-MX"/>
              </w:rPr>
              <w:t>33</w:t>
            </w:r>
          </w:p>
        </w:tc>
        <w:tc>
          <w:tcPr>
            <w:tcW w:w="567" w:type="dxa"/>
            <w:tcBorders>
              <w:top w:val="nil"/>
              <w:left w:val="nil"/>
              <w:bottom w:val="single" w:sz="8" w:space="0" w:color="FFFFFF"/>
              <w:right w:val="single" w:sz="8" w:space="0" w:color="FFFFFF"/>
            </w:tcBorders>
            <w:shd w:val="clear" w:color="000000" w:fill="F2F2F2"/>
            <w:vAlign w:val="center"/>
            <w:hideMark/>
          </w:tcPr>
          <w:p w14:paraId="4DF717AA" w14:textId="77777777" w:rsidR="00F560FD" w:rsidRPr="002C29F1" w:rsidRDefault="00F560FD" w:rsidP="006A0658">
            <w:pPr>
              <w:spacing w:before="40" w:after="40" w:line="240" w:lineRule="auto"/>
              <w:jc w:val="center"/>
              <w:rPr>
                <w:rFonts w:ascii="Century Gothic" w:eastAsia="Times New Roman" w:hAnsi="Century Gothic" w:cs="Calibri"/>
                <w:color w:val="000000"/>
                <w:sz w:val="16"/>
                <w:szCs w:val="16"/>
                <w:lang w:eastAsia="es-MX"/>
              </w:rPr>
            </w:pPr>
            <w:r w:rsidRPr="002C29F1">
              <w:rPr>
                <w:rFonts w:ascii="Century Gothic" w:eastAsia="Times New Roman" w:hAnsi="Century Gothic" w:cs="Calibri"/>
                <w:color w:val="000000"/>
                <w:sz w:val="16"/>
                <w:szCs w:val="16"/>
                <w:lang w:eastAsia="es-MX"/>
              </w:rPr>
              <w:t>33</w:t>
            </w:r>
          </w:p>
        </w:tc>
        <w:tc>
          <w:tcPr>
            <w:tcW w:w="709" w:type="dxa"/>
            <w:tcBorders>
              <w:top w:val="nil"/>
              <w:left w:val="nil"/>
              <w:bottom w:val="single" w:sz="8" w:space="0" w:color="FFFFFF"/>
              <w:right w:val="single" w:sz="8" w:space="0" w:color="FFFFFF"/>
            </w:tcBorders>
            <w:shd w:val="clear" w:color="000000" w:fill="F2F2F2"/>
            <w:vAlign w:val="center"/>
            <w:hideMark/>
          </w:tcPr>
          <w:p w14:paraId="1B53B7D1" w14:textId="77777777" w:rsidR="00F560FD" w:rsidRPr="002C29F1" w:rsidRDefault="00F560FD" w:rsidP="006A0658">
            <w:pPr>
              <w:spacing w:before="40" w:after="40" w:line="240" w:lineRule="auto"/>
              <w:jc w:val="center"/>
              <w:rPr>
                <w:rFonts w:ascii="Century Gothic" w:eastAsia="Times New Roman" w:hAnsi="Century Gothic" w:cs="Calibri"/>
                <w:color w:val="000000"/>
                <w:sz w:val="16"/>
                <w:szCs w:val="16"/>
                <w:lang w:eastAsia="es-MX"/>
              </w:rPr>
            </w:pPr>
            <w:r w:rsidRPr="002C29F1">
              <w:rPr>
                <w:rFonts w:ascii="Century Gothic" w:eastAsia="Times New Roman" w:hAnsi="Century Gothic" w:cs="Calibri"/>
                <w:color w:val="000000"/>
                <w:sz w:val="16"/>
                <w:szCs w:val="16"/>
                <w:lang w:eastAsia="es-MX"/>
              </w:rPr>
              <w:t>33</w:t>
            </w:r>
          </w:p>
        </w:tc>
        <w:tc>
          <w:tcPr>
            <w:tcW w:w="709" w:type="dxa"/>
            <w:tcBorders>
              <w:top w:val="nil"/>
              <w:left w:val="nil"/>
              <w:bottom w:val="single" w:sz="8" w:space="0" w:color="FFFFFF"/>
              <w:right w:val="single" w:sz="8" w:space="0" w:color="FFFFFF"/>
            </w:tcBorders>
            <w:shd w:val="clear" w:color="000000" w:fill="E1F4FF"/>
            <w:vAlign w:val="center"/>
            <w:hideMark/>
          </w:tcPr>
          <w:p w14:paraId="75BF8558" w14:textId="77777777" w:rsidR="00F560FD" w:rsidRPr="002C29F1" w:rsidRDefault="00F560FD" w:rsidP="006A0658">
            <w:pPr>
              <w:spacing w:before="40" w:after="40" w:line="240" w:lineRule="auto"/>
              <w:jc w:val="center"/>
              <w:rPr>
                <w:rFonts w:ascii="Century Gothic" w:eastAsia="Times New Roman" w:hAnsi="Century Gothic" w:cs="Calibri"/>
                <w:color w:val="000000"/>
                <w:sz w:val="16"/>
                <w:szCs w:val="16"/>
                <w:lang w:eastAsia="es-MX"/>
              </w:rPr>
            </w:pPr>
            <w:r w:rsidRPr="009F520A">
              <w:rPr>
                <w:rFonts w:ascii="Century Gothic" w:eastAsia="Times New Roman" w:hAnsi="Century Gothic" w:cs="Calibri"/>
                <w:color w:val="000000"/>
                <w:sz w:val="16"/>
                <w:szCs w:val="16"/>
                <w:lang w:eastAsia="es-MX"/>
              </w:rPr>
              <w:t>0</w:t>
            </w:r>
          </w:p>
        </w:tc>
        <w:tc>
          <w:tcPr>
            <w:tcW w:w="841" w:type="dxa"/>
            <w:tcBorders>
              <w:top w:val="nil"/>
              <w:left w:val="nil"/>
              <w:bottom w:val="single" w:sz="8" w:space="0" w:color="FFFFFF"/>
              <w:right w:val="single" w:sz="8" w:space="0" w:color="FFFFFF"/>
            </w:tcBorders>
            <w:shd w:val="clear" w:color="000000" w:fill="E1F4FF"/>
            <w:vAlign w:val="center"/>
            <w:hideMark/>
          </w:tcPr>
          <w:p w14:paraId="4F6B788E" w14:textId="77777777" w:rsidR="00F560FD" w:rsidRPr="002C29F1" w:rsidRDefault="00F560FD" w:rsidP="006A0658">
            <w:pPr>
              <w:spacing w:before="40" w:after="40" w:line="240" w:lineRule="auto"/>
              <w:jc w:val="center"/>
              <w:rPr>
                <w:rFonts w:ascii="Century Gothic" w:eastAsia="Times New Roman" w:hAnsi="Century Gothic" w:cs="Calibri"/>
                <w:color w:val="000000"/>
                <w:sz w:val="16"/>
                <w:szCs w:val="16"/>
                <w:lang w:eastAsia="es-MX"/>
              </w:rPr>
            </w:pPr>
            <w:r w:rsidRPr="009F520A">
              <w:rPr>
                <w:rFonts w:ascii="Century Gothic" w:eastAsia="Times New Roman" w:hAnsi="Century Gothic" w:cs="Calibri"/>
                <w:color w:val="000000"/>
                <w:sz w:val="16"/>
                <w:szCs w:val="16"/>
                <w:lang w:eastAsia="es-MX"/>
              </w:rPr>
              <w:t>0</w:t>
            </w:r>
          </w:p>
        </w:tc>
        <w:tc>
          <w:tcPr>
            <w:tcW w:w="676" w:type="dxa"/>
            <w:tcBorders>
              <w:top w:val="nil"/>
              <w:left w:val="nil"/>
              <w:bottom w:val="single" w:sz="8" w:space="0" w:color="FFFFFF"/>
              <w:right w:val="single" w:sz="8" w:space="0" w:color="FFFFFF"/>
            </w:tcBorders>
            <w:shd w:val="clear" w:color="000000" w:fill="E1F4FF"/>
            <w:vAlign w:val="center"/>
            <w:hideMark/>
          </w:tcPr>
          <w:p w14:paraId="68FCB587" w14:textId="77777777" w:rsidR="00F560FD" w:rsidRPr="002C29F1" w:rsidRDefault="00F560FD" w:rsidP="006A0658">
            <w:pPr>
              <w:spacing w:before="40" w:after="40" w:line="240" w:lineRule="auto"/>
              <w:jc w:val="center"/>
              <w:rPr>
                <w:rFonts w:ascii="Century Gothic" w:eastAsia="Times New Roman" w:hAnsi="Century Gothic" w:cs="Calibri"/>
                <w:b/>
                <w:bCs/>
                <w:color w:val="C00000"/>
                <w:sz w:val="16"/>
                <w:szCs w:val="16"/>
                <w:lang w:eastAsia="es-MX"/>
              </w:rPr>
            </w:pPr>
            <w:r w:rsidRPr="009F520A">
              <w:rPr>
                <w:rFonts w:ascii="Century Gothic" w:eastAsia="Times New Roman" w:hAnsi="Century Gothic" w:cs="Calibri"/>
                <w:color w:val="000000"/>
                <w:sz w:val="16"/>
                <w:szCs w:val="16"/>
                <w:lang w:eastAsia="es-MX"/>
              </w:rPr>
              <w:t>0</w:t>
            </w:r>
          </w:p>
        </w:tc>
        <w:tc>
          <w:tcPr>
            <w:tcW w:w="1155" w:type="dxa"/>
            <w:tcBorders>
              <w:top w:val="nil"/>
              <w:left w:val="nil"/>
              <w:bottom w:val="single" w:sz="8" w:space="0" w:color="FFFFFF"/>
              <w:right w:val="single" w:sz="8" w:space="0" w:color="FFFFFF"/>
            </w:tcBorders>
            <w:shd w:val="clear" w:color="000000" w:fill="FBE4D5"/>
            <w:vAlign w:val="center"/>
            <w:hideMark/>
          </w:tcPr>
          <w:p w14:paraId="41CCE2FF" w14:textId="77777777" w:rsidR="00F560FD" w:rsidRPr="002C29F1" w:rsidRDefault="00F560FD" w:rsidP="006A0658">
            <w:pPr>
              <w:spacing w:before="40" w:after="40" w:line="240" w:lineRule="auto"/>
              <w:jc w:val="center"/>
              <w:rPr>
                <w:rFonts w:ascii="Century Gothic" w:eastAsia="Times New Roman" w:hAnsi="Century Gothic" w:cs="Calibri"/>
                <w:color w:val="000000"/>
                <w:sz w:val="16"/>
                <w:szCs w:val="16"/>
                <w:lang w:eastAsia="es-MX"/>
              </w:rPr>
            </w:pPr>
            <w:r w:rsidRPr="009F520A">
              <w:rPr>
                <w:rFonts w:ascii="Century Gothic" w:eastAsia="Times New Roman" w:hAnsi="Century Gothic" w:cs="Calibri"/>
                <w:color w:val="000000"/>
                <w:sz w:val="16"/>
                <w:szCs w:val="16"/>
                <w:lang w:eastAsia="es-MX"/>
              </w:rPr>
              <w:t>0</w:t>
            </w:r>
          </w:p>
        </w:tc>
        <w:tc>
          <w:tcPr>
            <w:tcW w:w="1155" w:type="dxa"/>
            <w:tcBorders>
              <w:top w:val="nil"/>
              <w:left w:val="nil"/>
              <w:bottom w:val="single" w:sz="8" w:space="0" w:color="FFFFFF"/>
              <w:right w:val="single" w:sz="8" w:space="0" w:color="FFFFFF"/>
            </w:tcBorders>
            <w:shd w:val="clear" w:color="000000" w:fill="FBE4D5"/>
            <w:vAlign w:val="center"/>
            <w:hideMark/>
          </w:tcPr>
          <w:p w14:paraId="6C2D1A24" w14:textId="77777777" w:rsidR="00F560FD" w:rsidRPr="002C29F1" w:rsidRDefault="00F560FD" w:rsidP="006A0658">
            <w:pPr>
              <w:spacing w:before="40" w:after="40" w:line="240" w:lineRule="auto"/>
              <w:jc w:val="center"/>
              <w:rPr>
                <w:rFonts w:ascii="Century Gothic" w:eastAsia="Times New Roman" w:hAnsi="Century Gothic" w:cs="Calibri"/>
                <w:color w:val="000000"/>
                <w:sz w:val="16"/>
                <w:szCs w:val="16"/>
                <w:lang w:eastAsia="es-MX"/>
              </w:rPr>
            </w:pPr>
            <w:r w:rsidRPr="009F520A">
              <w:rPr>
                <w:rFonts w:ascii="Century Gothic" w:eastAsia="Times New Roman" w:hAnsi="Century Gothic" w:cs="Calibri"/>
                <w:color w:val="000000"/>
                <w:sz w:val="16"/>
                <w:szCs w:val="16"/>
                <w:lang w:eastAsia="es-MX"/>
              </w:rPr>
              <w:t>0</w:t>
            </w:r>
          </w:p>
        </w:tc>
        <w:tc>
          <w:tcPr>
            <w:tcW w:w="1207" w:type="dxa"/>
            <w:tcBorders>
              <w:top w:val="nil"/>
              <w:left w:val="nil"/>
              <w:bottom w:val="single" w:sz="8" w:space="0" w:color="FFFFFF"/>
              <w:right w:val="single" w:sz="8" w:space="0" w:color="FFFFFF"/>
            </w:tcBorders>
            <w:shd w:val="clear" w:color="000000" w:fill="FBE4D5"/>
            <w:vAlign w:val="center"/>
            <w:hideMark/>
          </w:tcPr>
          <w:p w14:paraId="1950B830" w14:textId="77777777" w:rsidR="00F560FD" w:rsidRPr="002C29F1" w:rsidRDefault="00F560FD" w:rsidP="006A0658">
            <w:pPr>
              <w:spacing w:before="40" w:after="40" w:line="240" w:lineRule="auto"/>
              <w:jc w:val="center"/>
              <w:rPr>
                <w:rFonts w:ascii="Century Gothic" w:eastAsia="Times New Roman" w:hAnsi="Century Gothic" w:cs="Calibri"/>
                <w:color w:val="000000"/>
                <w:sz w:val="16"/>
                <w:szCs w:val="16"/>
                <w:lang w:eastAsia="es-MX"/>
              </w:rPr>
            </w:pPr>
            <w:r w:rsidRPr="009F520A">
              <w:rPr>
                <w:rFonts w:ascii="Century Gothic" w:eastAsia="Times New Roman" w:hAnsi="Century Gothic" w:cs="Calibri"/>
                <w:color w:val="000000"/>
                <w:sz w:val="16"/>
                <w:szCs w:val="16"/>
                <w:lang w:eastAsia="es-MX"/>
              </w:rPr>
              <w:t>0</w:t>
            </w:r>
          </w:p>
        </w:tc>
      </w:tr>
      <w:tr w:rsidR="00F560FD" w:rsidRPr="002C29F1" w14:paraId="22C9CFF7" w14:textId="77777777" w:rsidTr="006A0658">
        <w:trPr>
          <w:trHeight w:val="555"/>
          <w:jc w:val="center"/>
        </w:trPr>
        <w:tc>
          <w:tcPr>
            <w:tcW w:w="572" w:type="dxa"/>
            <w:tcBorders>
              <w:top w:val="nil"/>
              <w:left w:val="single" w:sz="8" w:space="0" w:color="FFFFFF"/>
              <w:bottom w:val="single" w:sz="8" w:space="0" w:color="FFFFFF"/>
              <w:right w:val="single" w:sz="8" w:space="0" w:color="FFFFFF"/>
            </w:tcBorders>
            <w:shd w:val="clear" w:color="000000" w:fill="F2F2F2"/>
            <w:noWrap/>
            <w:vAlign w:val="center"/>
            <w:hideMark/>
          </w:tcPr>
          <w:p w14:paraId="27D013C8" w14:textId="77777777" w:rsidR="00F560FD" w:rsidRPr="002C29F1" w:rsidRDefault="00F560FD" w:rsidP="006A0658">
            <w:pPr>
              <w:spacing w:before="40" w:after="40" w:line="240" w:lineRule="auto"/>
              <w:jc w:val="center"/>
              <w:rPr>
                <w:rFonts w:ascii="Century Gothic" w:eastAsia="Times New Roman" w:hAnsi="Century Gothic" w:cs="Calibri"/>
                <w:color w:val="000000"/>
                <w:sz w:val="16"/>
                <w:szCs w:val="16"/>
                <w:lang w:eastAsia="es-MX"/>
              </w:rPr>
            </w:pPr>
            <w:r w:rsidRPr="002C29F1">
              <w:rPr>
                <w:rFonts w:ascii="Century Gothic" w:eastAsia="Times New Roman" w:hAnsi="Century Gothic" w:cs="Calibri"/>
                <w:color w:val="000000"/>
                <w:sz w:val="16"/>
                <w:szCs w:val="16"/>
                <w:lang w:eastAsia="es-MX"/>
              </w:rPr>
              <w:t>DGES</w:t>
            </w:r>
          </w:p>
        </w:tc>
        <w:tc>
          <w:tcPr>
            <w:tcW w:w="5088" w:type="dxa"/>
            <w:tcBorders>
              <w:top w:val="nil"/>
              <w:left w:val="nil"/>
              <w:bottom w:val="single" w:sz="8" w:space="0" w:color="FFFFFF"/>
              <w:right w:val="single" w:sz="8" w:space="0" w:color="FFFFFF"/>
            </w:tcBorders>
            <w:shd w:val="clear" w:color="000000" w:fill="F2F2F2"/>
            <w:vAlign w:val="center"/>
            <w:hideMark/>
          </w:tcPr>
          <w:p w14:paraId="7493ABDB" w14:textId="77777777" w:rsidR="00F560FD" w:rsidRPr="002C29F1" w:rsidRDefault="00F560FD" w:rsidP="006A0658">
            <w:pPr>
              <w:spacing w:before="40" w:after="40" w:line="240" w:lineRule="auto"/>
              <w:rPr>
                <w:rFonts w:ascii="Century Gothic" w:eastAsia="Times New Roman" w:hAnsi="Century Gothic" w:cs="Calibri"/>
                <w:color w:val="000000"/>
                <w:sz w:val="16"/>
                <w:szCs w:val="16"/>
                <w:lang w:eastAsia="es-MX"/>
              </w:rPr>
            </w:pPr>
            <w:r w:rsidRPr="002C29F1">
              <w:rPr>
                <w:rFonts w:ascii="Century Gothic" w:eastAsia="Times New Roman" w:hAnsi="Century Gothic" w:cs="Calibri"/>
                <w:color w:val="000000"/>
                <w:sz w:val="16"/>
                <w:szCs w:val="16"/>
                <w:lang w:eastAsia="es-MX"/>
              </w:rPr>
              <w:t>Estadísticas de Defunciones Fetales</w:t>
            </w:r>
          </w:p>
        </w:tc>
        <w:tc>
          <w:tcPr>
            <w:tcW w:w="993" w:type="dxa"/>
            <w:tcBorders>
              <w:top w:val="nil"/>
              <w:left w:val="nil"/>
              <w:bottom w:val="single" w:sz="8" w:space="0" w:color="FFFFFF"/>
              <w:right w:val="single" w:sz="8" w:space="0" w:color="FFFFFF"/>
            </w:tcBorders>
            <w:shd w:val="clear" w:color="000000" w:fill="F2F2F2"/>
            <w:vAlign w:val="center"/>
            <w:hideMark/>
          </w:tcPr>
          <w:p w14:paraId="6034E658" w14:textId="77777777" w:rsidR="00F560FD" w:rsidRPr="002C29F1" w:rsidRDefault="00F560FD" w:rsidP="006A0658">
            <w:pPr>
              <w:spacing w:before="40" w:after="40" w:line="240" w:lineRule="auto"/>
              <w:rPr>
                <w:rFonts w:ascii="Century Gothic" w:eastAsia="Times New Roman" w:hAnsi="Century Gothic" w:cs="Calibri"/>
                <w:color w:val="000000"/>
                <w:sz w:val="16"/>
                <w:szCs w:val="16"/>
                <w:lang w:eastAsia="es-MX"/>
              </w:rPr>
            </w:pPr>
            <w:r w:rsidRPr="002C29F1">
              <w:rPr>
                <w:rFonts w:ascii="Century Gothic" w:eastAsia="Times New Roman" w:hAnsi="Century Gothic" w:cs="Calibri"/>
                <w:color w:val="000000"/>
                <w:sz w:val="16"/>
                <w:szCs w:val="16"/>
                <w:lang w:eastAsia="es-MX"/>
              </w:rPr>
              <w:t>EDF</w:t>
            </w:r>
          </w:p>
        </w:tc>
        <w:tc>
          <w:tcPr>
            <w:tcW w:w="708" w:type="dxa"/>
            <w:tcBorders>
              <w:top w:val="nil"/>
              <w:left w:val="nil"/>
              <w:bottom w:val="single" w:sz="8" w:space="0" w:color="FFFFFF"/>
              <w:right w:val="single" w:sz="8" w:space="0" w:color="FFFFFF"/>
            </w:tcBorders>
            <w:shd w:val="clear" w:color="000000" w:fill="F2F2F2"/>
            <w:vAlign w:val="center"/>
            <w:hideMark/>
          </w:tcPr>
          <w:p w14:paraId="6875AC7C" w14:textId="77777777" w:rsidR="00F560FD" w:rsidRPr="002C29F1" w:rsidRDefault="00F560FD" w:rsidP="006A0658">
            <w:pPr>
              <w:spacing w:before="40" w:after="40" w:line="240" w:lineRule="auto"/>
              <w:jc w:val="center"/>
              <w:rPr>
                <w:rFonts w:ascii="Century Gothic" w:eastAsia="Times New Roman" w:hAnsi="Century Gothic" w:cs="Calibri"/>
                <w:color w:val="000000"/>
                <w:sz w:val="16"/>
                <w:szCs w:val="16"/>
                <w:lang w:eastAsia="es-MX"/>
              </w:rPr>
            </w:pPr>
            <w:r w:rsidRPr="002C29F1">
              <w:rPr>
                <w:rFonts w:ascii="Century Gothic" w:eastAsia="Times New Roman" w:hAnsi="Century Gothic" w:cs="Calibri"/>
                <w:color w:val="000000"/>
                <w:sz w:val="16"/>
                <w:szCs w:val="16"/>
                <w:lang w:eastAsia="es-MX"/>
              </w:rPr>
              <w:t>33</w:t>
            </w:r>
          </w:p>
        </w:tc>
        <w:tc>
          <w:tcPr>
            <w:tcW w:w="567" w:type="dxa"/>
            <w:tcBorders>
              <w:top w:val="nil"/>
              <w:left w:val="nil"/>
              <w:bottom w:val="single" w:sz="8" w:space="0" w:color="FFFFFF"/>
              <w:right w:val="single" w:sz="8" w:space="0" w:color="FFFFFF"/>
            </w:tcBorders>
            <w:shd w:val="clear" w:color="000000" w:fill="F2F2F2"/>
            <w:vAlign w:val="center"/>
            <w:hideMark/>
          </w:tcPr>
          <w:p w14:paraId="05670E2E" w14:textId="77777777" w:rsidR="00F560FD" w:rsidRPr="002C29F1" w:rsidRDefault="00F560FD" w:rsidP="006A0658">
            <w:pPr>
              <w:spacing w:before="40" w:after="40" w:line="240" w:lineRule="auto"/>
              <w:jc w:val="center"/>
              <w:rPr>
                <w:rFonts w:ascii="Century Gothic" w:eastAsia="Times New Roman" w:hAnsi="Century Gothic" w:cs="Calibri"/>
                <w:color w:val="000000"/>
                <w:sz w:val="16"/>
                <w:szCs w:val="16"/>
                <w:lang w:eastAsia="es-MX"/>
              </w:rPr>
            </w:pPr>
            <w:r w:rsidRPr="002C29F1">
              <w:rPr>
                <w:rFonts w:ascii="Century Gothic" w:eastAsia="Times New Roman" w:hAnsi="Century Gothic" w:cs="Calibri"/>
                <w:color w:val="000000"/>
                <w:sz w:val="16"/>
                <w:szCs w:val="16"/>
                <w:lang w:eastAsia="es-MX"/>
              </w:rPr>
              <w:t>-</w:t>
            </w:r>
          </w:p>
        </w:tc>
        <w:tc>
          <w:tcPr>
            <w:tcW w:w="709" w:type="dxa"/>
            <w:tcBorders>
              <w:top w:val="nil"/>
              <w:left w:val="nil"/>
              <w:bottom w:val="single" w:sz="8" w:space="0" w:color="FFFFFF"/>
              <w:right w:val="single" w:sz="8" w:space="0" w:color="FFFFFF"/>
            </w:tcBorders>
            <w:shd w:val="clear" w:color="000000" w:fill="F2F2F2"/>
            <w:vAlign w:val="center"/>
            <w:hideMark/>
          </w:tcPr>
          <w:p w14:paraId="5D97BB39" w14:textId="77777777" w:rsidR="00F560FD" w:rsidRPr="002C29F1" w:rsidRDefault="00F560FD" w:rsidP="006A0658">
            <w:pPr>
              <w:spacing w:before="40" w:after="40" w:line="240" w:lineRule="auto"/>
              <w:jc w:val="center"/>
              <w:rPr>
                <w:rFonts w:ascii="Century Gothic" w:eastAsia="Times New Roman" w:hAnsi="Century Gothic" w:cs="Calibri"/>
                <w:color w:val="000000"/>
                <w:sz w:val="16"/>
                <w:szCs w:val="16"/>
                <w:lang w:eastAsia="es-MX"/>
              </w:rPr>
            </w:pPr>
            <w:r w:rsidRPr="002C29F1">
              <w:rPr>
                <w:rFonts w:ascii="Century Gothic" w:eastAsia="Times New Roman" w:hAnsi="Century Gothic" w:cs="Calibri"/>
                <w:color w:val="000000"/>
                <w:sz w:val="16"/>
                <w:szCs w:val="16"/>
                <w:lang w:eastAsia="es-MX"/>
              </w:rPr>
              <w:t>33</w:t>
            </w:r>
          </w:p>
        </w:tc>
        <w:tc>
          <w:tcPr>
            <w:tcW w:w="709" w:type="dxa"/>
            <w:tcBorders>
              <w:top w:val="nil"/>
              <w:left w:val="nil"/>
              <w:bottom w:val="single" w:sz="8" w:space="0" w:color="FFFFFF"/>
              <w:right w:val="single" w:sz="8" w:space="0" w:color="FFFFFF"/>
            </w:tcBorders>
            <w:shd w:val="clear" w:color="000000" w:fill="E1F4FF"/>
            <w:vAlign w:val="center"/>
            <w:hideMark/>
          </w:tcPr>
          <w:p w14:paraId="20F6629C" w14:textId="77777777" w:rsidR="00F560FD" w:rsidRPr="002C29F1" w:rsidRDefault="00F560FD" w:rsidP="006A0658">
            <w:pPr>
              <w:spacing w:before="40" w:after="40" w:line="240" w:lineRule="auto"/>
              <w:jc w:val="center"/>
              <w:rPr>
                <w:rFonts w:ascii="Century Gothic" w:eastAsia="Times New Roman" w:hAnsi="Century Gothic" w:cs="Calibri"/>
                <w:color w:val="000000"/>
                <w:sz w:val="16"/>
                <w:szCs w:val="16"/>
                <w:lang w:eastAsia="es-MX"/>
              </w:rPr>
            </w:pPr>
            <w:r w:rsidRPr="009F520A">
              <w:rPr>
                <w:rFonts w:ascii="Century Gothic" w:eastAsia="Times New Roman" w:hAnsi="Century Gothic" w:cs="Calibri"/>
                <w:color w:val="000000"/>
                <w:sz w:val="16"/>
                <w:szCs w:val="16"/>
                <w:lang w:eastAsia="es-MX"/>
              </w:rPr>
              <w:t>0</w:t>
            </w:r>
          </w:p>
        </w:tc>
        <w:tc>
          <w:tcPr>
            <w:tcW w:w="841" w:type="dxa"/>
            <w:tcBorders>
              <w:top w:val="nil"/>
              <w:left w:val="nil"/>
              <w:bottom w:val="single" w:sz="8" w:space="0" w:color="FFFFFF"/>
              <w:right w:val="single" w:sz="8" w:space="0" w:color="FFFFFF"/>
            </w:tcBorders>
            <w:shd w:val="clear" w:color="000000" w:fill="E1F4FF"/>
            <w:vAlign w:val="center"/>
            <w:hideMark/>
          </w:tcPr>
          <w:p w14:paraId="2731B98A" w14:textId="77777777" w:rsidR="00F560FD" w:rsidRPr="002C29F1" w:rsidRDefault="00F560FD" w:rsidP="006A0658">
            <w:pPr>
              <w:spacing w:before="40" w:after="40" w:line="240" w:lineRule="auto"/>
              <w:jc w:val="center"/>
              <w:rPr>
                <w:rFonts w:ascii="Century Gothic" w:eastAsia="Times New Roman" w:hAnsi="Century Gothic" w:cs="Calibri"/>
                <w:color w:val="000000"/>
                <w:sz w:val="16"/>
                <w:szCs w:val="16"/>
                <w:lang w:eastAsia="es-MX"/>
              </w:rPr>
            </w:pPr>
            <w:r w:rsidRPr="009F520A">
              <w:rPr>
                <w:rFonts w:ascii="Century Gothic" w:eastAsia="Times New Roman" w:hAnsi="Century Gothic" w:cs="Calibri"/>
                <w:color w:val="000000"/>
                <w:sz w:val="16"/>
                <w:szCs w:val="16"/>
                <w:lang w:eastAsia="es-MX"/>
              </w:rPr>
              <w:t>-</w:t>
            </w:r>
          </w:p>
        </w:tc>
        <w:tc>
          <w:tcPr>
            <w:tcW w:w="676" w:type="dxa"/>
            <w:tcBorders>
              <w:top w:val="nil"/>
              <w:left w:val="nil"/>
              <w:bottom w:val="single" w:sz="8" w:space="0" w:color="FFFFFF"/>
              <w:right w:val="single" w:sz="8" w:space="0" w:color="FFFFFF"/>
            </w:tcBorders>
            <w:shd w:val="clear" w:color="000000" w:fill="E1F4FF"/>
            <w:vAlign w:val="center"/>
            <w:hideMark/>
          </w:tcPr>
          <w:p w14:paraId="39A7A5D2" w14:textId="77777777" w:rsidR="00F560FD" w:rsidRPr="002C29F1" w:rsidRDefault="00F560FD" w:rsidP="006A0658">
            <w:pPr>
              <w:spacing w:before="40" w:after="40" w:line="240" w:lineRule="auto"/>
              <w:jc w:val="center"/>
              <w:rPr>
                <w:rFonts w:ascii="Century Gothic" w:eastAsia="Times New Roman" w:hAnsi="Century Gothic" w:cs="Calibri"/>
                <w:b/>
                <w:bCs/>
                <w:color w:val="C00000"/>
                <w:sz w:val="16"/>
                <w:szCs w:val="16"/>
                <w:lang w:eastAsia="es-MX"/>
              </w:rPr>
            </w:pPr>
            <w:r w:rsidRPr="009F520A">
              <w:rPr>
                <w:rFonts w:ascii="Century Gothic" w:eastAsia="Times New Roman" w:hAnsi="Century Gothic" w:cs="Calibri"/>
                <w:b/>
                <w:bCs/>
                <w:color w:val="C00000"/>
                <w:sz w:val="16"/>
                <w:szCs w:val="16"/>
                <w:lang w:eastAsia="es-MX"/>
              </w:rPr>
              <w:t>1</w:t>
            </w:r>
          </w:p>
        </w:tc>
        <w:tc>
          <w:tcPr>
            <w:tcW w:w="1155" w:type="dxa"/>
            <w:tcBorders>
              <w:top w:val="nil"/>
              <w:left w:val="nil"/>
              <w:bottom w:val="single" w:sz="8" w:space="0" w:color="FFFFFF"/>
              <w:right w:val="single" w:sz="8" w:space="0" w:color="FFFFFF"/>
            </w:tcBorders>
            <w:shd w:val="clear" w:color="000000" w:fill="FBE4D5"/>
            <w:vAlign w:val="center"/>
            <w:hideMark/>
          </w:tcPr>
          <w:p w14:paraId="6F913617" w14:textId="77777777" w:rsidR="00F560FD" w:rsidRPr="002C29F1" w:rsidRDefault="00F560FD" w:rsidP="006A0658">
            <w:pPr>
              <w:spacing w:before="40" w:after="40" w:line="240" w:lineRule="auto"/>
              <w:jc w:val="center"/>
              <w:rPr>
                <w:rFonts w:ascii="Century Gothic" w:eastAsia="Times New Roman" w:hAnsi="Century Gothic" w:cs="Calibri"/>
                <w:color w:val="000000"/>
                <w:sz w:val="16"/>
                <w:szCs w:val="16"/>
                <w:lang w:eastAsia="es-MX"/>
              </w:rPr>
            </w:pPr>
            <w:r w:rsidRPr="009F520A">
              <w:rPr>
                <w:rFonts w:ascii="Century Gothic" w:eastAsia="Times New Roman" w:hAnsi="Century Gothic" w:cs="Calibri"/>
                <w:color w:val="000000"/>
                <w:sz w:val="16"/>
                <w:szCs w:val="16"/>
                <w:lang w:eastAsia="es-MX"/>
              </w:rPr>
              <w:t>0</w:t>
            </w:r>
          </w:p>
        </w:tc>
        <w:tc>
          <w:tcPr>
            <w:tcW w:w="1155" w:type="dxa"/>
            <w:tcBorders>
              <w:top w:val="nil"/>
              <w:left w:val="nil"/>
              <w:bottom w:val="single" w:sz="8" w:space="0" w:color="FFFFFF"/>
              <w:right w:val="single" w:sz="8" w:space="0" w:color="FFFFFF"/>
            </w:tcBorders>
            <w:shd w:val="clear" w:color="000000" w:fill="FBE4D5"/>
            <w:vAlign w:val="center"/>
            <w:hideMark/>
          </w:tcPr>
          <w:p w14:paraId="30D4F12A" w14:textId="77777777" w:rsidR="00F560FD" w:rsidRPr="002C29F1" w:rsidRDefault="00F560FD" w:rsidP="006A0658">
            <w:pPr>
              <w:spacing w:before="40" w:after="40" w:line="240" w:lineRule="auto"/>
              <w:jc w:val="center"/>
              <w:rPr>
                <w:rFonts w:ascii="Century Gothic" w:eastAsia="Times New Roman" w:hAnsi="Century Gothic" w:cs="Calibri"/>
                <w:color w:val="000000"/>
                <w:sz w:val="16"/>
                <w:szCs w:val="16"/>
                <w:lang w:eastAsia="es-MX"/>
              </w:rPr>
            </w:pPr>
            <w:r w:rsidRPr="009F520A">
              <w:rPr>
                <w:rFonts w:ascii="Century Gothic" w:eastAsia="Times New Roman" w:hAnsi="Century Gothic" w:cs="Calibri"/>
                <w:color w:val="000000"/>
                <w:sz w:val="16"/>
                <w:szCs w:val="16"/>
                <w:lang w:eastAsia="es-MX"/>
              </w:rPr>
              <w:t>-</w:t>
            </w:r>
          </w:p>
        </w:tc>
        <w:tc>
          <w:tcPr>
            <w:tcW w:w="1207" w:type="dxa"/>
            <w:tcBorders>
              <w:top w:val="nil"/>
              <w:left w:val="nil"/>
              <w:bottom w:val="single" w:sz="8" w:space="0" w:color="FFFFFF"/>
              <w:right w:val="single" w:sz="8" w:space="0" w:color="FFFFFF"/>
            </w:tcBorders>
            <w:shd w:val="clear" w:color="000000" w:fill="FBE4D5"/>
            <w:vAlign w:val="center"/>
            <w:hideMark/>
          </w:tcPr>
          <w:p w14:paraId="7434A5CE" w14:textId="77777777" w:rsidR="00F560FD" w:rsidRPr="002C29F1" w:rsidRDefault="00F560FD" w:rsidP="006A0658">
            <w:pPr>
              <w:spacing w:before="40" w:after="40" w:line="240" w:lineRule="auto"/>
              <w:jc w:val="center"/>
              <w:rPr>
                <w:rFonts w:ascii="Century Gothic" w:eastAsia="Times New Roman" w:hAnsi="Century Gothic" w:cs="Calibri"/>
                <w:color w:val="000000"/>
                <w:sz w:val="16"/>
                <w:szCs w:val="16"/>
                <w:lang w:eastAsia="es-MX"/>
              </w:rPr>
            </w:pPr>
            <w:r w:rsidRPr="009F520A">
              <w:rPr>
                <w:rFonts w:ascii="Century Gothic" w:eastAsia="Times New Roman" w:hAnsi="Century Gothic" w:cs="Calibri"/>
                <w:color w:val="000000"/>
                <w:sz w:val="16"/>
                <w:szCs w:val="16"/>
                <w:lang w:eastAsia="es-MX"/>
              </w:rPr>
              <w:t>0</w:t>
            </w:r>
          </w:p>
        </w:tc>
      </w:tr>
      <w:tr w:rsidR="00F560FD" w:rsidRPr="002C29F1" w14:paraId="0936B711" w14:textId="77777777" w:rsidTr="006A0658">
        <w:trPr>
          <w:trHeight w:val="315"/>
          <w:jc w:val="center"/>
        </w:trPr>
        <w:tc>
          <w:tcPr>
            <w:tcW w:w="572" w:type="dxa"/>
            <w:tcBorders>
              <w:top w:val="nil"/>
              <w:left w:val="single" w:sz="8" w:space="0" w:color="FFFFFF"/>
              <w:bottom w:val="single" w:sz="8" w:space="0" w:color="FFFFFF"/>
              <w:right w:val="single" w:sz="8" w:space="0" w:color="FFFFFF"/>
            </w:tcBorders>
            <w:shd w:val="clear" w:color="000000" w:fill="F2F2F2"/>
            <w:noWrap/>
            <w:vAlign w:val="center"/>
            <w:hideMark/>
          </w:tcPr>
          <w:p w14:paraId="333C0196" w14:textId="77777777" w:rsidR="00F560FD" w:rsidRPr="002C29F1" w:rsidRDefault="00F560FD" w:rsidP="006A0658">
            <w:pPr>
              <w:spacing w:before="40" w:after="40" w:line="240" w:lineRule="auto"/>
              <w:jc w:val="center"/>
              <w:rPr>
                <w:rFonts w:ascii="Century Gothic" w:eastAsia="Times New Roman" w:hAnsi="Century Gothic" w:cs="Calibri"/>
                <w:color w:val="000000"/>
                <w:sz w:val="16"/>
                <w:szCs w:val="16"/>
                <w:lang w:eastAsia="es-MX"/>
              </w:rPr>
            </w:pPr>
            <w:r w:rsidRPr="002C29F1">
              <w:rPr>
                <w:rFonts w:ascii="Century Gothic" w:eastAsia="Times New Roman" w:hAnsi="Century Gothic" w:cs="Calibri"/>
                <w:color w:val="000000"/>
                <w:sz w:val="16"/>
                <w:szCs w:val="16"/>
                <w:lang w:eastAsia="es-MX"/>
              </w:rPr>
              <w:t>DGES</w:t>
            </w:r>
          </w:p>
        </w:tc>
        <w:tc>
          <w:tcPr>
            <w:tcW w:w="5088" w:type="dxa"/>
            <w:tcBorders>
              <w:top w:val="nil"/>
              <w:left w:val="nil"/>
              <w:bottom w:val="single" w:sz="8" w:space="0" w:color="FFFFFF"/>
              <w:right w:val="single" w:sz="8" w:space="0" w:color="FFFFFF"/>
            </w:tcBorders>
            <w:shd w:val="clear" w:color="000000" w:fill="F2F2F2"/>
            <w:vAlign w:val="center"/>
            <w:hideMark/>
          </w:tcPr>
          <w:p w14:paraId="20159C94" w14:textId="77777777" w:rsidR="00F560FD" w:rsidRPr="002C29F1" w:rsidRDefault="00F560FD" w:rsidP="006A0658">
            <w:pPr>
              <w:spacing w:before="40" w:after="40" w:line="240" w:lineRule="auto"/>
              <w:rPr>
                <w:rFonts w:ascii="Century Gothic" w:eastAsia="Times New Roman" w:hAnsi="Century Gothic" w:cs="Calibri"/>
                <w:color w:val="000000"/>
                <w:sz w:val="16"/>
                <w:szCs w:val="16"/>
                <w:lang w:eastAsia="es-MX"/>
              </w:rPr>
            </w:pPr>
            <w:r w:rsidRPr="002C29F1">
              <w:rPr>
                <w:rFonts w:ascii="Century Gothic" w:eastAsia="Times New Roman" w:hAnsi="Century Gothic" w:cs="Calibri"/>
                <w:color w:val="000000"/>
                <w:sz w:val="16"/>
                <w:szCs w:val="16"/>
                <w:lang w:eastAsia="es-MX"/>
              </w:rPr>
              <w:t>Estadística de Matrimonios</w:t>
            </w:r>
          </w:p>
        </w:tc>
        <w:tc>
          <w:tcPr>
            <w:tcW w:w="993" w:type="dxa"/>
            <w:tcBorders>
              <w:top w:val="nil"/>
              <w:left w:val="nil"/>
              <w:bottom w:val="single" w:sz="8" w:space="0" w:color="FFFFFF"/>
              <w:right w:val="single" w:sz="8" w:space="0" w:color="FFFFFF"/>
            </w:tcBorders>
            <w:shd w:val="clear" w:color="000000" w:fill="F2F2F2"/>
            <w:vAlign w:val="center"/>
            <w:hideMark/>
          </w:tcPr>
          <w:p w14:paraId="78249F5F" w14:textId="77777777" w:rsidR="00F560FD" w:rsidRPr="002C29F1" w:rsidRDefault="00F560FD" w:rsidP="006A0658">
            <w:pPr>
              <w:spacing w:before="40" w:after="40" w:line="240" w:lineRule="auto"/>
              <w:rPr>
                <w:rFonts w:ascii="Century Gothic" w:eastAsia="Times New Roman" w:hAnsi="Century Gothic" w:cs="Calibri"/>
                <w:color w:val="000000"/>
                <w:sz w:val="16"/>
                <w:szCs w:val="16"/>
                <w:lang w:eastAsia="es-MX"/>
              </w:rPr>
            </w:pPr>
            <w:r w:rsidRPr="002C29F1">
              <w:rPr>
                <w:rFonts w:ascii="Century Gothic" w:eastAsia="Times New Roman" w:hAnsi="Century Gothic" w:cs="Calibri"/>
                <w:color w:val="000000"/>
                <w:sz w:val="16"/>
                <w:szCs w:val="16"/>
                <w:lang w:eastAsia="es-MX"/>
              </w:rPr>
              <w:t>EMAT</w:t>
            </w:r>
          </w:p>
        </w:tc>
        <w:tc>
          <w:tcPr>
            <w:tcW w:w="708" w:type="dxa"/>
            <w:tcBorders>
              <w:top w:val="nil"/>
              <w:left w:val="nil"/>
              <w:bottom w:val="single" w:sz="8" w:space="0" w:color="FFFFFF"/>
              <w:right w:val="single" w:sz="8" w:space="0" w:color="FFFFFF"/>
            </w:tcBorders>
            <w:shd w:val="clear" w:color="000000" w:fill="F2F2F2"/>
            <w:vAlign w:val="center"/>
            <w:hideMark/>
          </w:tcPr>
          <w:p w14:paraId="3002F5E6" w14:textId="77777777" w:rsidR="00F560FD" w:rsidRPr="002C29F1" w:rsidRDefault="00F560FD" w:rsidP="006A0658">
            <w:pPr>
              <w:spacing w:before="40" w:after="40" w:line="240" w:lineRule="auto"/>
              <w:jc w:val="center"/>
              <w:rPr>
                <w:rFonts w:ascii="Century Gothic" w:eastAsia="Times New Roman" w:hAnsi="Century Gothic" w:cs="Calibri"/>
                <w:color w:val="000000"/>
                <w:sz w:val="16"/>
                <w:szCs w:val="16"/>
                <w:lang w:eastAsia="es-MX"/>
              </w:rPr>
            </w:pPr>
            <w:r w:rsidRPr="002C29F1">
              <w:rPr>
                <w:rFonts w:ascii="Century Gothic" w:eastAsia="Times New Roman" w:hAnsi="Century Gothic" w:cs="Calibri"/>
                <w:color w:val="000000"/>
                <w:sz w:val="16"/>
                <w:szCs w:val="16"/>
                <w:lang w:eastAsia="es-MX"/>
              </w:rPr>
              <w:t>33</w:t>
            </w:r>
          </w:p>
        </w:tc>
        <w:tc>
          <w:tcPr>
            <w:tcW w:w="567" w:type="dxa"/>
            <w:tcBorders>
              <w:top w:val="nil"/>
              <w:left w:val="nil"/>
              <w:bottom w:val="single" w:sz="8" w:space="0" w:color="FFFFFF"/>
              <w:right w:val="single" w:sz="8" w:space="0" w:color="FFFFFF"/>
            </w:tcBorders>
            <w:shd w:val="clear" w:color="000000" w:fill="F2F2F2"/>
            <w:vAlign w:val="center"/>
            <w:hideMark/>
          </w:tcPr>
          <w:p w14:paraId="7CA05217" w14:textId="77777777" w:rsidR="00F560FD" w:rsidRPr="002C29F1" w:rsidRDefault="00F560FD" w:rsidP="006A0658">
            <w:pPr>
              <w:spacing w:before="40" w:after="40" w:line="240" w:lineRule="auto"/>
              <w:jc w:val="center"/>
              <w:rPr>
                <w:rFonts w:ascii="Century Gothic" w:eastAsia="Times New Roman" w:hAnsi="Century Gothic" w:cs="Calibri"/>
                <w:color w:val="000000"/>
                <w:sz w:val="16"/>
                <w:szCs w:val="16"/>
                <w:lang w:eastAsia="es-MX"/>
              </w:rPr>
            </w:pPr>
            <w:r w:rsidRPr="002C29F1">
              <w:rPr>
                <w:rFonts w:ascii="Century Gothic" w:eastAsia="Times New Roman" w:hAnsi="Century Gothic" w:cs="Calibri"/>
                <w:color w:val="000000"/>
                <w:sz w:val="16"/>
                <w:szCs w:val="16"/>
                <w:lang w:eastAsia="es-MX"/>
              </w:rPr>
              <w:t>33</w:t>
            </w:r>
          </w:p>
        </w:tc>
        <w:tc>
          <w:tcPr>
            <w:tcW w:w="709" w:type="dxa"/>
            <w:tcBorders>
              <w:top w:val="nil"/>
              <w:left w:val="nil"/>
              <w:bottom w:val="single" w:sz="8" w:space="0" w:color="FFFFFF"/>
              <w:right w:val="single" w:sz="8" w:space="0" w:color="FFFFFF"/>
            </w:tcBorders>
            <w:shd w:val="clear" w:color="000000" w:fill="F2F2F2"/>
            <w:vAlign w:val="center"/>
            <w:hideMark/>
          </w:tcPr>
          <w:p w14:paraId="2D7A3EE2" w14:textId="77777777" w:rsidR="00F560FD" w:rsidRPr="002C29F1" w:rsidRDefault="00F560FD" w:rsidP="006A0658">
            <w:pPr>
              <w:spacing w:before="40" w:after="40" w:line="240" w:lineRule="auto"/>
              <w:jc w:val="center"/>
              <w:rPr>
                <w:rFonts w:ascii="Century Gothic" w:eastAsia="Times New Roman" w:hAnsi="Century Gothic" w:cs="Calibri"/>
                <w:color w:val="000000"/>
                <w:sz w:val="16"/>
                <w:szCs w:val="16"/>
                <w:lang w:eastAsia="es-MX"/>
              </w:rPr>
            </w:pPr>
            <w:r w:rsidRPr="002C29F1">
              <w:rPr>
                <w:rFonts w:ascii="Century Gothic" w:eastAsia="Times New Roman" w:hAnsi="Century Gothic" w:cs="Calibri"/>
                <w:color w:val="000000"/>
                <w:sz w:val="16"/>
                <w:szCs w:val="16"/>
                <w:lang w:eastAsia="es-MX"/>
              </w:rPr>
              <w:t>33</w:t>
            </w:r>
          </w:p>
        </w:tc>
        <w:tc>
          <w:tcPr>
            <w:tcW w:w="709" w:type="dxa"/>
            <w:tcBorders>
              <w:top w:val="nil"/>
              <w:left w:val="nil"/>
              <w:bottom w:val="single" w:sz="8" w:space="0" w:color="FFFFFF"/>
              <w:right w:val="single" w:sz="8" w:space="0" w:color="FFFFFF"/>
            </w:tcBorders>
            <w:shd w:val="clear" w:color="000000" w:fill="E1F4FF"/>
            <w:vAlign w:val="center"/>
            <w:hideMark/>
          </w:tcPr>
          <w:p w14:paraId="45CB27C3" w14:textId="77777777" w:rsidR="00F560FD" w:rsidRPr="002C29F1" w:rsidRDefault="00F560FD" w:rsidP="006A0658">
            <w:pPr>
              <w:spacing w:before="40" w:after="40" w:line="240" w:lineRule="auto"/>
              <w:jc w:val="center"/>
              <w:rPr>
                <w:rFonts w:ascii="Century Gothic" w:eastAsia="Times New Roman" w:hAnsi="Century Gothic" w:cs="Calibri"/>
                <w:color w:val="000000"/>
                <w:sz w:val="16"/>
                <w:szCs w:val="16"/>
                <w:lang w:eastAsia="es-MX"/>
              </w:rPr>
            </w:pPr>
            <w:r w:rsidRPr="009F520A">
              <w:rPr>
                <w:rFonts w:ascii="Century Gothic" w:eastAsia="Times New Roman" w:hAnsi="Century Gothic" w:cs="Calibri"/>
                <w:color w:val="000000"/>
                <w:sz w:val="16"/>
                <w:szCs w:val="16"/>
                <w:lang w:eastAsia="es-MX"/>
              </w:rPr>
              <w:t>0</w:t>
            </w:r>
          </w:p>
        </w:tc>
        <w:tc>
          <w:tcPr>
            <w:tcW w:w="841" w:type="dxa"/>
            <w:tcBorders>
              <w:top w:val="nil"/>
              <w:left w:val="nil"/>
              <w:bottom w:val="single" w:sz="8" w:space="0" w:color="FFFFFF"/>
              <w:right w:val="single" w:sz="8" w:space="0" w:color="FFFFFF"/>
            </w:tcBorders>
            <w:shd w:val="clear" w:color="000000" w:fill="E1F4FF"/>
            <w:vAlign w:val="center"/>
            <w:hideMark/>
          </w:tcPr>
          <w:p w14:paraId="1DC13E81" w14:textId="77777777" w:rsidR="00F560FD" w:rsidRPr="002C29F1" w:rsidRDefault="00F560FD" w:rsidP="006A0658">
            <w:pPr>
              <w:spacing w:before="40" w:after="40" w:line="240" w:lineRule="auto"/>
              <w:jc w:val="center"/>
              <w:rPr>
                <w:rFonts w:ascii="Century Gothic" w:eastAsia="Times New Roman" w:hAnsi="Century Gothic" w:cs="Calibri"/>
                <w:color w:val="000000"/>
                <w:sz w:val="16"/>
                <w:szCs w:val="16"/>
                <w:lang w:eastAsia="es-MX"/>
              </w:rPr>
            </w:pPr>
            <w:r w:rsidRPr="009F520A">
              <w:rPr>
                <w:rFonts w:ascii="Century Gothic" w:eastAsia="Times New Roman" w:hAnsi="Century Gothic" w:cs="Calibri"/>
                <w:color w:val="000000"/>
                <w:sz w:val="16"/>
                <w:szCs w:val="16"/>
                <w:lang w:eastAsia="es-MX"/>
              </w:rPr>
              <w:t>0</w:t>
            </w:r>
          </w:p>
        </w:tc>
        <w:tc>
          <w:tcPr>
            <w:tcW w:w="676" w:type="dxa"/>
            <w:tcBorders>
              <w:top w:val="nil"/>
              <w:left w:val="nil"/>
              <w:bottom w:val="single" w:sz="8" w:space="0" w:color="FFFFFF"/>
              <w:right w:val="single" w:sz="8" w:space="0" w:color="FFFFFF"/>
            </w:tcBorders>
            <w:shd w:val="clear" w:color="000000" w:fill="E1F4FF"/>
            <w:vAlign w:val="center"/>
            <w:hideMark/>
          </w:tcPr>
          <w:p w14:paraId="1987AC76" w14:textId="77777777" w:rsidR="00F560FD" w:rsidRPr="0091198F" w:rsidRDefault="00F560FD" w:rsidP="006A0658">
            <w:pPr>
              <w:spacing w:before="40" w:after="40" w:line="240" w:lineRule="auto"/>
              <w:jc w:val="center"/>
              <w:rPr>
                <w:rFonts w:ascii="Century Gothic" w:eastAsia="Times New Roman" w:hAnsi="Century Gothic" w:cs="Calibri"/>
                <w:color w:val="C00000"/>
                <w:sz w:val="16"/>
                <w:szCs w:val="16"/>
                <w:lang w:eastAsia="es-MX"/>
              </w:rPr>
            </w:pPr>
            <w:r w:rsidRPr="009F520A">
              <w:rPr>
                <w:rFonts w:ascii="Century Gothic" w:eastAsia="Times New Roman" w:hAnsi="Century Gothic" w:cs="Calibri"/>
                <w:color w:val="000000"/>
                <w:sz w:val="16"/>
                <w:szCs w:val="16"/>
                <w:lang w:eastAsia="es-MX"/>
              </w:rPr>
              <w:t>0</w:t>
            </w:r>
          </w:p>
        </w:tc>
        <w:tc>
          <w:tcPr>
            <w:tcW w:w="1155" w:type="dxa"/>
            <w:tcBorders>
              <w:top w:val="nil"/>
              <w:left w:val="nil"/>
              <w:bottom w:val="single" w:sz="8" w:space="0" w:color="FFFFFF"/>
              <w:right w:val="single" w:sz="8" w:space="0" w:color="FFFFFF"/>
            </w:tcBorders>
            <w:shd w:val="clear" w:color="000000" w:fill="FBE4D5"/>
            <w:vAlign w:val="center"/>
            <w:hideMark/>
          </w:tcPr>
          <w:p w14:paraId="04EFFD4B" w14:textId="77777777" w:rsidR="00F560FD" w:rsidRPr="002C29F1" w:rsidRDefault="00F560FD" w:rsidP="006A0658">
            <w:pPr>
              <w:spacing w:before="40" w:after="40" w:line="240" w:lineRule="auto"/>
              <w:jc w:val="center"/>
              <w:rPr>
                <w:rFonts w:ascii="Century Gothic" w:eastAsia="Times New Roman" w:hAnsi="Century Gothic" w:cs="Calibri"/>
                <w:color w:val="000000"/>
                <w:sz w:val="16"/>
                <w:szCs w:val="16"/>
                <w:lang w:eastAsia="es-MX"/>
              </w:rPr>
            </w:pPr>
            <w:r w:rsidRPr="009F520A">
              <w:rPr>
                <w:rFonts w:ascii="Century Gothic" w:eastAsia="Times New Roman" w:hAnsi="Century Gothic" w:cs="Calibri"/>
                <w:color w:val="000000"/>
                <w:sz w:val="16"/>
                <w:szCs w:val="16"/>
                <w:lang w:eastAsia="es-MX"/>
              </w:rPr>
              <w:t>0</w:t>
            </w:r>
          </w:p>
        </w:tc>
        <w:tc>
          <w:tcPr>
            <w:tcW w:w="1155" w:type="dxa"/>
            <w:tcBorders>
              <w:top w:val="nil"/>
              <w:left w:val="nil"/>
              <w:bottom w:val="single" w:sz="8" w:space="0" w:color="FFFFFF"/>
              <w:right w:val="single" w:sz="8" w:space="0" w:color="FFFFFF"/>
            </w:tcBorders>
            <w:shd w:val="clear" w:color="000000" w:fill="FBE4D5"/>
            <w:vAlign w:val="center"/>
            <w:hideMark/>
          </w:tcPr>
          <w:p w14:paraId="05D4D23C" w14:textId="77777777" w:rsidR="00F560FD" w:rsidRPr="002C29F1" w:rsidRDefault="00F560FD" w:rsidP="006A0658">
            <w:pPr>
              <w:spacing w:before="40" w:after="40" w:line="240" w:lineRule="auto"/>
              <w:jc w:val="center"/>
              <w:rPr>
                <w:rFonts w:ascii="Century Gothic" w:eastAsia="Times New Roman" w:hAnsi="Century Gothic" w:cs="Calibri"/>
                <w:color w:val="000000"/>
                <w:sz w:val="16"/>
                <w:szCs w:val="16"/>
                <w:lang w:eastAsia="es-MX"/>
              </w:rPr>
            </w:pPr>
            <w:r w:rsidRPr="009F520A">
              <w:rPr>
                <w:rFonts w:ascii="Century Gothic" w:eastAsia="Times New Roman" w:hAnsi="Century Gothic" w:cs="Calibri"/>
                <w:color w:val="000000"/>
                <w:sz w:val="16"/>
                <w:szCs w:val="16"/>
                <w:lang w:eastAsia="es-MX"/>
              </w:rPr>
              <w:t>0</w:t>
            </w:r>
          </w:p>
        </w:tc>
        <w:tc>
          <w:tcPr>
            <w:tcW w:w="1207" w:type="dxa"/>
            <w:tcBorders>
              <w:top w:val="nil"/>
              <w:left w:val="nil"/>
              <w:bottom w:val="single" w:sz="8" w:space="0" w:color="FFFFFF"/>
              <w:right w:val="single" w:sz="8" w:space="0" w:color="FFFFFF"/>
            </w:tcBorders>
            <w:shd w:val="clear" w:color="000000" w:fill="FBE4D5"/>
            <w:vAlign w:val="center"/>
            <w:hideMark/>
          </w:tcPr>
          <w:p w14:paraId="5091ECD0" w14:textId="77777777" w:rsidR="00F560FD" w:rsidRPr="002C29F1" w:rsidRDefault="00F560FD" w:rsidP="006A0658">
            <w:pPr>
              <w:spacing w:before="40" w:after="40" w:line="240" w:lineRule="auto"/>
              <w:jc w:val="center"/>
              <w:rPr>
                <w:rFonts w:ascii="Century Gothic" w:eastAsia="Times New Roman" w:hAnsi="Century Gothic" w:cs="Calibri"/>
                <w:color w:val="000000"/>
                <w:sz w:val="16"/>
                <w:szCs w:val="16"/>
                <w:lang w:eastAsia="es-MX"/>
              </w:rPr>
            </w:pPr>
            <w:r w:rsidRPr="009F520A">
              <w:rPr>
                <w:rFonts w:ascii="Century Gothic" w:eastAsia="Times New Roman" w:hAnsi="Century Gothic" w:cs="Calibri"/>
                <w:color w:val="000000"/>
                <w:sz w:val="16"/>
                <w:szCs w:val="16"/>
                <w:lang w:eastAsia="es-MX"/>
              </w:rPr>
              <w:t>0</w:t>
            </w:r>
          </w:p>
        </w:tc>
      </w:tr>
      <w:tr w:rsidR="00F560FD" w:rsidRPr="002C29F1" w14:paraId="6FAD09BA" w14:textId="77777777" w:rsidTr="006A0658">
        <w:trPr>
          <w:trHeight w:val="315"/>
          <w:jc w:val="center"/>
        </w:trPr>
        <w:tc>
          <w:tcPr>
            <w:tcW w:w="572" w:type="dxa"/>
            <w:tcBorders>
              <w:top w:val="nil"/>
              <w:left w:val="single" w:sz="8" w:space="0" w:color="FFFFFF"/>
              <w:bottom w:val="single" w:sz="8" w:space="0" w:color="FFFFFF"/>
              <w:right w:val="single" w:sz="8" w:space="0" w:color="FFFFFF"/>
            </w:tcBorders>
            <w:shd w:val="clear" w:color="000000" w:fill="D9D9D9"/>
            <w:noWrap/>
            <w:vAlign w:val="center"/>
            <w:hideMark/>
          </w:tcPr>
          <w:p w14:paraId="1319AFF1" w14:textId="77777777" w:rsidR="00F560FD" w:rsidRPr="002C29F1" w:rsidRDefault="00F560FD" w:rsidP="006A0658">
            <w:pPr>
              <w:spacing w:before="40" w:after="40" w:line="240" w:lineRule="auto"/>
              <w:jc w:val="center"/>
              <w:rPr>
                <w:rFonts w:ascii="Century Gothic" w:eastAsia="Times New Roman" w:hAnsi="Century Gothic" w:cs="Calibri"/>
                <w:color w:val="000000"/>
                <w:sz w:val="16"/>
                <w:szCs w:val="16"/>
                <w:lang w:eastAsia="es-MX"/>
              </w:rPr>
            </w:pPr>
            <w:r w:rsidRPr="002C29F1">
              <w:rPr>
                <w:rFonts w:ascii="Century Gothic" w:eastAsia="Times New Roman" w:hAnsi="Century Gothic" w:cs="Calibri"/>
                <w:color w:val="000000"/>
                <w:sz w:val="16"/>
                <w:szCs w:val="16"/>
                <w:lang w:eastAsia="es-MX"/>
              </w:rPr>
              <w:t>DGES</w:t>
            </w:r>
          </w:p>
        </w:tc>
        <w:tc>
          <w:tcPr>
            <w:tcW w:w="5088" w:type="dxa"/>
            <w:tcBorders>
              <w:top w:val="nil"/>
              <w:left w:val="nil"/>
              <w:bottom w:val="single" w:sz="8" w:space="0" w:color="FFFFFF"/>
              <w:right w:val="single" w:sz="8" w:space="0" w:color="FFFFFF"/>
            </w:tcBorders>
            <w:shd w:val="clear" w:color="000000" w:fill="D9D9D9"/>
            <w:vAlign w:val="center"/>
            <w:hideMark/>
          </w:tcPr>
          <w:p w14:paraId="5B7F5CD5" w14:textId="77777777" w:rsidR="00F560FD" w:rsidRPr="002C29F1" w:rsidRDefault="00F560FD" w:rsidP="006A0658">
            <w:pPr>
              <w:spacing w:before="40" w:after="40" w:line="240" w:lineRule="auto"/>
              <w:rPr>
                <w:rFonts w:ascii="Century Gothic" w:eastAsia="Times New Roman" w:hAnsi="Century Gothic" w:cs="Calibri"/>
                <w:color w:val="000000"/>
                <w:sz w:val="16"/>
                <w:szCs w:val="16"/>
                <w:lang w:eastAsia="es-MX"/>
              </w:rPr>
            </w:pPr>
            <w:r w:rsidRPr="002C29F1">
              <w:rPr>
                <w:rFonts w:ascii="Century Gothic" w:eastAsia="Times New Roman" w:hAnsi="Century Gothic" w:cs="Calibri"/>
                <w:color w:val="000000"/>
                <w:sz w:val="16"/>
                <w:szCs w:val="16"/>
                <w:lang w:eastAsia="es-MX"/>
              </w:rPr>
              <w:t>Estadística de Divorcios</w:t>
            </w:r>
          </w:p>
        </w:tc>
        <w:tc>
          <w:tcPr>
            <w:tcW w:w="993" w:type="dxa"/>
            <w:tcBorders>
              <w:top w:val="nil"/>
              <w:left w:val="nil"/>
              <w:bottom w:val="single" w:sz="8" w:space="0" w:color="FFFFFF"/>
              <w:right w:val="single" w:sz="8" w:space="0" w:color="FFFFFF"/>
            </w:tcBorders>
            <w:shd w:val="clear" w:color="000000" w:fill="D9D9D9"/>
            <w:vAlign w:val="center"/>
            <w:hideMark/>
          </w:tcPr>
          <w:p w14:paraId="40193EA1" w14:textId="77777777" w:rsidR="00F560FD" w:rsidRPr="002C29F1" w:rsidRDefault="00F560FD" w:rsidP="006A0658">
            <w:pPr>
              <w:spacing w:before="40" w:after="40" w:line="240" w:lineRule="auto"/>
              <w:rPr>
                <w:rFonts w:ascii="Century Gothic" w:eastAsia="Times New Roman" w:hAnsi="Century Gothic" w:cs="Calibri"/>
                <w:color w:val="000000"/>
                <w:sz w:val="16"/>
                <w:szCs w:val="16"/>
                <w:lang w:eastAsia="es-MX"/>
              </w:rPr>
            </w:pPr>
            <w:r w:rsidRPr="002C29F1">
              <w:rPr>
                <w:rFonts w:ascii="Century Gothic" w:eastAsia="Times New Roman" w:hAnsi="Century Gothic" w:cs="Calibri"/>
                <w:color w:val="000000"/>
                <w:sz w:val="16"/>
                <w:szCs w:val="16"/>
                <w:lang w:eastAsia="es-MX"/>
              </w:rPr>
              <w:t>ED</w:t>
            </w:r>
          </w:p>
        </w:tc>
        <w:tc>
          <w:tcPr>
            <w:tcW w:w="708" w:type="dxa"/>
            <w:tcBorders>
              <w:top w:val="nil"/>
              <w:left w:val="nil"/>
              <w:bottom w:val="single" w:sz="8" w:space="0" w:color="FFFFFF"/>
              <w:right w:val="single" w:sz="8" w:space="0" w:color="FFFFFF"/>
            </w:tcBorders>
            <w:shd w:val="clear" w:color="000000" w:fill="D9D9D9"/>
            <w:vAlign w:val="center"/>
            <w:hideMark/>
          </w:tcPr>
          <w:p w14:paraId="23848BDE" w14:textId="77777777" w:rsidR="00F560FD" w:rsidRPr="002C29F1" w:rsidRDefault="00F560FD" w:rsidP="006A0658">
            <w:pPr>
              <w:spacing w:before="40" w:after="40" w:line="240" w:lineRule="auto"/>
              <w:jc w:val="center"/>
              <w:rPr>
                <w:rFonts w:ascii="Century Gothic" w:eastAsia="Times New Roman" w:hAnsi="Century Gothic" w:cs="Calibri"/>
                <w:color w:val="000000"/>
                <w:sz w:val="16"/>
                <w:szCs w:val="16"/>
                <w:lang w:eastAsia="es-MX"/>
              </w:rPr>
            </w:pPr>
            <w:r w:rsidRPr="002C29F1">
              <w:rPr>
                <w:rFonts w:ascii="Century Gothic" w:eastAsia="Times New Roman" w:hAnsi="Century Gothic" w:cs="Calibri"/>
                <w:color w:val="000000"/>
                <w:sz w:val="16"/>
                <w:szCs w:val="16"/>
                <w:lang w:eastAsia="es-MX"/>
              </w:rPr>
              <w:t>33</w:t>
            </w:r>
          </w:p>
        </w:tc>
        <w:tc>
          <w:tcPr>
            <w:tcW w:w="567" w:type="dxa"/>
            <w:tcBorders>
              <w:top w:val="nil"/>
              <w:left w:val="nil"/>
              <w:bottom w:val="single" w:sz="8" w:space="0" w:color="FFFFFF"/>
              <w:right w:val="single" w:sz="8" w:space="0" w:color="FFFFFF"/>
            </w:tcBorders>
            <w:shd w:val="clear" w:color="000000" w:fill="D9D9D9"/>
            <w:vAlign w:val="center"/>
            <w:hideMark/>
          </w:tcPr>
          <w:p w14:paraId="2EF69446" w14:textId="77777777" w:rsidR="00F560FD" w:rsidRPr="002C29F1" w:rsidRDefault="00F560FD" w:rsidP="006A0658">
            <w:pPr>
              <w:spacing w:before="40" w:after="40" w:line="240" w:lineRule="auto"/>
              <w:jc w:val="center"/>
              <w:rPr>
                <w:rFonts w:ascii="Century Gothic" w:eastAsia="Times New Roman" w:hAnsi="Century Gothic" w:cs="Calibri"/>
                <w:color w:val="000000"/>
                <w:sz w:val="16"/>
                <w:szCs w:val="16"/>
                <w:lang w:eastAsia="es-MX"/>
              </w:rPr>
            </w:pPr>
            <w:r w:rsidRPr="002C29F1">
              <w:rPr>
                <w:rFonts w:ascii="Century Gothic" w:eastAsia="Times New Roman" w:hAnsi="Century Gothic" w:cs="Calibri"/>
                <w:color w:val="000000"/>
                <w:sz w:val="16"/>
                <w:szCs w:val="16"/>
                <w:lang w:eastAsia="es-MX"/>
              </w:rPr>
              <w:t>33</w:t>
            </w:r>
          </w:p>
        </w:tc>
        <w:tc>
          <w:tcPr>
            <w:tcW w:w="709" w:type="dxa"/>
            <w:tcBorders>
              <w:top w:val="nil"/>
              <w:left w:val="nil"/>
              <w:bottom w:val="single" w:sz="8" w:space="0" w:color="FFFFFF"/>
              <w:right w:val="single" w:sz="8" w:space="0" w:color="FFFFFF"/>
            </w:tcBorders>
            <w:shd w:val="clear" w:color="000000" w:fill="D9D9D9"/>
            <w:vAlign w:val="center"/>
            <w:hideMark/>
          </w:tcPr>
          <w:p w14:paraId="44A305FD" w14:textId="77777777" w:rsidR="00F560FD" w:rsidRPr="002C29F1" w:rsidRDefault="00F560FD" w:rsidP="006A0658">
            <w:pPr>
              <w:spacing w:before="40" w:after="40" w:line="240" w:lineRule="auto"/>
              <w:jc w:val="center"/>
              <w:rPr>
                <w:rFonts w:ascii="Century Gothic" w:eastAsia="Times New Roman" w:hAnsi="Century Gothic" w:cs="Calibri"/>
                <w:color w:val="000000"/>
                <w:sz w:val="16"/>
                <w:szCs w:val="16"/>
                <w:lang w:eastAsia="es-MX"/>
              </w:rPr>
            </w:pPr>
            <w:r w:rsidRPr="002C29F1">
              <w:rPr>
                <w:rFonts w:ascii="Century Gothic" w:eastAsia="Times New Roman" w:hAnsi="Century Gothic" w:cs="Calibri"/>
                <w:color w:val="000000"/>
                <w:sz w:val="16"/>
                <w:szCs w:val="16"/>
                <w:lang w:eastAsia="es-MX"/>
              </w:rPr>
              <w:t>33</w:t>
            </w:r>
          </w:p>
        </w:tc>
        <w:tc>
          <w:tcPr>
            <w:tcW w:w="709" w:type="dxa"/>
            <w:tcBorders>
              <w:top w:val="nil"/>
              <w:left w:val="nil"/>
              <w:bottom w:val="single" w:sz="8" w:space="0" w:color="FFFFFF"/>
              <w:right w:val="single" w:sz="8" w:space="0" w:color="FFFFFF"/>
            </w:tcBorders>
            <w:shd w:val="clear" w:color="000000" w:fill="C5EAFF"/>
            <w:vAlign w:val="center"/>
            <w:hideMark/>
          </w:tcPr>
          <w:p w14:paraId="3D299C78" w14:textId="77777777" w:rsidR="00F560FD" w:rsidRPr="002C29F1" w:rsidRDefault="00F560FD" w:rsidP="006A0658">
            <w:pPr>
              <w:spacing w:before="40" w:after="40" w:line="240" w:lineRule="auto"/>
              <w:jc w:val="center"/>
              <w:rPr>
                <w:rFonts w:ascii="Century Gothic" w:eastAsia="Times New Roman" w:hAnsi="Century Gothic" w:cs="Calibri"/>
                <w:color w:val="000000"/>
                <w:sz w:val="16"/>
                <w:szCs w:val="16"/>
                <w:lang w:eastAsia="es-MX"/>
              </w:rPr>
            </w:pPr>
            <w:r w:rsidRPr="009F520A">
              <w:rPr>
                <w:rFonts w:ascii="Century Gothic" w:eastAsia="Times New Roman" w:hAnsi="Century Gothic" w:cs="Calibri"/>
                <w:color w:val="000000"/>
                <w:sz w:val="16"/>
                <w:szCs w:val="16"/>
                <w:lang w:eastAsia="es-MX"/>
              </w:rPr>
              <w:t>-</w:t>
            </w:r>
          </w:p>
        </w:tc>
        <w:tc>
          <w:tcPr>
            <w:tcW w:w="841" w:type="dxa"/>
            <w:tcBorders>
              <w:top w:val="nil"/>
              <w:left w:val="nil"/>
              <w:bottom w:val="single" w:sz="8" w:space="0" w:color="FFFFFF"/>
              <w:right w:val="single" w:sz="8" w:space="0" w:color="FFFFFF"/>
            </w:tcBorders>
            <w:shd w:val="clear" w:color="000000" w:fill="C5EAFF"/>
            <w:vAlign w:val="center"/>
            <w:hideMark/>
          </w:tcPr>
          <w:p w14:paraId="00646E1B" w14:textId="77777777" w:rsidR="00F560FD" w:rsidRPr="002C29F1" w:rsidRDefault="00F560FD" w:rsidP="006A0658">
            <w:pPr>
              <w:spacing w:before="40" w:after="40" w:line="240" w:lineRule="auto"/>
              <w:jc w:val="center"/>
              <w:rPr>
                <w:rFonts w:ascii="Century Gothic" w:eastAsia="Times New Roman" w:hAnsi="Century Gothic" w:cs="Calibri"/>
                <w:color w:val="000000"/>
                <w:sz w:val="16"/>
                <w:szCs w:val="16"/>
                <w:lang w:eastAsia="es-MX"/>
              </w:rPr>
            </w:pPr>
            <w:r w:rsidRPr="009F520A">
              <w:rPr>
                <w:rFonts w:ascii="Century Gothic" w:eastAsia="Times New Roman" w:hAnsi="Century Gothic" w:cs="Calibri"/>
                <w:color w:val="000000"/>
                <w:sz w:val="16"/>
                <w:szCs w:val="16"/>
                <w:lang w:eastAsia="es-MX"/>
              </w:rPr>
              <w:t>0</w:t>
            </w:r>
          </w:p>
        </w:tc>
        <w:tc>
          <w:tcPr>
            <w:tcW w:w="676" w:type="dxa"/>
            <w:tcBorders>
              <w:top w:val="nil"/>
              <w:left w:val="nil"/>
              <w:bottom w:val="single" w:sz="8" w:space="0" w:color="FFFFFF"/>
              <w:right w:val="single" w:sz="8" w:space="0" w:color="FFFFFF"/>
            </w:tcBorders>
            <w:shd w:val="clear" w:color="000000" w:fill="C5EAFF"/>
            <w:vAlign w:val="center"/>
            <w:hideMark/>
          </w:tcPr>
          <w:p w14:paraId="27E0B25D" w14:textId="77777777" w:rsidR="00F560FD" w:rsidRPr="002C29F1" w:rsidRDefault="00F560FD" w:rsidP="006A0658">
            <w:pPr>
              <w:spacing w:before="40" w:after="40" w:line="240" w:lineRule="auto"/>
              <w:jc w:val="center"/>
              <w:rPr>
                <w:rFonts w:ascii="Century Gothic" w:eastAsia="Times New Roman" w:hAnsi="Century Gothic" w:cs="Calibri"/>
                <w:b/>
                <w:bCs/>
                <w:color w:val="C00000"/>
                <w:sz w:val="16"/>
                <w:szCs w:val="16"/>
                <w:lang w:eastAsia="es-MX"/>
              </w:rPr>
            </w:pPr>
            <w:r w:rsidRPr="009F520A">
              <w:rPr>
                <w:rFonts w:ascii="Century Gothic" w:eastAsia="Times New Roman" w:hAnsi="Century Gothic" w:cs="Calibri"/>
                <w:color w:val="000000"/>
                <w:sz w:val="16"/>
                <w:szCs w:val="16"/>
                <w:lang w:eastAsia="es-MX"/>
              </w:rPr>
              <w:t>0</w:t>
            </w:r>
          </w:p>
        </w:tc>
        <w:tc>
          <w:tcPr>
            <w:tcW w:w="1155" w:type="dxa"/>
            <w:tcBorders>
              <w:top w:val="nil"/>
              <w:left w:val="nil"/>
              <w:bottom w:val="single" w:sz="8" w:space="0" w:color="FFFFFF"/>
              <w:right w:val="single" w:sz="8" w:space="0" w:color="FFFFFF"/>
            </w:tcBorders>
            <w:shd w:val="clear" w:color="000000" w:fill="F7CAAC"/>
            <w:vAlign w:val="center"/>
            <w:hideMark/>
          </w:tcPr>
          <w:p w14:paraId="7227683C" w14:textId="77777777" w:rsidR="00F560FD" w:rsidRPr="002C29F1" w:rsidRDefault="00F560FD" w:rsidP="006A0658">
            <w:pPr>
              <w:spacing w:before="40" w:after="40" w:line="240" w:lineRule="auto"/>
              <w:jc w:val="center"/>
              <w:rPr>
                <w:rFonts w:ascii="Century Gothic" w:eastAsia="Times New Roman" w:hAnsi="Century Gothic" w:cs="Calibri"/>
                <w:color w:val="000000"/>
                <w:sz w:val="16"/>
                <w:szCs w:val="16"/>
                <w:lang w:eastAsia="es-MX"/>
              </w:rPr>
            </w:pPr>
            <w:r w:rsidRPr="009F520A">
              <w:rPr>
                <w:rFonts w:ascii="Century Gothic" w:eastAsia="Times New Roman" w:hAnsi="Century Gothic" w:cs="Calibri"/>
                <w:color w:val="000000"/>
                <w:sz w:val="16"/>
                <w:szCs w:val="16"/>
                <w:lang w:eastAsia="es-MX"/>
              </w:rPr>
              <w:t>0</w:t>
            </w:r>
          </w:p>
        </w:tc>
        <w:tc>
          <w:tcPr>
            <w:tcW w:w="1155" w:type="dxa"/>
            <w:tcBorders>
              <w:top w:val="nil"/>
              <w:left w:val="nil"/>
              <w:bottom w:val="single" w:sz="8" w:space="0" w:color="FFFFFF"/>
              <w:right w:val="single" w:sz="8" w:space="0" w:color="FFFFFF"/>
            </w:tcBorders>
            <w:shd w:val="clear" w:color="000000" w:fill="F7CAAC"/>
            <w:vAlign w:val="center"/>
            <w:hideMark/>
          </w:tcPr>
          <w:p w14:paraId="6CD6B4D7" w14:textId="77777777" w:rsidR="00F560FD" w:rsidRPr="002C29F1" w:rsidRDefault="00F560FD" w:rsidP="006A0658">
            <w:pPr>
              <w:spacing w:before="40" w:after="40" w:line="240" w:lineRule="auto"/>
              <w:jc w:val="center"/>
              <w:rPr>
                <w:rFonts w:ascii="Century Gothic" w:eastAsia="Times New Roman" w:hAnsi="Century Gothic" w:cs="Calibri"/>
                <w:color w:val="000000"/>
                <w:sz w:val="16"/>
                <w:szCs w:val="16"/>
                <w:lang w:eastAsia="es-MX"/>
              </w:rPr>
            </w:pPr>
            <w:r w:rsidRPr="009F520A">
              <w:rPr>
                <w:rFonts w:ascii="Century Gothic" w:eastAsia="Times New Roman" w:hAnsi="Century Gothic" w:cs="Calibri"/>
                <w:color w:val="000000"/>
                <w:sz w:val="16"/>
                <w:szCs w:val="16"/>
                <w:lang w:eastAsia="es-MX"/>
              </w:rPr>
              <w:t>1</w:t>
            </w:r>
          </w:p>
        </w:tc>
        <w:tc>
          <w:tcPr>
            <w:tcW w:w="1207" w:type="dxa"/>
            <w:tcBorders>
              <w:top w:val="nil"/>
              <w:left w:val="nil"/>
              <w:bottom w:val="single" w:sz="8" w:space="0" w:color="FFFFFF"/>
              <w:right w:val="single" w:sz="8" w:space="0" w:color="FFFFFF"/>
            </w:tcBorders>
            <w:shd w:val="clear" w:color="000000" w:fill="F7CAAC"/>
            <w:vAlign w:val="center"/>
            <w:hideMark/>
          </w:tcPr>
          <w:p w14:paraId="03E47D71" w14:textId="77777777" w:rsidR="00F560FD" w:rsidRPr="002C29F1" w:rsidRDefault="00F560FD" w:rsidP="006A0658">
            <w:pPr>
              <w:spacing w:before="40" w:after="40" w:line="240" w:lineRule="auto"/>
              <w:jc w:val="center"/>
              <w:rPr>
                <w:rFonts w:ascii="Century Gothic" w:eastAsia="Times New Roman" w:hAnsi="Century Gothic" w:cs="Calibri"/>
                <w:b/>
                <w:bCs/>
                <w:color w:val="548235"/>
                <w:sz w:val="16"/>
                <w:szCs w:val="16"/>
                <w:lang w:eastAsia="es-MX"/>
              </w:rPr>
            </w:pPr>
            <w:r w:rsidRPr="009F520A">
              <w:rPr>
                <w:rFonts w:ascii="Century Gothic" w:eastAsia="Times New Roman" w:hAnsi="Century Gothic" w:cs="Calibri"/>
                <w:b/>
                <w:bCs/>
                <w:color w:val="548235"/>
                <w:sz w:val="16"/>
                <w:szCs w:val="16"/>
                <w:lang w:eastAsia="es-MX"/>
              </w:rPr>
              <w:t>0</w:t>
            </w:r>
          </w:p>
        </w:tc>
      </w:tr>
      <w:tr w:rsidR="00F560FD" w:rsidRPr="002C29F1" w14:paraId="236F6153" w14:textId="77777777" w:rsidTr="006A0658">
        <w:trPr>
          <w:trHeight w:val="555"/>
          <w:jc w:val="center"/>
        </w:trPr>
        <w:tc>
          <w:tcPr>
            <w:tcW w:w="572" w:type="dxa"/>
            <w:tcBorders>
              <w:top w:val="nil"/>
              <w:left w:val="single" w:sz="8" w:space="0" w:color="FFFFFF"/>
              <w:bottom w:val="single" w:sz="8" w:space="0" w:color="FFFFFF"/>
              <w:right w:val="single" w:sz="8" w:space="0" w:color="FFFFFF"/>
            </w:tcBorders>
            <w:shd w:val="clear" w:color="000000" w:fill="D9D9D9"/>
            <w:noWrap/>
            <w:vAlign w:val="center"/>
            <w:hideMark/>
          </w:tcPr>
          <w:p w14:paraId="5C5B0ED1" w14:textId="77777777" w:rsidR="00F560FD" w:rsidRPr="002C29F1" w:rsidRDefault="00F560FD" w:rsidP="006A0658">
            <w:pPr>
              <w:spacing w:before="40" w:after="40" w:line="240" w:lineRule="auto"/>
              <w:jc w:val="center"/>
              <w:rPr>
                <w:rFonts w:ascii="Century Gothic" w:eastAsia="Times New Roman" w:hAnsi="Century Gothic" w:cs="Calibri"/>
                <w:color w:val="000000"/>
                <w:sz w:val="16"/>
                <w:szCs w:val="16"/>
                <w:lang w:eastAsia="es-MX"/>
              </w:rPr>
            </w:pPr>
            <w:r w:rsidRPr="002C29F1">
              <w:rPr>
                <w:rFonts w:ascii="Century Gothic" w:eastAsia="Times New Roman" w:hAnsi="Century Gothic" w:cs="Calibri"/>
                <w:color w:val="000000"/>
                <w:sz w:val="16"/>
                <w:szCs w:val="16"/>
                <w:lang w:eastAsia="es-MX"/>
              </w:rPr>
              <w:t>DGES</w:t>
            </w:r>
          </w:p>
        </w:tc>
        <w:tc>
          <w:tcPr>
            <w:tcW w:w="5088" w:type="dxa"/>
            <w:tcBorders>
              <w:top w:val="nil"/>
              <w:left w:val="nil"/>
              <w:bottom w:val="single" w:sz="8" w:space="0" w:color="FFFFFF"/>
              <w:right w:val="single" w:sz="8" w:space="0" w:color="FFFFFF"/>
            </w:tcBorders>
            <w:shd w:val="clear" w:color="000000" w:fill="D9D9D9"/>
            <w:vAlign w:val="center"/>
            <w:hideMark/>
          </w:tcPr>
          <w:p w14:paraId="2C5457A5" w14:textId="77777777" w:rsidR="00F560FD" w:rsidRPr="002C29F1" w:rsidRDefault="00F560FD" w:rsidP="006A0658">
            <w:pPr>
              <w:spacing w:before="40" w:after="40" w:line="240" w:lineRule="auto"/>
              <w:rPr>
                <w:rFonts w:ascii="Century Gothic" w:eastAsia="Times New Roman" w:hAnsi="Century Gothic" w:cs="Calibri"/>
                <w:color w:val="000000"/>
                <w:sz w:val="16"/>
                <w:szCs w:val="16"/>
                <w:lang w:eastAsia="es-MX"/>
              </w:rPr>
            </w:pPr>
            <w:r w:rsidRPr="002C29F1">
              <w:rPr>
                <w:rFonts w:ascii="Century Gothic" w:eastAsia="Times New Roman" w:hAnsi="Century Gothic" w:cs="Calibri"/>
                <w:color w:val="000000"/>
                <w:sz w:val="16"/>
                <w:szCs w:val="16"/>
                <w:lang w:eastAsia="es-MX"/>
              </w:rPr>
              <w:t>Estadísticas de Salud en Establecimientos Particulares</w:t>
            </w:r>
          </w:p>
        </w:tc>
        <w:tc>
          <w:tcPr>
            <w:tcW w:w="993" w:type="dxa"/>
            <w:tcBorders>
              <w:top w:val="nil"/>
              <w:left w:val="nil"/>
              <w:bottom w:val="single" w:sz="8" w:space="0" w:color="FFFFFF"/>
              <w:right w:val="single" w:sz="8" w:space="0" w:color="FFFFFF"/>
            </w:tcBorders>
            <w:shd w:val="clear" w:color="000000" w:fill="D9D9D9"/>
            <w:vAlign w:val="center"/>
            <w:hideMark/>
          </w:tcPr>
          <w:p w14:paraId="3AB3281D" w14:textId="77777777" w:rsidR="00F560FD" w:rsidRPr="002C29F1" w:rsidRDefault="00F560FD" w:rsidP="006A0658">
            <w:pPr>
              <w:spacing w:before="40" w:after="40" w:line="240" w:lineRule="auto"/>
              <w:rPr>
                <w:rFonts w:ascii="Century Gothic" w:eastAsia="Times New Roman" w:hAnsi="Century Gothic" w:cs="Calibri"/>
                <w:color w:val="000000"/>
                <w:sz w:val="16"/>
                <w:szCs w:val="16"/>
                <w:lang w:eastAsia="es-MX"/>
              </w:rPr>
            </w:pPr>
            <w:r w:rsidRPr="002C29F1">
              <w:rPr>
                <w:rFonts w:ascii="Century Gothic" w:eastAsia="Times New Roman" w:hAnsi="Century Gothic" w:cs="Calibri"/>
                <w:color w:val="000000"/>
                <w:sz w:val="16"/>
                <w:szCs w:val="16"/>
                <w:lang w:eastAsia="es-MX"/>
              </w:rPr>
              <w:t>ESEP</w:t>
            </w:r>
          </w:p>
        </w:tc>
        <w:tc>
          <w:tcPr>
            <w:tcW w:w="708" w:type="dxa"/>
            <w:tcBorders>
              <w:top w:val="nil"/>
              <w:left w:val="nil"/>
              <w:bottom w:val="single" w:sz="8" w:space="0" w:color="FFFFFF"/>
              <w:right w:val="single" w:sz="8" w:space="0" w:color="FFFFFF"/>
            </w:tcBorders>
            <w:shd w:val="clear" w:color="000000" w:fill="D9D9D9"/>
            <w:vAlign w:val="center"/>
            <w:hideMark/>
          </w:tcPr>
          <w:p w14:paraId="0616ABD8" w14:textId="77777777" w:rsidR="00F560FD" w:rsidRPr="002C29F1" w:rsidRDefault="00F560FD" w:rsidP="006A0658">
            <w:pPr>
              <w:spacing w:before="40" w:after="40" w:line="240" w:lineRule="auto"/>
              <w:jc w:val="center"/>
              <w:rPr>
                <w:rFonts w:ascii="Century Gothic" w:eastAsia="Times New Roman" w:hAnsi="Century Gothic" w:cs="Calibri"/>
                <w:color w:val="000000"/>
                <w:sz w:val="16"/>
                <w:szCs w:val="16"/>
                <w:lang w:eastAsia="es-MX"/>
              </w:rPr>
            </w:pPr>
            <w:r w:rsidRPr="002C29F1">
              <w:rPr>
                <w:rFonts w:ascii="Century Gothic" w:eastAsia="Times New Roman" w:hAnsi="Century Gothic" w:cs="Calibri"/>
                <w:color w:val="000000"/>
                <w:sz w:val="16"/>
                <w:szCs w:val="16"/>
                <w:lang w:eastAsia="es-MX"/>
              </w:rPr>
              <w:t>33</w:t>
            </w:r>
          </w:p>
        </w:tc>
        <w:tc>
          <w:tcPr>
            <w:tcW w:w="567" w:type="dxa"/>
            <w:tcBorders>
              <w:top w:val="nil"/>
              <w:left w:val="nil"/>
              <w:bottom w:val="single" w:sz="8" w:space="0" w:color="FFFFFF"/>
              <w:right w:val="single" w:sz="8" w:space="0" w:color="FFFFFF"/>
            </w:tcBorders>
            <w:shd w:val="clear" w:color="000000" w:fill="D9D9D9"/>
            <w:vAlign w:val="center"/>
            <w:hideMark/>
          </w:tcPr>
          <w:p w14:paraId="2ECB1FA3" w14:textId="77777777" w:rsidR="00F560FD" w:rsidRPr="002C29F1" w:rsidRDefault="00F560FD" w:rsidP="006A0658">
            <w:pPr>
              <w:spacing w:before="40" w:after="40" w:line="240" w:lineRule="auto"/>
              <w:jc w:val="center"/>
              <w:rPr>
                <w:rFonts w:ascii="Century Gothic" w:eastAsia="Times New Roman" w:hAnsi="Century Gothic" w:cs="Calibri"/>
                <w:color w:val="000000"/>
                <w:sz w:val="16"/>
                <w:szCs w:val="16"/>
                <w:lang w:eastAsia="es-MX"/>
              </w:rPr>
            </w:pPr>
            <w:r w:rsidRPr="002C29F1">
              <w:rPr>
                <w:rFonts w:ascii="Century Gothic" w:eastAsia="Times New Roman" w:hAnsi="Century Gothic" w:cs="Calibri"/>
                <w:color w:val="000000"/>
                <w:sz w:val="16"/>
                <w:szCs w:val="16"/>
                <w:lang w:eastAsia="es-MX"/>
              </w:rPr>
              <w:t>33</w:t>
            </w:r>
          </w:p>
        </w:tc>
        <w:tc>
          <w:tcPr>
            <w:tcW w:w="709" w:type="dxa"/>
            <w:tcBorders>
              <w:top w:val="nil"/>
              <w:left w:val="nil"/>
              <w:bottom w:val="single" w:sz="8" w:space="0" w:color="FFFFFF"/>
              <w:right w:val="single" w:sz="8" w:space="0" w:color="FFFFFF"/>
            </w:tcBorders>
            <w:shd w:val="clear" w:color="000000" w:fill="D9D9D9"/>
            <w:vAlign w:val="center"/>
            <w:hideMark/>
          </w:tcPr>
          <w:p w14:paraId="41898376" w14:textId="77777777" w:rsidR="00F560FD" w:rsidRPr="002C29F1" w:rsidRDefault="00F560FD" w:rsidP="006A0658">
            <w:pPr>
              <w:spacing w:before="40" w:after="40" w:line="240" w:lineRule="auto"/>
              <w:jc w:val="center"/>
              <w:rPr>
                <w:rFonts w:ascii="Century Gothic" w:eastAsia="Times New Roman" w:hAnsi="Century Gothic" w:cs="Calibri"/>
                <w:color w:val="000000"/>
                <w:sz w:val="16"/>
                <w:szCs w:val="16"/>
                <w:lang w:eastAsia="es-MX"/>
              </w:rPr>
            </w:pPr>
            <w:r w:rsidRPr="002C29F1">
              <w:rPr>
                <w:rFonts w:ascii="Century Gothic" w:eastAsia="Times New Roman" w:hAnsi="Century Gothic" w:cs="Calibri"/>
                <w:color w:val="000000"/>
                <w:sz w:val="16"/>
                <w:szCs w:val="16"/>
                <w:lang w:eastAsia="es-MX"/>
              </w:rPr>
              <w:t>33</w:t>
            </w:r>
          </w:p>
        </w:tc>
        <w:tc>
          <w:tcPr>
            <w:tcW w:w="709" w:type="dxa"/>
            <w:tcBorders>
              <w:top w:val="nil"/>
              <w:left w:val="nil"/>
              <w:bottom w:val="single" w:sz="8" w:space="0" w:color="FFFFFF"/>
              <w:right w:val="single" w:sz="8" w:space="0" w:color="FFFFFF"/>
            </w:tcBorders>
            <w:shd w:val="clear" w:color="000000" w:fill="C5EAFF"/>
            <w:vAlign w:val="center"/>
            <w:hideMark/>
          </w:tcPr>
          <w:p w14:paraId="53851823" w14:textId="77777777" w:rsidR="00F560FD" w:rsidRPr="002C29F1" w:rsidRDefault="00F560FD" w:rsidP="006A0658">
            <w:pPr>
              <w:spacing w:before="40" w:after="40" w:line="240" w:lineRule="auto"/>
              <w:jc w:val="center"/>
              <w:rPr>
                <w:rFonts w:ascii="Century Gothic" w:eastAsia="Times New Roman" w:hAnsi="Century Gothic" w:cs="Calibri"/>
                <w:color w:val="000000"/>
                <w:sz w:val="16"/>
                <w:szCs w:val="16"/>
                <w:lang w:eastAsia="es-MX"/>
              </w:rPr>
            </w:pPr>
            <w:r w:rsidRPr="009F520A">
              <w:rPr>
                <w:rFonts w:ascii="Century Gothic" w:eastAsia="Times New Roman" w:hAnsi="Century Gothic" w:cs="Calibri"/>
                <w:color w:val="000000"/>
                <w:sz w:val="16"/>
                <w:szCs w:val="16"/>
                <w:lang w:eastAsia="es-MX"/>
              </w:rPr>
              <w:t>0</w:t>
            </w:r>
          </w:p>
        </w:tc>
        <w:tc>
          <w:tcPr>
            <w:tcW w:w="841" w:type="dxa"/>
            <w:tcBorders>
              <w:top w:val="nil"/>
              <w:left w:val="nil"/>
              <w:bottom w:val="single" w:sz="8" w:space="0" w:color="FFFFFF"/>
              <w:right w:val="single" w:sz="8" w:space="0" w:color="FFFFFF"/>
            </w:tcBorders>
            <w:shd w:val="clear" w:color="000000" w:fill="C5EAFF"/>
            <w:vAlign w:val="center"/>
            <w:hideMark/>
          </w:tcPr>
          <w:p w14:paraId="33FBE17D" w14:textId="77777777" w:rsidR="00F560FD" w:rsidRPr="002C29F1" w:rsidRDefault="00F560FD" w:rsidP="006A0658">
            <w:pPr>
              <w:spacing w:before="40" w:after="40" w:line="240" w:lineRule="auto"/>
              <w:jc w:val="center"/>
              <w:rPr>
                <w:rFonts w:ascii="Century Gothic" w:eastAsia="Times New Roman" w:hAnsi="Century Gothic" w:cs="Calibri"/>
                <w:color w:val="000000"/>
                <w:sz w:val="16"/>
                <w:szCs w:val="16"/>
                <w:lang w:eastAsia="es-MX"/>
              </w:rPr>
            </w:pPr>
            <w:r w:rsidRPr="009F520A">
              <w:rPr>
                <w:rFonts w:ascii="Century Gothic" w:eastAsia="Times New Roman" w:hAnsi="Century Gothic" w:cs="Calibri"/>
                <w:color w:val="000000"/>
                <w:sz w:val="16"/>
                <w:szCs w:val="16"/>
                <w:lang w:eastAsia="es-MX"/>
              </w:rPr>
              <w:t>0</w:t>
            </w:r>
          </w:p>
        </w:tc>
        <w:tc>
          <w:tcPr>
            <w:tcW w:w="676" w:type="dxa"/>
            <w:tcBorders>
              <w:top w:val="nil"/>
              <w:left w:val="nil"/>
              <w:bottom w:val="single" w:sz="8" w:space="0" w:color="FFFFFF"/>
              <w:right w:val="single" w:sz="8" w:space="0" w:color="FFFFFF"/>
            </w:tcBorders>
            <w:shd w:val="clear" w:color="000000" w:fill="C5EAFF"/>
            <w:vAlign w:val="center"/>
            <w:hideMark/>
          </w:tcPr>
          <w:p w14:paraId="61064C07" w14:textId="77777777" w:rsidR="00F560FD" w:rsidRPr="002C29F1" w:rsidRDefault="00F560FD" w:rsidP="006A0658">
            <w:pPr>
              <w:spacing w:before="40" w:after="40" w:line="240" w:lineRule="auto"/>
              <w:jc w:val="center"/>
              <w:rPr>
                <w:rFonts w:ascii="Century Gothic" w:eastAsia="Times New Roman" w:hAnsi="Century Gothic" w:cs="Calibri"/>
                <w:color w:val="000000"/>
                <w:sz w:val="16"/>
                <w:szCs w:val="16"/>
                <w:lang w:eastAsia="es-MX"/>
              </w:rPr>
            </w:pPr>
            <w:r w:rsidRPr="009F520A">
              <w:rPr>
                <w:rFonts w:ascii="Century Gothic" w:eastAsia="Times New Roman" w:hAnsi="Century Gothic" w:cs="Calibri"/>
                <w:color w:val="000000"/>
                <w:sz w:val="16"/>
                <w:szCs w:val="16"/>
                <w:lang w:eastAsia="es-MX"/>
              </w:rPr>
              <w:t>0</w:t>
            </w:r>
          </w:p>
        </w:tc>
        <w:tc>
          <w:tcPr>
            <w:tcW w:w="1155" w:type="dxa"/>
            <w:tcBorders>
              <w:top w:val="nil"/>
              <w:left w:val="nil"/>
              <w:bottom w:val="single" w:sz="8" w:space="0" w:color="FFFFFF"/>
              <w:right w:val="single" w:sz="8" w:space="0" w:color="FFFFFF"/>
            </w:tcBorders>
            <w:shd w:val="clear" w:color="000000" w:fill="F7CAAC"/>
            <w:vAlign w:val="center"/>
            <w:hideMark/>
          </w:tcPr>
          <w:p w14:paraId="499F9DA8" w14:textId="77777777" w:rsidR="00F560FD" w:rsidRPr="002C29F1" w:rsidRDefault="00F560FD" w:rsidP="006A0658">
            <w:pPr>
              <w:spacing w:before="40" w:after="40" w:line="240" w:lineRule="auto"/>
              <w:jc w:val="center"/>
              <w:rPr>
                <w:rFonts w:ascii="Century Gothic" w:eastAsia="Times New Roman" w:hAnsi="Century Gothic" w:cs="Calibri"/>
                <w:color w:val="000000"/>
                <w:sz w:val="16"/>
                <w:szCs w:val="16"/>
                <w:lang w:eastAsia="es-MX"/>
              </w:rPr>
            </w:pPr>
            <w:r w:rsidRPr="009F520A">
              <w:rPr>
                <w:rFonts w:ascii="Century Gothic" w:eastAsia="Times New Roman" w:hAnsi="Century Gothic" w:cs="Calibri"/>
                <w:color w:val="000000"/>
                <w:sz w:val="16"/>
                <w:szCs w:val="16"/>
                <w:lang w:eastAsia="es-MX"/>
              </w:rPr>
              <w:t>0</w:t>
            </w:r>
          </w:p>
        </w:tc>
        <w:tc>
          <w:tcPr>
            <w:tcW w:w="1155" w:type="dxa"/>
            <w:tcBorders>
              <w:top w:val="nil"/>
              <w:left w:val="nil"/>
              <w:bottom w:val="single" w:sz="8" w:space="0" w:color="FFFFFF"/>
              <w:right w:val="single" w:sz="8" w:space="0" w:color="FFFFFF"/>
            </w:tcBorders>
            <w:shd w:val="clear" w:color="000000" w:fill="F7CAAC"/>
            <w:vAlign w:val="center"/>
            <w:hideMark/>
          </w:tcPr>
          <w:p w14:paraId="0B700C34" w14:textId="77777777" w:rsidR="00F560FD" w:rsidRPr="002C29F1" w:rsidRDefault="00F560FD" w:rsidP="006A0658">
            <w:pPr>
              <w:spacing w:before="40" w:after="40" w:line="240" w:lineRule="auto"/>
              <w:jc w:val="center"/>
              <w:rPr>
                <w:rFonts w:ascii="Century Gothic" w:eastAsia="Times New Roman" w:hAnsi="Century Gothic" w:cs="Calibri"/>
                <w:color w:val="000000"/>
                <w:sz w:val="16"/>
                <w:szCs w:val="16"/>
                <w:lang w:eastAsia="es-MX"/>
              </w:rPr>
            </w:pPr>
            <w:r w:rsidRPr="009F520A">
              <w:rPr>
                <w:rFonts w:ascii="Century Gothic" w:eastAsia="Times New Roman" w:hAnsi="Century Gothic" w:cs="Calibri"/>
                <w:color w:val="000000"/>
                <w:sz w:val="16"/>
                <w:szCs w:val="16"/>
                <w:lang w:eastAsia="es-MX"/>
              </w:rPr>
              <w:t>0</w:t>
            </w:r>
          </w:p>
        </w:tc>
        <w:tc>
          <w:tcPr>
            <w:tcW w:w="1207" w:type="dxa"/>
            <w:tcBorders>
              <w:top w:val="nil"/>
              <w:left w:val="nil"/>
              <w:bottom w:val="single" w:sz="8" w:space="0" w:color="FFFFFF"/>
              <w:right w:val="single" w:sz="8" w:space="0" w:color="FFFFFF"/>
            </w:tcBorders>
            <w:shd w:val="clear" w:color="000000" w:fill="F7CAAC"/>
            <w:vAlign w:val="center"/>
            <w:hideMark/>
          </w:tcPr>
          <w:p w14:paraId="6490D605" w14:textId="77777777" w:rsidR="00F560FD" w:rsidRPr="002C29F1" w:rsidRDefault="00F560FD" w:rsidP="006A0658">
            <w:pPr>
              <w:spacing w:before="40" w:after="40" w:line="240" w:lineRule="auto"/>
              <w:jc w:val="center"/>
              <w:rPr>
                <w:rFonts w:ascii="Century Gothic" w:eastAsia="Times New Roman" w:hAnsi="Century Gothic" w:cs="Calibri"/>
                <w:color w:val="000000"/>
                <w:sz w:val="16"/>
                <w:szCs w:val="16"/>
                <w:lang w:eastAsia="es-MX"/>
              </w:rPr>
            </w:pPr>
            <w:r w:rsidRPr="009F520A">
              <w:rPr>
                <w:rFonts w:ascii="Century Gothic" w:eastAsia="Times New Roman" w:hAnsi="Century Gothic" w:cs="Calibri"/>
                <w:color w:val="000000"/>
                <w:sz w:val="16"/>
                <w:szCs w:val="16"/>
                <w:lang w:eastAsia="es-MX"/>
              </w:rPr>
              <w:t>0</w:t>
            </w:r>
          </w:p>
        </w:tc>
      </w:tr>
      <w:tr w:rsidR="00F560FD" w:rsidRPr="002C29F1" w14:paraId="336797D7" w14:textId="77777777" w:rsidTr="006A0658">
        <w:trPr>
          <w:trHeight w:val="315"/>
          <w:jc w:val="center"/>
        </w:trPr>
        <w:tc>
          <w:tcPr>
            <w:tcW w:w="572" w:type="dxa"/>
            <w:tcBorders>
              <w:top w:val="nil"/>
              <w:left w:val="single" w:sz="8" w:space="0" w:color="FFFFFF"/>
              <w:bottom w:val="single" w:sz="8" w:space="0" w:color="FFFFFF"/>
              <w:right w:val="single" w:sz="8" w:space="0" w:color="FFFFFF"/>
            </w:tcBorders>
            <w:shd w:val="clear" w:color="000000" w:fill="D9D9D9"/>
            <w:noWrap/>
            <w:vAlign w:val="center"/>
            <w:hideMark/>
          </w:tcPr>
          <w:p w14:paraId="02F56906" w14:textId="77777777" w:rsidR="00F560FD" w:rsidRPr="002C29F1" w:rsidRDefault="00F560FD" w:rsidP="006A0658">
            <w:pPr>
              <w:spacing w:before="40" w:after="40" w:line="240" w:lineRule="auto"/>
              <w:jc w:val="center"/>
              <w:rPr>
                <w:rFonts w:ascii="Century Gothic" w:eastAsia="Times New Roman" w:hAnsi="Century Gothic" w:cs="Calibri"/>
                <w:color w:val="000000"/>
                <w:sz w:val="16"/>
                <w:szCs w:val="16"/>
                <w:lang w:eastAsia="es-MX"/>
              </w:rPr>
            </w:pPr>
            <w:r w:rsidRPr="002C29F1">
              <w:rPr>
                <w:rFonts w:ascii="Century Gothic" w:eastAsia="Times New Roman" w:hAnsi="Century Gothic" w:cs="Calibri"/>
                <w:color w:val="000000"/>
                <w:sz w:val="16"/>
                <w:szCs w:val="16"/>
                <w:lang w:eastAsia="es-MX"/>
              </w:rPr>
              <w:t>DGES</w:t>
            </w:r>
          </w:p>
        </w:tc>
        <w:tc>
          <w:tcPr>
            <w:tcW w:w="5088" w:type="dxa"/>
            <w:tcBorders>
              <w:top w:val="nil"/>
              <w:left w:val="nil"/>
              <w:bottom w:val="single" w:sz="8" w:space="0" w:color="FFFFFF"/>
              <w:right w:val="single" w:sz="8" w:space="0" w:color="FFFFFF"/>
            </w:tcBorders>
            <w:shd w:val="clear" w:color="000000" w:fill="D9D9D9"/>
            <w:vAlign w:val="center"/>
            <w:hideMark/>
          </w:tcPr>
          <w:p w14:paraId="1BCAC3AE" w14:textId="77777777" w:rsidR="00F560FD" w:rsidRPr="002C29F1" w:rsidRDefault="00F560FD" w:rsidP="006A0658">
            <w:pPr>
              <w:spacing w:before="40" w:after="40" w:line="240" w:lineRule="auto"/>
              <w:rPr>
                <w:rFonts w:ascii="Century Gothic" w:eastAsia="Times New Roman" w:hAnsi="Century Gothic" w:cs="Calibri"/>
                <w:color w:val="000000"/>
                <w:sz w:val="16"/>
                <w:szCs w:val="16"/>
                <w:lang w:eastAsia="es-MX"/>
              </w:rPr>
            </w:pPr>
            <w:r w:rsidRPr="002C29F1">
              <w:rPr>
                <w:rFonts w:ascii="Century Gothic" w:eastAsia="Times New Roman" w:hAnsi="Century Gothic" w:cs="Calibri"/>
                <w:color w:val="000000"/>
                <w:sz w:val="16"/>
                <w:szCs w:val="16"/>
                <w:lang w:eastAsia="es-MX"/>
              </w:rPr>
              <w:t>Estadística de Museos</w:t>
            </w:r>
          </w:p>
        </w:tc>
        <w:tc>
          <w:tcPr>
            <w:tcW w:w="993" w:type="dxa"/>
            <w:tcBorders>
              <w:top w:val="nil"/>
              <w:left w:val="nil"/>
              <w:bottom w:val="single" w:sz="8" w:space="0" w:color="FFFFFF"/>
              <w:right w:val="single" w:sz="8" w:space="0" w:color="FFFFFF"/>
            </w:tcBorders>
            <w:shd w:val="clear" w:color="000000" w:fill="D9D9D9"/>
            <w:vAlign w:val="center"/>
            <w:hideMark/>
          </w:tcPr>
          <w:p w14:paraId="4CC19C0A" w14:textId="77777777" w:rsidR="00F560FD" w:rsidRPr="002C29F1" w:rsidRDefault="00F560FD" w:rsidP="006A0658">
            <w:pPr>
              <w:spacing w:before="40" w:after="40" w:line="240" w:lineRule="auto"/>
              <w:rPr>
                <w:rFonts w:ascii="Century Gothic" w:eastAsia="Times New Roman" w:hAnsi="Century Gothic" w:cs="Calibri"/>
                <w:color w:val="000000"/>
                <w:sz w:val="16"/>
                <w:szCs w:val="16"/>
                <w:lang w:eastAsia="es-MX"/>
              </w:rPr>
            </w:pPr>
            <w:r w:rsidRPr="002C29F1">
              <w:rPr>
                <w:rFonts w:ascii="Century Gothic" w:eastAsia="Times New Roman" w:hAnsi="Century Gothic" w:cs="Calibri"/>
                <w:color w:val="000000"/>
                <w:sz w:val="16"/>
                <w:szCs w:val="16"/>
                <w:lang w:eastAsia="es-MX"/>
              </w:rPr>
              <w:t>EM</w:t>
            </w:r>
          </w:p>
        </w:tc>
        <w:tc>
          <w:tcPr>
            <w:tcW w:w="708" w:type="dxa"/>
            <w:tcBorders>
              <w:top w:val="nil"/>
              <w:left w:val="nil"/>
              <w:bottom w:val="single" w:sz="8" w:space="0" w:color="FFFFFF"/>
              <w:right w:val="single" w:sz="8" w:space="0" w:color="FFFFFF"/>
            </w:tcBorders>
            <w:shd w:val="clear" w:color="000000" w:fill="D9D9D9"/>
            <w:vAlign w:val="center"/>
            <w:hideMark/>
          </w:tcPr>
          <w:p w14:paraId="3A8C1475" w14:textId="77777777" w:rsidR="00F560FD" w:rsidRPr="002C29F1" w:rsidRDefault="00F560FD" w:rsidP="006A0658">
            <w:pPr>
              <w:spacing w:before="40" w:after="40" w:line="240" w:lineRule="auto"/>
              <w:jc w:val="center"/>
              <w:rPr>
                <w:rFonts w:ascii="Century Gothic" w:eastAsia="Times New Roman" w:hAnsi="Century Gothic" w:cs="Calibri"/>
                <w:color w:val="000000"/>
                <w:sz w:val="16"/>
                <w:szCs w:val="16"/>
                <w:lang w:eastAsia="es-MX"/>
              </w:rPr>
            </w:pPr>
            <w:r w:rsidRPr="002C29F1">
              <w:rPr>
                <w:rFonts w:ascii="Century Gothic" w:eastAsia="Times New Roman" w:hAnsi="Century Gothic" w:cs="Calibri"/>
                <w:color w:val="000000"/>
                <w:sz w:val="16"/>
                <w:szCs w:val="16"/>
                <w:lang w:eastAsia="es-MX"/>
              </w:rPr>
              <w:t>-</w:t>
            </w:r>
          </w:p>
        </w:tc>
        <w:tc>
          <w:tcPr>
            <w:tcW w:w="567" w:type="dxa"/>
            <w:tcBorders>
              <w:top w:val="nil"/>
              <w:left w:val="nil"/>
              <w:bottom w:val="single" w:sz="8" w:space="0" w:color="FFFFFF"/>
              <w:right w:val="single" w:sz="8" w:space="0" w:color="FFFFFF"/>
            </w:tcBorders>
            <w:shd w:val="clear" w:color="000000" w:fill="D9D9D9"/>
            <w:vAlign w:val="center"/>
            <w:hideMark/>
          </w:tcPr>
          <w:p w14:paraId="2AF9AAC4" w14:textId="77777777" w:rsidR="00F560FD" w:rsidRPr="002C29F1" w:rsidRDefault="00F560FD" w:rsidP="006A0658">
            <w:pPr>
              <w:spacing w:before="40" w:after="40" w:line="240" w:lineRule="auto"/>
              <w:jc w:val="center"/>
              <w:rPr>
                <w:rFonts w:ascii="Century Gothic" w:eastAsia="Times New Roman" w:hAnsi="Century Gothic" w:cs="Calibri"/>
                <w:color w:val="000000"/>
                <w:sz w:val="16"/>
                <w:szCs w:val="16"/>
                <w:lang w:eastAsia="es-MX"/>
              </w:rPr>
            </w:pPr>
            <w:r w:rsidRPr="002C29F1">
              <w:rPr>
                <w:rFonts w:ascii="Century Gothic" w:eastAsia="Times New Roman" w:hAnsi="Century Gothic" w:cs="Calibri"/>
                <w:color w:val="000000"/>
                <w:sz w:val="16"/>
                <w:szCs w:val="16"/>
                <w:lang w:eastAsia="es-MX"/>
              </w:rPr>
              <w:t>33</w:t>
            </w:r>
          </w:p>
        </w:tc>
        <w:tc>
          <w:tcPr>
            <w:tcW w:w="709" w:type="dxa"/>
            <w:tcBorders>
              <w:top w:val="nil"/>
              <w:left w:val="nil"/>
              <w:bottom w:val="single" w:sz="8" w:space="0" w:color="FFFFFF"/>
              <w:right w:val="single" w:sz="8" w:space="0" w:color="FFFFFF"/>
            </w:tcBorders>
            <w:shd w:val="clear" w:color="000000" w:fill="D9D9D9"/>
            <w:vAlign w:val="center"/>
            <w:hideMark/>
          </w:tcPr>
          <w:p w14:paraId="4718E803" w14:textId="77777777" w:rsidR="00F560FD" w:rsidRPr="002C29F1" w:rsidRDefault="00F560FD" w:rsidP="006A0658">
            <w:pPr>
              <w:spacing w:before="40" w:after="40" w:line="240" w:lineRule="auto"/>
              <w:jc w:val="center"/>
              <w:rPr>
                <w:rFonts w:ascii="Century Gothic" w:eastAsia="Times New Roman" w:hAnsi="Century Gothic" w:cs="Calibri"/>
                <w:color w:val="000000"/>
                <w:sz w:val="16"/>
                <w:szCs w:val="16"/>
                <w:lang w:eastAsia="es-MX"/>
              </w:rPr>
            </w:pPr>
            <w:r w:rsidRPr="002C29F1">
              <w:rPr>
                <w:rFonts w:ascii="Century Gothic" w:eastAsia="Times New Roman" w:hAnsi="Century Gothic" w:cs="Calibri"/>
                <w:color w:val="000000"/>
                <w:sz w:val="16"/>
                <w:szCs w:val="16"/>
                <w:lang w:eastAsia="es-MX"/>
              </w:rPr>
              <w:t>33</w:t>
            </w:r>
          </w:p>
        </w:tc>
        <w:tc>
          <w:tcPr>
            <w:tcW w:w="709" w:type="dxa"/>
            <w:tcBorders>
              <w:top w:val="nil"/>
              <w:left w:val="nil"/>
              <w:bottom w:val="single" w:sz="8" w:space="0" w:color="FFFFFF"/>
              <w:right w:val="single" w:sz="8" w:space="0" w:color="FFFFFF"/>
            </w:tcBorders>
            <w:shd w:val="clear" w:color="000000" w:fill="C5EAFF"/>
            <w:vAlign w:val="center"/>
            <w:hideMark/>
          </w:tcPr>
          <w:p w14:paraId="21898785" w14:textId="77777777" w:rsidR="00F560FD" w:rsidRPr="002C29F1" w:rsidRDefault="00F560FD" w:rsidP="006A0658">
            <w:pPr>
              <w:spacing w:before="40" w:after="40" w:line="240" w:lineRule="auto"/>
              <w:jc w:val="center"/>
              <w:rPr>
                <w:rFonts w:ascii="Century Gothic" w:eastAsia="Times New Roman" w:hAnsi="Century Gothic" w:cs="Calibri"/>
                <w:color w:val="000000"/>
                <w:sz w:val="16"/>
                <w:szCs w:val="16"/>
                <w:lang w:eastAsia="es-MX"/>
              </w:rPr>
            </w:pPr>
            <w:r w:rsidRPr="009F520A">
              <w:rPr>
                <w:rFonts w:ascii="Century Gothic" w:eastAsia="Times New Roman" w:hAnsi="Century Gothic" w:cs="Calibri"/>
                <w:color w:val="000000"/>
                <w:sz w:val="16"/>
                <w:szCs w:val="16"/>
                <w:lang w:eastAsia="es-MX"/>
              </w:rPr>
              <w:t>-</w:t>
            </w:r>
          </w:p>
        </w:tc>
        <w:tc>
          <w:tcPr>
            <w:tcW w:w="841" w:type="dxa"/>
            <w:tcBorders>
              <w:top w:val="nil"/>
              <w:left w:val="nil"/>
              <w:bottom w:val="single" w:sz="8" w:space="0" w:color="FFFFFF"/>
              <w:right w:val="single" w:sz="8" w:space="0" w:color="FFFFFF"/>
            </w:tcBorders>
            <w:shd w:val="clear" w:color="000000" w:fill="C5EAFF"/>
            <w:vAlign w:val="center"/>
            <w:hideMark/>
          </w:tcPr>
          <w:p w14:paraId="3420B748" w14:textId="77777777" w:rsidR="00F560FD" w:rsidRPr="002C29F1" w:rsidRDefault="00F560FD" w:rsidP="006A0658">
            <w:pPr>
              <w:spacing w:before="40" w:after="40" w:line="240" w:lineRule="auto"/>
              <w:jc w:val="center"/>
              <w:rPr>
                <w:rFonts w:ascii="Century Gothic" w:eastAsia="Times New Roman" w:hAnsi="Century Gothic" w:cs="Calibri"/>
                <w:color w:val="000000"/>
                <w:sz w:val="16"/>
                <w:szCs w:val="16"/>
                <w:lang w:eastAsia="es-MX"/>
              </w:rPr>
            </w:pPr>
            <w:r w:rsidRPr="009F520A">
              <w:rPr>
                <w:rFonts w:ascii="Century Gothic" w:eastAsia="Times New Roman" w:hAnsi="Century Gothic" w:cs="Calibri"/>
                <w:color w:val="000000"/>
                <w:sz w:val="16"/>
                <w:szCs w:val="16"/>
                <w:lang w:eastAsia="es-MX"/>
              </w:rPr>
              <w:t>0</w:t>
            </w:r>
          </w:p>
        </w:tc>
        <w:tc>
          <w:tcPr>
            <w:tcW w:w="676" w:type="dxa"/>
            <w:tcBorders>
              <w:top w:val="nil"/>
              <w:left w:val="nil"/>
              <w:bottom w:val="single" w:sz="8" w:space="0" w:color="FFFFFF"/>
              <w:right w:val="single" w:sz="8" w:space="0" w:color="FFFFFF"/>
            </w:tcBorders>
            <w:shd w:val="clear" w:color="000000" w:fill="C5EAFF"/>
            <w:vAlign w:val="center"/>
            <w:hideMark/>
          </w:tcPr>
          <w:p w14:paraId="6624274F" w14:textId="77777777" w:rsidR="00F560FD" w:rsidRPr="002C29F1" w:rsidRDefault="00F560FD" w:rsidP="006A0658">
            <w:pPr>
              <w:spacing w:before="40" w:after="40" w:line="240" w:lineRule="auto"/>
              <w:jc w:val="center"/>
              <w:rPr>
                <w:rFonts w:ascii="Century Gothic" w:eastAsia="Times New Roman" w:hAnsi="Century Gothic" w:cs="Calibri"/>
                <w:color w:val="000000"/>
                <w:sz w:val="16"/>
                <w:szCs w:val="16"/>
                <w:lang w:eastAsia="es-MX"/>
              </w:rPr>
            </w:pPr>
            <w:r w:rsidRPr="009F520A">
              <w:rPr>
                <w:rFonts w:ascii="Century Gothic" w:eastAsia="Times New Roman" w:hAnsi="Century Gothic" w:cs="Calibri"/>
                <w:color w:val="000000"/>
                <w:sz w:val="16"/>
                <w:szCs w:val="16"/>
                <w:lang w:eastAsia="es-MX"/>
              </w:rPr>
              <w:t>0</w:t>
            </w:r>
          </w:p>
        </w:tc>
        <w:tc>
          <w:tcPr>
            <w:tcW w:w="1155" w:type="dxa"/>
            <w:tcBorders>
              <w:top w:val="nil"/>
              <w:left w:val="nil"/>
              <w:bottom w:val="single" w:sz="8" w:space="0" w:color="FFFFFF"/>
              <w:right w:val="single" w:sz="8" w:space="0" w:color="FFFFFF"/>
            </w:tcBorders>
            <w:shd w:val="clear" w:color="000000" w:fill="F7CAAC"/>
            <w:vAlign w:val="center"/>
            <w:hideMark/>
          </w:tcPr>
          <w:p w14:paraId="1404FFF5" w14:textId="77777777" w:rsidR="00F560FD" w:rsidRPr="002C29F1" w:rsidRDefault="00F560FD" w:rsidP="006A0658">
            <w:pPr>
              <w:spacing w:before="40" w:after="40" w:line="240" w:lineRule="auto"/>
              <w:jc w:val="center"/>
              <w:rPr>
                <w:rFonts w:ascii="Century Gothic" w:eastAsia="Times New Roman" w:hAnsi="Century Gothic" w:cs="Calibri"/>
                <w:color w:val="000000"/>
                <w:sz w:val="16"/>
                <w:szCs w:val="16"/>
                <w:lang w:eastAsia="es-MX"/>
              </w:rPr>
            </w:pPr>
            <w:r w:rsidRPr="009F520A">
              <w:rPr>
                <w:rFonts w:ascii="Century Gothic" w:eastAsia="Times New Roman" w:hAnsi="Century Gothic" w:cs="Calibri"/>
                <w:color w:val="000000"/>
                <w:sz w:val="16"/>
                <w:szCs w:val="16"/>
                <w:lang w:eastAsia="es-MX"/>
              </w:rPr>
              <w:t>-</w:t>
            </w:r>
          </w:p>
        </w:tc>
        <w:tc>
          <w:tcPr>
            <w:tcW w:w="1155" w:type="dxa"/>
            <w:tcBorders>
              <w:top w:val="nil"/>
              <w:left w:val="nil"/>
              <w:bottom w:val="single" w:sz="8" w:space="0" w:color="FFFFFF"/>
              <w:right w:val="single" w:sz="8" w:space="0" w:color="FFFFFF"/>
            </w:tcBorders>
            <w:shd w:val="clear" w:color="000000" w:fill="F7CAAC"/>
            <w:vAlign w:val="center"/>
            <w:hideMark/>
          </w:tcPr>
          <w:p w14:paraId="1EDC0FF4" w14:textId="77777777" w:rsidR="00F560FD" w:rsidRPr="002C29F1" w:rsidRDefault="00F560FD" w:rsidP="006A0658">
            <w:pPr>
              <w:spacing w:before="40" w:after="40" w:line="240" w:lineRule="auto"/>
              <w:jc w:val="center"/>
              <w:rPr>
                <w:rFonts w:ascii="Century Gothic" w:eastAsia="Times New Roman" w:hAnsi="Century Gothic" w:cs="Calibri"/>
                <w:color w:val="000000"/>
                <w:sz w:val="16"/>
                <w:szCs w:val="16"/>
                <w:lang w:eastAsia="es-MX"/>
              </w:rPr>
            </w:pPr>
            <w:r w:rsidRPr="009F520A">
              <w:rPr>
                <w:rFonts w:ascii="Century Gothic" w:eastAsia="Times New Roman" w:hAnsi="Century Gothic" w:cs="Calibri"/>
                <w:color w:val="000000"/>
                <w:sz w:val="16"/>
                <w:szCs w:val="16"/>
                <w:lang w:eastAsia="es-MX"/>
              </w:rPr>
              <w:t>0</w:t>
            </w:r>
          </w:p>
        </w:tc>
        <w:tc>
          <w:tcPr>
            <w:tcW w:w="1207" w:type="dxa"/>
            <w:tcBorders>
              <w:top w:val="nil"/>
              <w:left w:val="nil"/>
              <w:bottom w:val="single" w:sz="8" w:space="0" w:color="FFFFFF"/>
              <w:right w:val="single" w:sz="8" w:space="0" w:color="FFFFFF"/>
            </w:tcBorders>
            <w:shd w:val="clear" w:color="000000" w:fill="F7CAAC"/>
            <w:vAlign w:val="center"/>
            <w:hideMark/>
          </w:tcPr>
          <w:p w14:paraId="7B5CD516" w14:textId="77777777" w:rsidR="00F560FD" w:rsidRPr="002C29F1" w:rsidRDefault="00F560FD" w:rsidP="006A0658">
            <w:pPr>
              <w:spacing w:before="40" w:after="40" w:line="240" w:lineRule="auto"/>
              <w:jc w:val="center"/>
              <w:rPr>
                <w:rFonts w:ascii="Century Gothic" w:eastAsia="Times New Roman" w:hAnsi="Century Gothic" w:cs="Calibri"/>
                <w:b/>
                <w:bCs/>
                <w:color w:val="C00000"/>
                <w:sz w:val="16"/>
                <w:szCs w:val="16"/>
                <w:lang w:eastAsia="es-MX"/>
              </w:rPr>
            </w:pPr>
            <w:r w:rsidRPr="009F520A">
              <w:rPr>
                <w:rFonts w:ascii="Century Gothic" w:eastAsia="Times New Roman" w:hAnsi="Century Gothic" w:cs="Calibri"/>
                <w:b/>
                <w:bCs/>
                <w:color w:val="C00000"/>
                <w:sz w:val="16"/>
                <w:szCs w:val="16"/>
                <w:lang w:eastAsia="es-MX"/>
              </w:rPr>
              <w:t>1</w:t>
            </w:r>
          </w:p>
        </w:tc>
      </w:tr>
      <w:tr w:rsidR="00F560FD" w:rsidRPr="002C29F1" w14:paraId="13BB14C8" w14:textId="77777777" w:rsidTr="006A0658">
        <w:trPr>
          <w:trHeight w:val="555"/>
          <w:jc w:val="center"/>
        </w:trPr>
        <w:tc>
          <w:tcPr>
            <w:tcW w:w="572" w:type="dxa"/>
            <w:tcBorders>
              <w:top w:val="nil"/>
              <w:left w:val="single" w:sz="8" w:space="0" w:color="FFFFFF"/>
              <w:bottom w:val="single" w:sz="8" w:space="0" w:color="FFFFFF"/>
              <w:right w:val="single" w:sz="8" w:space="0" w:color="FFFFFF"/>
            </w:tcBorders>
            <w:shd w:val="clear" w:color="000000" w:fill="D9D9D9"/>
            <w:noWrap/>
            <w:vAlign w:val="center"/>
            <w:hideMark/>
          </w:tcPr>
          <w:p w14:paraId="2838EDD8" w14:textId="77777777" w:rsidR="00F560FD" w:rsidRPr="002C29F1" w:rsidRDefault="00F560FD" w:rsidP="006A0658">
            <w:pPr>
              <w:spacing w:before="40" w:after="40" w:line="240" w:lineRule="auto"/>
              <w:jc w:val="center"/>
              <w:rPr>
                <w:rFonts w:ascii="Century Gothic" w:eastAsia="Times New Roman" w:hAnsi="Century Gothic" w:cs="Calibri"/>
                <w:color w:val="000000"/>
                <w:sz w:val="16"/>
                <w:szCs w:val="16"/>
                <w:lang w:eastAsia="es-MX"/>
              </w:rPr>
            </w:pPr>
            <w:r w:rsidRPr="002C29F1">
              <w:rPr>
                <w:rFonts w:ascii="Century Gothic" w:eastAsia="Times New Roman" w:hAnsi="Century Gothic" w:cs="Calibri"/>
                <w:color w:val="000000"/>
                <w:sz w:val="16"/>
                <w:szCs w:val="16"/>
                <w:lang w:eastAsia="es-MX"/>
              </w:rPr>
              <w:t>DGES</w:t>
            </w:r>
          </w:p>
        </w:tc>
        <w:tc>
          <w:tcPr>
            <w:tcW w:w="5088" w:type="dxa"/>
            <w:tcBorders>
              <w:top w:val="nil"/>
              <w:left w:val="nil"/>
              <w:bottom w:val="single" w:sz="8" w:space="0" w:color="FFFFFF"/>
              <w:right w:val="single" w:sz="8" w:space="0" w:color="FFFFFF"/>
            </w:tcBorders>
            <w:shd w:val="clear" w:color="000000" w:fill="D9D9D9"/>
            <w:vAlign w:val="center"/>
            <w:hideMark/>
          </w:tcPr>
          <w:p w14:paraId="2B095009" w14:textId="77777777" w:rsidR="00F560FD" w:rsidRPr="002C29F1" w:rsidRDefault="00F560FD" w:rsidP="006A0658">
            <w:pPr>
              <w:spacing w:before="40" w:after="40" w:line="240" w:lineRule="auto"/>
              <w:rPr>
                <w:rFonts w:ascii="Century Gothic" w:eastAsia="Times New Roman" w:hAnsi="Century Gothic" w:cs="Calibri"/>
                <w:color w:val="000000"/>
                <w:sz w:val="16"/>
                <w:szCs w:val="16"/>
                <w:lang w:eastAsia="es-MX"/>
              </w:rPr>
            </w:pPr>
            <w:r w:rsidRPr="002C29F1">
              <w:rPr>
                <w:rFonts w:ascii="Century Gothic" w:eastAsia="Times New Roman" w:hAnsi="Century Gothic" w:cs="Calibri"/>
                <w:color w:val="000000"/>
                <w:sz w:val="16"/>
                <w:szCs w:val="16"/>
                <w:lang w:eastAsia="es-MX"/>
              </w:rPr>
              <w:t>Estadísticas sobre Relaciones Laborales de Jurisdicción Local</w:t>
            </w:r>
          </w:p>
        </w:tc>
        <w:tc>
          <w:tcPr>
            <w:tcW w:w="993" w:type="dxa"/>
            <w:tcBorders>
              <w:top w:val="nil"/>
              <w:left w:val="nil"/>
              <w:bottom w:val="single" w:sz="8" w:space="0" w:color="FFFFFF"/>
              <w:right w:val="single" w:sz="8" w:space="0" w:color="FFFFFF"/>
            </w:tcBorders>
            <w:shd w:val="clear" w:color="000000" w:fill="D9D9D9"/>
            <w:vAlign w:val="center"/>
            <w:hideMark/>
          </w:tcPr>
          <w:p w14:paraId="1F503792" w14:textId="77777777" w:rsidR="00F560FD" w:rsidRPr="002C29F1" w:rsidRDefault="00F560FD" w:rsidP="006A0658">
            <w:pPr>
              <w:spacing w:before="40" w:after="40" w:line="240" w:lineRule="auto"/>
              <w:rPr>
                <w:rFonts w:ascii="Century Gothic" w:eastAsia="Times New Roman" w:hAnsi="Century Gothic" w:cs="Calibri"/>
                <w:color w:val="000000"/>
                <w:sz w:val="16"/>
                <w:szCs w:val="16"/>
                <w:lang w:eastAsia="es-MX"/>
              </w:rPr>
            </w:pPr>
            <w:r w:rsidRPr="002C29F1">
              <w:rPr>
                <w:rFonts w:ascii="Century Gothic" w:eastAsia="Times New Roman" w:hAnsi="Century Gothic" w:cs="Calibri"/>
                <w:color w:val="000000"/>
                <w:sz w:val="16"/>
                <w:szCs w:val="16"/>
                <w:lang w:eastAsia="es-MX"/>
              </w:rPr>
              <w:t>ERLAJUL</w:t>
            </w:r>
          </w:p>
        </w:tc>
        <w:tc>
          <w:tcPr>
            <w:tcW w:w="708" w:type="dxa"/>
            <w:tcBorders>
              <w:top w:val="nil"/>
              <w:left w:val="nil"/>
              <w:bottom w:val="single" w:sz="8" w:space="0" w:color="FFFFFF"/>
              <w:right w:val="single" w:sz="8" w:space="0" w:color="FFFFFF"/>
            </w:tcBorders>
            <w:shd w:val="clear" w:color="000000" w:fill="D9D9D9"/>
            <w:vAlign w:val="center"/>
            <w:hideMark/>
          </w:tcPr>
          <w:p w14:paraId="6370AEC2" w14:textId="77777777" w:rsidR="00F560FD" w:rsidRPr="002C29F1" w:rsidRDefault="00F560FD" w:rsidP="006A0658">
            <w:pPr>
              <w:spacing w:before="40" w:after="40" w:line="240" w:lineRule="auto"/>
              <w:jc w:val="center"/>
              <w:rPr>
                <w:rFonts w:ascii="Century Gothic" w:eastAsia="Times New Roman" w:hAnsi="Century Gothic" w:cs="Calibri"/>
                <w:color w:val="000000"/>
                <w:sz w:val="16"/>
                <w:szCs w:val="16"/>
                <w:lang w:eastAsia="es-MX"/>
              </w:rPr>
            </w:pPr>
            <w:r w:rsidRPr="002C29F1">
              <w:rPr>
                <w:rFonts w:ascii="Century Gothic" w:eastAsia="Times New Roman" w:hAnsi="Century Gothic" w:cs="Calibri"/>
                <w:color w:val="000000"/>
                <w:sz w:val="16"/>
                <w:szCs w:val="16"/>
                <w:lang w:eastAsia="es-MX"/>
              </w:rPr>
              <w:t>-</w:t>
            </w:r>
          </w:p>
        </w:tc>
        <w:tc>
          <w:tcPr>
            <w:tcW w:w="567" w:type="dxa"/>
            <w:tcBorders>
              <w:top w:val="nil"/>
              <w:left w:val="nil"/>
              <w:bottom w:val="single" w:sz="8" w:space="0" w:color="FFFFFF"/>
              <w:right w:val="single" w:sz="8" w:space="0" w:color="FFFFFF"/>
            </w:tcBorders>
            <w:shd w:val="clear" w:color="000000" w:fill="D9D9D9"/>
            <w:vAlign w:val="center"/>
            <w:hideMark/>
          </w:tcPr>
          <w:p w14:paraId="74ED36B1" w14:textId="77777777" w:rsidR="00F560FD" w:rsidRPr="002C29F1" w:rsidRDefault="00F560FD" w:rsidP="006A0658">
            <w:pPr>
              <w:spacing w:before="40" w:after="40" w:line="240" w:lineRule="auto"/>
              <w:jc w:val="center"/>
              <w:rPr>
                <w:rFonts w:ascii="Century Gothic" w:eastAsia="Times New Roman" w:hAnsi="Century Gothic" w:cs="Calibri"/>
                <w:color w:val="000000"/>
                <w:sz w:val="16"/>
                <w:szCs w:val="16"/>
                <w:lang w:eastAsia="es-MX"/>
              </w:rPr>
            </w:pPr>
            <w:r w:rsidRPr="002C29F1">
              <w:rPr>
                <w:rFonts w:ascii="Century Gothic" w:eastAsia="Times New Roman" w:hAnsi="Century Gothic" w:cs="Calibri"/>
                <w:color w:val="000000"/>
                <w:sz w:val="16"/>
                <w:szCs w:val="16"/>
                <w:lang w:eastAsia="es-MX"/>
              </w:rPr>
              <w:t>33</w:t>
            </w:r>
          </w:p>
        </w:tc>
        <w:tc>
          <w:tcPr>
            <w:tcW w:w="709" w:type="dxa"/>
            <w:tcBorders>
              <w:top w:val="nil"/>
              <w:left w:val="nil"/>
              <w:bottom w:val="single" w:sz="8" w:space="0" w:color="FFFFFF"/>
              <w:right w:val="single" w:sz="8" w:space="0" w:color="FFFFFF"/>
            </w:tcBorders>
            <w:shd w:val="clear" w:color="000000" w:fill="D9D9D9"/>
            <w:vAlign w:val="center"/>
            <w:hideMark/>
          </w:tcPr>
          <w:p w14:paraId="4B582BEC" w14:textId="77777777" w:rsidR="00F560FD" w:rsidRPr="002C29F1" w:rsidRDefault="00F560FD" w:rsidP="006A0658">
            <w:pPr>
              <w:spacing w:before="40" w:after="40" w:line="240" w:lineRule="auto"/>
              <w:jc w:val="center"/>
              <w:rPr>
                <w:rFonts w:ascii="Century Gothic" w:eastAsia="Times New Roman" w:hAnsi="Century Gothic" w:cs="Calibri"/>
                <w:sz w:val="16"/>
                <w:szCs w:val="16"/>
                <w:lang w:eastAsia="es-MX"/>
              </w:rPr>
            </w:pPr>
            <w:r w:rsidRPr="002C29F1">
              <w:rPr>
                <w:rFonts w:ascii="Century Gothic" w:eastAsia="Times New Roman" w:hAnsi="Century Gothic" w:cs="Calibri"/>
                <w:sz w:val="16"/>
                <w:szCs w:val="16"/>
                <w:lang w:eastAsia="es-MX"/>
              </w:rPr>
              <w:t>33</w:t>
            </w:r>
          </w:p>
        </w:tc>
        <w:tc>
          <w:tcPr>
            <w:tcW w:w="709" w:type="dxa"/>
            <w:tcBorders>
              <w:top w:val="nil"/>
              <w:left w:val="nil"/>
              <w:bottom w:val="single" w:sz="8" w:space="0" w:color="FFFFFF"/>
              <w:right w:val="single" w:sz="8" w:space="0" w:color="FFFFFF"/>
            </w:tcBorders>
            <w:shd w:val="clear" w:color="000000" w:fill="C5EAFF"/>
            <w:vAlign w:val="center"/>
            <w:hideMark/>
          </w:tcPr>
          <w:p w14:paraId="1099CDE3" w14:textId="77777777" w:rsidR="00F560FD" w:rsidRPr="002C29F1" w:rsidRDefault="00F560FD" w:rsidP="006A0658">
            <w:pPr>
              <w:spacing w:before="40" w:after="40" w:line="240" w:lineRule="auto"/>
              <w:jc w:val="center"/>
              <w:rPr>
                <w:rFonts w:ascii="Century Gothic" w:eastAsia="Times New Roman" w:hAnsi="Century Gothic" w:cs="Calibri"/>
                <w:color w:val="000000"/>
                <w:sz w:val="16"/>
                <w:szCs w:val="16"/>
                <w:lang w:eastAsia="es-MX"/>
              </w:rPr>
            </w:pPr>
            <w:r w:rsidRPr="009F520A">
              <w:rPr>
                <w:rFonts w:ascii="Century Gothic" w:eastAsia="Times New Roman" w:hAnsi="Century Gothic" w:cs="Calibri"/>
                <w:color w:val="000000"/>
                <w:sz w:val="16"/>
                <w:szCs w:val="16"/>
                <w:lang w:eastAsia="es-MX"/>
              </w:rPr>
              <w:t>-</w:t>
            </w:r>
          </w:p>
        </w:tc>
        <w:tc>
          <w:tcPr>
            <w:tcW w:w="841" w:type="dxa"/>
            <w:tcBorders>
              <w:top w:val="nil"/>
              <w:left w:val="nil"/>
              <w:bottom w:val="single" w:sz="8" w:space="0" w:color="FFFFFF"/>
              <w:right w:val="single" w:sz="8" w:space="0" w:color="FFFFFF"/>
            </w:tcBorders>
            <w:shd w:val="clear" w:color="000000" w:fill="C5EAFF"/>
            <w:vAlign w:val="center"/>
            <w:hideMark/>
          </w:tcPr>
          <w:p w14:paraId="777C2613" w14:textId="77777777" w:rsidR="00F560FD" w:rsidRPr="002C29F1" w:rsidRDefault="00F560FD" w:rsidP="006A0658">
            <w:pPr>
              <w:spacing w:before="40" w:after="40" w:line="240" w:lineRule="auto"/>
              <w:jc w:val="center"/>
              <w:rPr>
                <w:rFonts w:ascii="Century Gothic" w:eastAsia="Times New Roman" w:hAnsi="Century Gothic" w:cs="Calibri"/>
                <w:color w:val="000000"/>
                <w:sz w:val="16"/>
                <w:szCs w:val="16"/>
                <w:lang w:eastAsia="es-MX"/>
              </w:rPr>
            </w:pPr>
            <w:r w:rsidRPr="009F520A">
              <w:rPr>
                <w:rFonts w:ascii="Century Gothic" w:eastAsia="Times New Roman" w:hAnsi="Century Gothic" w:cs="Calibri"/>
                <w:color w:val="000000"/>
                <w:sz w:val="16"/>
                <w:szCs w:val="16"/>
                <w:lang w:eastAsia="es-MX"/>
              </w:rPr>
              <w:t>0</w:t>
            </w:r>
          </w:p>
        </w:tc>
        <w:tc>
          <w:tcPr>
            <w:tcW w:w="676" w:type="dxa"/>
            <w:tcBorders>
              <w:top w:val="nil"/>
              <w:left w:val="nil"/>
              <w:bottom w:val="single" w:sz="8" w:space="0" w:color="FFFFFF"/>
              <w:right w:val="single" w:sz="8" w:space="0" w:color="FFFFFF"/>
            </w:tcBorders>
            <w:shd w:val="clear" w:color="000000" w:fill="C5EAFF"/>
            <w:vAlign w:val="center"/>
            <w:hideMark/>
          </w:tcPr>
          <w:p w14:paraId="70CD91F9" w14:textId="77777777" w:rsidR="00F560FD" w:rsidRPr="002C29F1" w:rsidRDefault="00F560FD" w:rsidP="006A0658">
            <w:pPr>
              <w:spacing w:before="40" w:after="40" w:line="240" w:lineRule="auto"/>
              <w:jc w:val="center"/>
              <w:rPr>
                <w:rFonts w:ascii="Century Gothic" w:eastAsia="Times New Roman" w:hAnsi="Century Gothic" w:cs="Calibri"/>
                <w:color w:val="000000"/>
                <w:sz w:val="16"/>
                <w:szCs w:val="16"/>
                <w:lang w:eastAsia="es-MX"/>
              </w:rPr>
            </w:pPr>
            <w:r w:rsidRPr="009F520A">
              <w:rPr>
                <w:rFonts w:ascii="Century Gothic" w:eastAsia="Times New Roman" w:hAnsi="Century Gothic" w:cs="Calibri"/>
                <w:color w:val="000000"/>
                <w:sz w:val="16"/>
                <w:szCs w:val="16"/>
                <w:lang w:eastAsia="es-MX"/>
              </w:rPr>
              <w:t>0</w:t>
            </w:r>
          </w:p>
        </w:tc>
        <w:tc>
          <w:tcPr>
            <w:tcW w:w="1155" w:type="dxa"/>
            <w:tcBorders>
              <w:top w:val="nil"/>
              <w:left w:val="nil"/>
              <w:bottom w:val="single" w:sz="8" w:space="0" w:color="FFFFFF"/>
              <w:right w:val="single" w:sz="8" w:space="0" w:color="FFFFFF"/>
            </w:tcBorders>
            <w:shd w:val="clear" w:color="000000" w:fill="F7CAAC"/>
            <w:vAlign w:val="center"/>
            <w:hideMark/>
          </w:tcPr>
          <w:p w14:paraId="1965ED07" w14:textId="77777777" w:rsidR="00F560FD" w:rsidRPr="002C29F1" w:rsidRDefault="00F560FD" w:rsidP="006A0658">
            <w:pPr>
              <w:spacing w:before="40" w:after="40" w:line="240" w:lineRule="auto"/>
              <w:jc w:val="center"/>
              <w:rPr>
                <w:rFonts w:ascii="Century Gothic" w:eastAsia="Times New Roman" w:hAnsi="Century Gothic" w:cs="Calibri"/>
                <w:color w:val="000000"/>
                <w:sz w:val="16"/>
                <w:szCs w:val="16"/>
                <w:lang w:eastAsia="es-MX"/>
              </w:rPr>
            </w:pPr>
            <w:r w:rsidRPr="009F520A">
              <w:rPr>
                <w:rFonts w:ascii="Century Gothic" w:eastAsia="Times New Roman" w:hAnsi="Century Gothic" w:cs="Calibri"/>
                <w:color w:val="000000"/>
                <w:sz w:val="16"/>
                <w:szCs w:val="16"/>
                <w:lang w:eastAsia="es-MX"/>
              </w:rPr>
              <w:t>-</w:t>
            </w:r>
          </w:p>
        </w:tc>
        <w:tc>
          <w:tcPr>
            <w:tcW w:w="1155" w:type="dxa"/>
            <w:tcBorders>
              <w:top w:val="nil"/>
              <w:left w:val="nil"/>
              <w:bottom w:val="single" w:sz="8" w:space="0" w:color="FFFFFF"/>
              <w:right w:val="single" w:sz="8" w:space="0" w:color="FFFFFF"/>
            </w:tcBorders>
            <w:shd w:val="clear" w:color="000000" w:fill="F7CAAC"/>
            <w:vAlign w:val="center"/>
            <w:hideMark/>
          </w:tcPr>
          <w:p w14:paraId="7642EAD9" w14:textId="77777777" w:rsidR="00F560FD" w:rsidRPr="002C29F1" w:rsidRDefault="00F560FD" w:rsidP="006A0658">
            <w:pPr>
              <w:spacing w:before="40" w:after="40" w:line="240" w:lineRule="auto"/>
              <w:jc w:val="center"/>
              <w:rPr>
                <w:rFonts w:ascii="Century Gothic" w:eastAsia="Times New Roman" w:hAnsi="Century Gothic" w:cs="Calibri"/>
                <w:color w:val="000000"/>
                <w:sz w:val="16"/>
                <w:szCs w:val="16"/>
                <w:lang w:eastAsia="es-MX"/>
              </w:rPr>
            </w:pPr>
            <w:r w:rsidRPr="009F520A">
              <w:rPr>
                <w:rFonts w:ascii="Century Gothic" w:eastAsia="Times New Roman" w:hAnsi="Century Gothic" w:cs="Calibri"/>
                <w:color w:val="000000"/>
                <w:sz w:val="16"/>
                <w:szCs w:val="16"/>
                <w:lang w:eastAsia="es-MX"/>
              </w:rPr>
              <w:t>0</w:t>
            </w:r>
          </w:p>
        </w:tc>
        <w:tc>
          <w:tcPr>
            <w:tcW w:w="1207" w:type="dxa"/>
            <w:tcBorders>
              <w:top w:val="nil"/>
              <w:left w:val="nil"/>
              <w:bottom w:val="single" w:sz="8" w:space="0" w:color="FFFFFF"/>
              <w:right w:val="single" w:sz="8" w:space="0" w:color="FFFFFF"/>
            </w:tcBorders>
            <w:shd w:val="clear" w:color="000000" w:fill="F7CAAC"/>
            <w:vAlign w:val="center"/>
            <w:hideMark/>
          </w:tcPr>
          <w:p w14:paraId="003887B7" w14:textId="77777777" w:rsidR="00F560FD" w:rsidRPr="002C29F1" w:rsidRDefault="00F560FD" w:rsidP="006A0658">
            <w:pPr>
              <w:spacing w:before="40" w:after="40" w:line="240" w:lineRule="auto"/>
              <w:jc w:val="center"/>
              <w:rPr>
                <w:rFonts w:ascii="Century Gothic" w:eastAsia="Times New Roman" w:hAnsi="Century Gothic" w:cs="Calibri"/>
                <w:color w:val="000000"/>
                <w:sz w:val="16"/>
                <w:szCs w:val="16"/>
                <w:lang w:eastAsia="es-MX"/>
              </w:rPr>
            </w:pPr>
            <w:r w:rsidRPr="009F520A">
              <w:rPr>
                <w:rFonts w:ascii="Century Gothic" w:eastAsia="Times New Roman" w:hAnsi="Century Gothic" w:cs="Calibri"/>
                <w:color w:val="000000"/>
                <w:sz w:val="16"/>
                <w:szCs w:val="16"/>
                <w:lang w:eastAsia="es-MX"/>
              </w:rPr>
              <w:t>0</w:t>
            </w:r>
          </w:p>
        </w:tc>
      </w:tr>
    </w:tbl>
    <w:p w14:paraId="0B18F0F6" w14:textId="77777777" w:rsidR="00F560FD" w:rsidRDefault="00F560FD" w:rsidP="00F560FD">
      <w:pPr>
        <w:spacing w:before="40" w:after="40"/>
        <w:jc w:val="both"/>
        <w:rPr>
          <w:rFonts w:ascii="Century Gothic" w:hAnsi="Century Gothic"/>
          <w:sz w:val="15"/>
          <w:szCs w:val="15"/>
        </w:rPr>
      </w:pPr>
      <w:r>
        <w:rPr>
          <w:rFonts w:ascii="Century Gothic" w:hAnsi="Century Gothic"/>
          <w:sz w:val="15"/>
          <w:szCs w:val="15"/>
        </w:rPr>
        <w:t>/a Los programas VMRC y ESGRM reportaron, en 2021, una versión anualizada de los indicadores correspondientes al periodo de referencia de la información (2020).</w:t>
      </w:r>
    </w:p>
    <w:p w14:paraId="56E0C6F8" w14:textId="77777777" w:rsidR="00F560FD" w:rsidRPr="00802460" w:rsidRDefault="00F560FD" w:rsidP="00F560FD">
      <w:pPr>
        <w:spacing w:before="40" w:after="40"/>
        <w:jc w:val="both"/>
        <w:rPr>
          <w:rFonts w:ascii="Century Gothic" w:hAnsi="Century Gothic"/>
          <w:sz w:val="15"/>
          <w:szCs w:val="15"/>
        </w:rPr>
      </w:pPr>
      <w:r w:rsidRPr="00802460">
        <w:rPr>
          <w:rFonts w:ascii="Century Gothic" w:hAnsi="Century Gothic"/>
          <w:sz w:val="15"/>
          <w:szCs w:val="15"/>
        </w:rPr>
        <w:t>* Estos datos son los reportados en el Informe Anual de Resultados 2019</w:t>
      </w:r>
      <w:r>
        <w:rPr>
          <w:rFonts w:ascii="Century Gothic" w:hAnsi="Century Gothic"/>
          <w:sz w:val="15"/>
          <w:szCs w:val="15"/>
        </w:rPr>
        <w:t xml:space="preserve"> y 2020 respectivamente. </w:t>
      </w:r>
    </w:p>
    <w:p w14:paraId="083DED92" w14:textId="77777777" w:rsidR="00F560FD" w:rsidRPr="00802460" w:rsidRDefault="00F560FD" w:rsidP="00F560FD">
      <w:pPr>
        <w:spacing w:before="40" w:after="40"/>
        <w:jc w:val="both"/>
        <w:rPr>
          <w:rFonts w:ascii="Century Gothic" w:hAnsi="Century Gothic"/>
          <w:sz w:val="15"/>
          <w:szCs w:val="15"/>
        </w:rPr>
      </w:pPr>
      <w:r w:rsidRPr="00F64FAF">
        <w:rPr>
          <w:rFonts w:ascii="Century Gothic" w:hAnsi="Century Gothic"/>
          <w:sz w:val="15"/>
          <w:szCs w:val="15"/>
        </w:rPr>
        <w:t>** Estos datos corresponden a los indicadores registrados en metadatos durante 2021, independientemente del período de publicación de la información.</w:t>
      </w:r>
    </w:p>
    <w:p w14:paraId="4ACFBF0C" w14:textId="77777777" w:rsidR="00F560FD" w:rsidRDefault="00F560FD" w:rsidP="00F560FD">
      <w:pPr>
        <w:spacing w:before="40" w:after="40"/>
        <w:jc w:val="both"/>
        <w:rPr>
          <w:rFonts w:ascii="Century Gothic" w:hAnsi="Century Gothic"/>
          <w:sz w:val="19"/>
          <w:szCs w:val="19"/>
        </w:rPr>
      </w:pPr>
    </w:p>
    <w:p w14:paraId="1EE1145D" w14:textId="77777777" w:rsidR="00F560FD" w:rsidRDefault="00F560FD" w:rsidP="00F560FD">
      <w:pPr>
        <w:spacing w:before="40" w:after="40"/>
        <w:jc w:val="both"/>
        <w:rPr>
          <w:rFonts w:ascii="Century Gothic" w:hAnsi="Century Gothic"/>
          <w:sz w:val="19"/>
          <w:szCs w:val="19"/>
        </w:rPr>
      </w:pPr>
      <w:r w:rsidRPr="00296E53">
        <w:rPr>
          <w:rFonts w:ascii="Century Gothic" w:hAnsi="Century Gothic"/>
          <w:sz w:val="19"/>
          <w:szCs w:val="19"/>
        </w:rPr>
        <w:t>En el cuadro A.</w:t>
      </w:r>
      <w:r>
        <w:rPr>
          <w:rFonts w:ascii="Century Gothic" w:hAnsi="Century Gothic"/>
          <w:sz w:val="19"/>
          <w:szCs w:val="19"/>
        </w:rPr>
        <w:t>3</w:t>
      </w:r>
      <w:r w:rsidRPr="008343E8">
        <w:rPr>
          <w:rFonts w:ascii="Century Gothic" w:hAnsi="Century Gothic"/>
          <w:sz w:val="19"/>
          <w:szCs w:val="19"/>
        </w:rPr>
        <w:t>.</w:t>
      </w:r>
      <w:r>
        <w:rPr>
          <w:rFonts w:ascii="Century Gothic" w:hAnsi="Century Gothic"/>
          <w:sz w:val="19"/>
          <w:szCs w:val="19"/>
        </w:rPr>
        <w:t>6</w:t>
      </w:r>
      <w:r w:rsidRPr="008343E8">
        <w:rPr>
          <w:rFonts w:ascii="Century Gothic" w:hAnsi="Century Gothic"/>
          <w:sz w:val="19"/>
          <w:szCs w:val="19"/>
        </w:rPr>
        <w:t>., se</w:t>
      </w:r>
      <w:r w:rsidRPr="00296E53">
        <w:rPr>
          <w:rFonts w:ascii="Century Gothic" w:hAnsi="Century Gothic"/>
          <w:sz w:val="19"/>
          <w:szCs w:val="19"/>
        </w:rPr>
        <w:t xml:space="preserve"> presentan medidas de resumen para la tasa de no respuesta</w:t>
      </w:r>
      <w:r>
        <w:rPr>
          <w:rFonts w:ascii="Century Gothic" w:hAnsi="Century Gothic"/>
          <w:sz w:val="19"/>
          <w:szCs w:val="19"/>
        </w:rPr>
        <w:t xml:space="preserve"> a nivel</w:t>
      </w:r>
      <w:r w:rsidRPr="00296E53">
        <w:rPr>
          <w:rFonts w:ascii="Century Gothic" w:hAnsi="Century Gothic"/>
          <w:sz w:val="19"/>
          <w:szCs w:val="19"/>
        </w:rPr>
        <w:t xml:space="preserve"> variable, con la información reportada en </w:t>
      </w:r>
      <w:r w:rsidRPr="00255028">
        <w:rPr>
          <w:rFonts w:ascii="Century Gothic" w:hAnsi="Century Gothic"/>
          <w:sz w:val="19"/>
          <w:szCs w:val="19"/>
        </w:rPr>
        <w:t>2019, 2020</w:t>
      </w:r>
      <w:r>
        <w:rPr>
          <w:rFonts w:ascii="Century Gothic" w:hAnsi="Century Gothic"/>
          <w:sz w:val="19"/>
          <w:szCs w:val="19"/>
        </w:rPr>
        <w:t xml:space="preserve"> y 2021</w:t>
      </w:r>
      <w:r w:rsidRPr="00296E53">
        <w:rPr>
          <w:rFonts w:ascii="Century Gothic" w:hAnsi="Century Gothic"/>
          <w:sz w:val="19"/>
          <w:szCs w:val="19"/>
        </w:rPr>
        <w:t>.</w:t>
      </w:r>
      <w:r>
        <w:rPr>
          <w:rFonts w:ascii="Century Gothic" w:hAnsi="Century Gothic"/>
          <w:sz w:val="19"/>
          <w:szCs w:val="19"/>
        </w:rPr>
        <w:t xml:space="preserve"> Se observa una recuperación en la no respuesta media a nivel variable para prácticamente todos los programas exceptuando el de Estadísticas de Matrimonios (EMAT). Sin embargo, al revisar las tasas de no respuesta máximas reportadas, se observa que los programas Estadísticas de Defunciones Fetales (EDF), Estadísticas de Nacimientos Registrados (ENR), Estadística de Divorcios (ED) y Estadísticas sobre Relaciones Laborales de Jurisdicción Local (ERLAJUL) presentan casos con variables con no respuesta superiores a 80%, por lo que es necesario revisar si estas variables contribuyen al objetivo del programa y, en su caso, definir estrategias para mejorar la respuesta.</w:t>
      </w:r>
    </w:p>
    <w:p w14:paraId="3BD707EE" w14:textId="77777777" w:rsidR="00F560FD" w:rsidRDefault="00F560FD" w:rsidP="00F560FD">
      <w:pPr>
        <w:spacing w:before="40" w:after="40"/>
        <w:jc w:val="both"/>
        <w:rPr>
          <w:rFonts w:ascii="Century Gothic" w:hAnsi="Century Gothic"/>
          <w:sz w:val="19"/>
          <w:szCs w:val="19"/>
        </w:rPr>
      </w:pPr>
    </w:p>
    <w:p w14:paraId="43580EA0" w14:textId="77777777" w:rsidR="00F560FD" w:rsidRPr="00296E53" w:rsidRDefault="00F560FD" w:rsidP="00F560FD">
      <w:pPr>
        <w:spacing w:before="40" w:after="40"/>
        <w:ind w:left="284"/>
        <w:jc w:val="center"/>
        <w:rPr>
          <w:rFonts w:ascii="Century Gothic" w:hAnsi="Century Gothic"/>
          <w:sz w:val="19"/>
          <w:szCs w:val="19"/>
        </w:rPr>
      </w:pPr>
      <w:r w:rsidRPr="00296E53">
        <w:rPr>
          <w:rFonts w:ascii="Century Gothic" w:hAnsi="Century Gothic"/>
          <w:b/>
          <w:bCs/>
          <w:sz w:val="20"/>
          <w:szCs w:val="20"/>
        </w:rPr>
        <w:t>A.</w:t>
      </w:r>
      <w:r>
        <w:rPr>
          <w:rFonts w:ascii="Century Gothic" w:hAnsi="Century Gothic"/>
          <w:b/>
          <w:bCs/>
          <w:sz w:val="20"/>
          <w:szCs w:val="20"/>
        </w:rPr>
        <w:t>3</w:t>
      </w:r>
      <w:r w:rsidRPr="00296E53">
        <w:rPr>
          <w:rFonts w:ascii="Century Gothic" w:hAnsi="Century Gothic"/>
          <w:b/>
          <w:bCs/>
          <w:sz w:val="20"/>
          <w:szCs w:val="20"/>
        </w:rPr>
        <w:t>.</w:t>
      </w:r>
      <w:r>
        <w:rPr>
          <w:rFonts w:ascii="Century Gothic" w:hAnsi="Century Gothic"/>
          <w:b/>
          <w:bCs/>
          <w:sz w:val="20"/>
          <w:szCs w:val="20"/>
        </w:rPr>
        <w:t>6.</w:t>
      </w:r>
      <w:r w:rsidRPr="00296E53">
        <w:rPr>
          <w:rFonts w:ascii="Century Gothic" w:hAnsi="Century Gothic"/>
          <w:b/>
          <w:bCs/>
          <w:sz w:val="20"/>
          <w:szCs w:val="20"/>
        </w:rPr>
        <w:t xml:space="preserve"> </w:t>
      </w:r>
      <w:r>
        <w:rPr>
          <w:rFonts w:ascii="Century Gothic" w:hAnsi="Century Gothic"/>
          <w:b/>
          <w:bCs/>
          <w:sz w:val="20"/>
          <w:szCs w:val="20"/>
        </w:rPr>
        <w:t>V</w:t>
      </w:r>
      <w:r w:rsidRPr="00296E53">
        <w:rPr>
          <w:rFonts w:ascii="Century Gothic" w:hAnsi="Century Gothic"/>
          <w:b/>
          <w:bCs/>
          <w:sz w:val="20"/>
          <w:szCs w:val="20"/>
        </w:rPr>
        <w:t xml:space="preserve">alores medios y máximos alcanzados en tasa de no respuesta </w:t>
      </w:r>
      <w:r>
        <w:rPr>
          <w:rFonts w:ascii="Century Gothic" w:hAnsi="Century Gothic"/>
          <w:b/>
          <w:bCs/>
          <w:sz w:val="20"/>
          <w:szCs w:val="20"/>
        </w:rPr>
        <w:t>a nivel</w:t>
      </w:r>
      <w:r w:rsidRPr="00296E53">
        <w:rPr>
          <w:rFonts w:ascii="Century Gothic" w:hAnsi="Century Gothic"/>
          <w:b/>
          <w:bCs/>
          <w:sz w:val="20"/>
          <w:szCs w:val="20"/>
        </w:rPr>
        <w:t xml:space="preserve"> variable</w:t>
      </w:r>
    </w:p>
    <w:tbl>
      <w:tblPr>
        <w:tblW w:w="5000" w:type="pct"/>
        <w:jc w:val="center"/>
        <w:tblCellMar>
          <w:left w:w="70" w:type="dxa"/>
          <w:right w:w="70" w:type="dxa"/>
        </w:tblCellMar>
        <w:tblLook w:val="04A0" w:firstRow="1" w:lastRow="0" w:firstColumn="1" w:lastColumn="0" w:noHBand="0" w:noVBand="1"/>
      </w:tblPr>
      <w:tblGrid>
        <w:gridCol w:w="5289"/>
        <w:gridCol w:w="950"/>
        <w:gridCol w:w="596"/>
        <w:gridCol w:w="596"/>
        <w:gridCol w:w="723"/>
        <w:gridCol w:w="596"/>
        <w:gridCol w:w="1089"/>
        <w:gridCol w:w="671"/>
        <w:gridCol w:w="596"/>
        <w:gridCol w:w="1163"/>
        <w:gridCol w:w="671"/>
      </w:tblGrid>
      <w:tr w:rsidR="00F560FD" w:rsidRPr="00880BCA" w14:paraId="48DC5122" w14:textId="77777777" w:rsidTr="006A0658">
        <w:trPr>
          <w:trHeight w:val="315"/>
          <w:tblHeader/>
          <w:jc w:val="center"/>
        </w:trPr>
        <w:tc>
          <w:tcPr>
            <w:tcW w:w="2067" w:type="pct"/>
            <w:vMerge w:val="restart"/>
            <w:tcBorders>
              <w:top w:val="single" w:sz="8" w:space="0" w:color="FFFFFF"/>
              <w:left w:val="single" w:sz="8" w:space="0" w:color="FFFFFF"/>
              <w:bottom w:val="single" w:sz="8" w:space="0" w:color="FFFFFF"/>
              <w:right w:val="single" w:sz="8" w:space="0" w:color="FFFFFF"/>
            </w:tcBorders>
            <w:shd w:val="clear" w:color="000000" w:fill="D9D9D9"/>
            <w:vAlign w:val="center"/>
            <w:hideMark/>
          </w:tcPr>
          <w:p w14:paraId="2435EFCF" w14:textId="77777777" w:rsidR="00F560FD" w:rsidRPr="00880BCA" w:rsidRDefault="00F560FD" w:rsidP="006A0658">
            <w:pPr>
              <w:spacing w:before="40" w:after="40" w:line="240" w:lineRule="auto"/>
              <w:jc w:val="center"/>
              <w:rPr>
                <w:rFonts w:ascii="Century Gothic" w:eastAsia="Times New Roman" w:hAnsi="Century Gothic" w:cs="Calibri"/>
                <w:b/>
                <w:bCs/>
                <w:color w:val="000000"/>
                <w:sz w:val="17"/>
                <w:szCs w:val="17"/>
                <w:lang w:eastAsia="es-MX"/>
              </w:rPr>
            </w:pPr>
            <w:r w:rsidRPr="00880BCA">
              <w:rPr>
                <w:rFonts w:ascii="Century Gothic" w:eastAsia="Times New Roman" w:hAnsi="Century Gothic" w:cs="Calibri"/>
                <w:b/>
                <w:bCs/>
                <w:color w:val="000000"/>
                <w:sz w:val="17"/>
                <w:szCs w:val="17"/>
                <w:lang w:eastAsia="es-MX"/>
              </w:rPr>
              <w:t>Programa</w:t>
            </w:r>
          </w:p>
        </w:tc>
        <w:tc>
          <w:tcPr>
            <w:tcW w:w="345" w:type="pct"/>
            <w:vMerge w:val="restart"/>
            <w:tcBorders>
              <w:top w:val="single" w:sz="8" w:space="0" w:color="FFFFFF"/>
              <w:left w:val="single" w:sz="8" w:space="0" w:color="FFFFFF"/>
              <w:bottom w:val="single" w:sz="8" w:space="0" w:color="FFFFFF"/>
              <w:right w:val="single" w:sz="8" w:space="0" w:color="FFFFFF"/>
            </w:tcBorders>
            <w:shd w:val="clear" w:color="000000" w:fill="D9D9D9"/>
            <w:vAlign w:val="center"/>
            <w:hideMark/>
          </w:tcPr>
          <w:p w14:paraId="443DB051" w14:textId="77777777" w:rsidR="00F560FD" w:rsidRPr="00880BCA" w:rsidRDefault="00F560FD" w:rsidP="006A0658">
            <w:pPr>
              <w:spacing w:before="40" w:after="40" w:line="240" w:lineRule="auto"/>
              <w:jc w:val="center"/>
              <w:rPr>
                <w:rFonts w:ascii="Century Gothic" w:eastAsia="Times New Roman" w:hAnsi="Century Gothic" w:cs="Calibri"/>
                <w:b/>
                <w:bCs/>
                <w:color w:val="000000"/>
                <w:sz w:val="17"/>
                <w:szCs w:val="17"/>
                <w:lang w:eastAsia="es-MX"/>
              </w:rPr>
            </w:pPr>
            <w:r w:rsidRPr="00880BCA">
              <w:rPr>
                <w:rFonts w:ascii="Century Gothic" w:eastAsia="Times New Roman" w:hAnsi="Century Gothic" w:cs="Calibri"/>
                <w:b/>
                <w:bCs/>
                <w:color w:val="000000"/>
                <w:sz w:val="17"/>
                <w:szCs w:val="17"/>
                <w:lang w:eastAsia="es-MX"/>
              </w:rPr>
              <w:t>Acrónimo</w:t>
            </w:r>
          </w:p>
        </w:tc>
        <w:tc>
          <w:tcPr>
            <w:tcW w:w="763" w:type="pct"/>
            <w:gridSpan w:val="3"/>
            <w:vMerge w:val="restart"/>
            <w:tcBorders>
              <w:top w:val="single" w:sz="8" w:space="0" w:color="FFFFFF"/>
              <w:left w:val="single" w:sz="8" w:space="0" w:color="FFFFFF"/>
              <w:bottom w:val="single" w:sz="8" w:space="0" w:color="FFFFFF"/>
              <w:right w:val="single" w:sz="8" w:space="0" w:color="FFFFFF"/>
            </w:tcBorders>
            <w:shd w:val="clear" w:color="000000" w:fill="D9D9D9"/>
            <w:vAlign w:val="center"/>
            <w:hideMark/>
          </w:tcPr>
          <w:p w14:paraId="0DA1DE48" w14:textId="77777777" w:rsidR="00F560FD" w:rsidRPr="00880BCA" w:rsidRDefault="00F560FD" w:rsidP="006A0658">
            <w:pPr>
              <w:spacing w:before="40" w:after="40" w:line="240" w:lineRule="auto"/>
              <w:jc w:val="center"/>
              <w:rPr>
                <w:rFonts w:ascii="Century Gothic" w:eastAsia="Times New Roman" w:hAnsi="Century Gothic" w:cs="Calibri"/>
                <w:b/>
                <w:bCs/>
                <w:color w:val="000000"/>
                <w:sz w:val="17"/>
                <w:szCs w:val="17"/>
                <w:lang w:eastAsia="es-MX"/>
              </w:rPr>
            </w:pPr>
            <w:r w:rsidRPr="00880BCA">
              <w:rPr>
                <w:rFonts w:ascii="Century Gothic" w:eastAsia="Times New Roman" w:hAnsi="Century Gothic" w:cs="Calibri"/>
                <w:b/>
                <w:bCs/>
                <w:color w:val="000000"/>
                <w:sz w:val="17"/>
                <w:szCs w:val="17"/>
                <w:lang w:eastAsia="es-MX"/>
              </w:rPr>
              <w:t>Número de variables</w:t>
            </w:r>
          </w:p>
        </w:tc>
        <w:tc>
          <w:tcPr>
            <w:tcW w:w="1826" w:type="pct"/>
            <w:gridSpan w:val="6"/>
            <w:tcBorders>
              <w:top w:val="single" w:sz="8" w:space="0" w:color="FFFFFF"/>
              <w:left w:val="nil"/>
              <w:bottom w:val="single" w:sz="8" w:space="0" w:color="FFFFFF"/>
              <w:right w:val="single" w:sz="8" w:space="0" w:color="FFFFFF"/>
            </w:tcBorders>
            <w:shd w:val="clear" w:color="000000" w:fill="FFE599"/>
            <w:vAlign w:val="center"/>
            <w:hideMark/>
          </w:tcPr>
          <w:p w14:paraId="15D9353E" w14:textId="77777777" w:rsidR="00F560FD" w:rsidRPr="00880BCA" w:rsidRDefault="00F560FD" w:rsidP="006A0658">
            <w:pPr>
              <w:spacing w:before="40" w:after="40" w:line="240" w:lineRule="auto"/>
              <w:jc w:val="center"/>
              <w:rPr>
                <w:rFonts w:ascii="Century Gothic" w:eastAsia="Times New Roman" w:hAnsi="Century Gothic" w:cs="Calibri"/>
                <w:b/>
                <w:bCs/>
                <w:color w:val="000000"/>
                <w:sz w:val="17"/>
                <w:szCs w:val="17"/>
                <w:lang w:eastAsia="es-MX"/>
              </w:rPr>
            </w:pPr>
            <w:r w:rsidRPr="00880BCA">
              <w:rPr>
                <w:rFonts w:ascii="Century Gothic" w:eastAsia="Times New Roman" w:hAnsi="Century Gothic" w:cs="Calibri"/>
                <w:b/>
                <w:bCs/>
                <w:color w:val="000000"/>
                <w:sz w:val="17"/>
                <w:szCs w:val="17"/>
                <w:lang w:eastAsia="es-MX"/>
              </w:rPr>
              <w:t xml:space="preserve">Tasa de no respuesta </w:t>
            </w:r>
            <w:r>
              <w:rPr>
                <w:rFonts w:ascii="Century Gothic" w:eastAsia="Times New Roman" w:hAnsi="Century Gothic" w:cs="Calibri"/>
                <w:b/>
                <w:bCs/>
                <w:color w:val="000000"/>
                <w:sz w:val="17"/>
                <w:szCs w:val="17"/>
                <w:lang w:eastAsia="es-MX"/>
              </w:rPr>
              <w:t>a nivel</w:t>
            </w:r>
            <w:r w:rsidRPr="00880BCA">
              <w:rPr>
                <w:rFonts w:ascii="Century Gothic" w:eastAsia="Times New Roman" w:hAnsi="Century Gothic" w:cs="Calibri"/>
                <w:b/>
                <w:bCs/>
                <w:color w:val="000000"/>
                <w:sz w:val="17"/>
                <w:szCs w:val="17"/>
                <w:lang w:eastAsia="es-MX"/>
              </w:rPr>
              <w:t xml:space="preserve"> variable (%)</w:t>
            </w:r>
          </w:p>
        </w:tc>
      </w:tr>
      <w:tr w:rsidR="00F560FD" w:rsidRPr="00880BCA" w14:paraId="5122D4A0" w14:textId="77777777" w:rsidTr="006A0658">
        <w:trPr>
          <w:trHeight w:val="315"/>
          <w:tblHeader/>
          <w:jc w:val="center"/>
        </w:trPr>
        <w:tc>
          <w:tcPr>
            <w:tcW w:w="2067" w:type="pct"/>
            <w:vMerge/>
            <w:tcBorders>
              <w:top w:val="single" w:sz="8" w:space="0" w:color="FFFFFF"/>
              <w:left w:val="single" w:sz="8" w:space="0" w:color="FFFFFF"/>
              <w:bottom w:val="single" w:sz="8" w:space="0" w:color="FFFFFF"/>
              <w:right w:val="single" w:sz="8" w:space="0" w:color="FFFFFF"/>
            </w:tcBorders>
            <w:vAlign w:val="center"/>
            <w:hideMark/>
          </w:tcPr>
          <w:p w14:paraId="47215560" w14:textId="77777777" w:rsidR="00F560FD" w:rsidRPr="00880BCA" w:rsidRDefault="00F560FD" w:rsidP="006A0658">
            <w:pPr>
              <w:spacing w:before="40" w:after="40" w:line="240" w:lineRule="auto"/>
              <w:rPr>
                <w:rFonts w:ascii="Century Gothic" w:eastAsia="Times New Roman" w:hAnsi="Century Gothic" w:cs="Calibri"/>
                <w:b/>
                <w:bCs/>
                <w:color w:val="000000"/>
                <w:sz w:val="17"/>
                <w:szCs w:val="17"/>
                <w:lang w:eastAsia="es-MX"/>
              </w:rPr>
            </w:pPr>
          </w:p>
        </w:tc>
        <w:tc>
          <w:tcPr>
            <w:tcW w:w="345" w:type="pct"/>
            <w:vMerge/>
            <w:tcBorders>
              <w:top w:val="single" w:sz="8" w:space="0" w:color="FFFFFF"/>
              <w:left w:val="single" w:sz="8" w:space="0" w:color="FFFFFF"/>
              <w:bottom w:val="single" w:sz="8" w:space="0" w:color="FFFFFF"/>
              <w:right w:val="single" w:sz="8" w:space="0" w:color="FFFFFF"/>
            </w:tcBorders>
            <w:vAlign w:val="center"/>
            <w:hideMark/>
          </w:tcPr>
          <w:p w14:paraId="64D51D6A" w14:textId="77777777" w:rsidR="00F560FD" w:rsidRPr="00880BCA" w:rsidRDefault="00F560FD" w:rsidP="006A0658">
            <w:pPr>
              <w:spacing w:before="40" w:after="40" w:line="240" w:lineRule="auto"/>
              <w:rPr>
                <w:rFonts w:ascii="Century Gothic" w:eastAsia="Times New Roman" w:hAnsi="Century Gothic" w:cs="Calibri"/>
                <w:b/>
                <w:bCs/>
                <w:color w:val="000000"/>
                <w:sz w:val="17"/>
                <w:szCs w:val="17"/>
                <w:lang w:eastAsia="es-MX"/>
              </w:rPr>
            </w:pPr>
          </w:p>
        </w:tc>
        <w:tc>
          <w:tcPr>
            <w:tcW w:w="763" w:type="pct"/>
            <w:gridSpan w:val="3"/>
            <w:vMerge/>
            <w:tcBorders>
              <w:top w:val="single" w:sz="8" w:space="0" w:color="FFFFFF"/>
              <w:left w:val="single" w:sz="8" w:space="0" w:color="FFFFFF"/>
              <w:bottom w:val="single" w:sz="8" w:space="0" w:color="FFFFFF"/>
              <w:right w:val="single" w:sz="8" w:space="0" w:color="FFFFFF"/>
            </w:tcBorders>
            <w:vAlign w:val="center"/>
            <w:hideMark/>
          </w:tcPr>
          <w:p w14:paraId="5ED647AB" w14:textId="77777777" w:rsidR="00F560FD" w:rsidRPr="00880BCA" w:rsidRDefault="00F560FD" w:rsidP="006A0658">
            <w:pPr>
              <w:spacing w:before="40" w:after="40" w:line="240" w:lineRule="auto"/>
              <w:rPr>
                <w:rFonts w:ascii="Century Gothic" w:eastAsia="Times New Roman" w:hAnsi="Century Gothic" w:cs="Calibri"/>
                <w:b/>
                <w:bCs/>
                <w:color w:val="000000"/>
                <w:sz w:val="17"/>
                <w:szCs w:val="17"/>
                <w:lang w:eastAsia="es-MX"/>
              </w:rPr>
            </w:pPr>
          </w:p>
        </w:tc>
        <w:tc>
          <w:tcPr>
            <w:tcW w:w="914" w:type="pct"/>
            <w:gridSpan w:val="3"/>
            <w:tcBorders>
              <w:top w:val="single" w:sz="8" w:space="0" w:color="FFFFFF"/>
              <w:left w:val="nil"/>
              <w:bottom w:val="single" w:sz="8" w:space="0" w:color="FFFFFF"/>
              <w:right w:val="single" w:sz="8" w:space="0" w:color="FFFFFF"/>
            </w:tcBorders>
            <w:shd w:val="clear" w:color="000000" w:fill="FFE599"/>
            <w:vAlign w:val="center"/>
            <w:hideMark/>
          </w:tcPr>
          <w:p w14:paraId="5D8854FE" w14:textId="77777777" w:rsidR="00F560FD" w:rsidRPr="00880BCA" w:rsidRDefault="00F560FD" w:rsidP="006A0658">
            <w:pPr>
              <w:spacing w:before="40" w:after="40" w:line="240" w:lineRule="auto"/>
              <w:jc w:val="center"/>
              <w:rPr>
                <w:rFonts w:ascii="Century Gothic" w:eastAsia="Times New Roman" w:hAnsi="Century Gothic" w:cs="Calibri"/>
                <w:b/>
                <w:bCs/>
                <w:color w:val="000000"/>
                <w:sz w:val="17"/>
                <w:szCs w:val="17"/>
                <w:lang w:eastAsia="es-MX"/>
              </w:rPr>
            </w:pPr>
            <w:r w:rsidRPr="00880BCA">
              <w:rPr>
                <w:rFonts w:ascii="Century Gothic" w:eastAsia="Times New Roman" w:hAnsi="Century Gothic" w:cs="Calibri"/>
                <w:b/>
                <w:bCs/>
                <w:color w:val="000000"/>
                <w:sz w:val="17"/>
                <w:szCs w:val="17"/>
                <w:lang w:eastAsia="es-MX"/>
              </w:rPr>
              <w:t>Media</w:t>
            </w:r>
          </w:p>
        </w:tc>
        <w:tc>
          <w:tcPr>
            <w:tcW w:w="912" w:type="pct"/>
            <w:gridSpan w:val="3"/>
            <w:tcBorders>
              <w:top w:val="single" w:sz="8" w:space="0" w:color="FFFFFF"/>
              <w:left w:val="nil"/>
              <w:bottom w:val="single" w:sz="8" w:space="0" w:color="FFFFFF"/>
              <w:right w:val="single" w:sz="8" w:space="0" w:color="FFFFFF"/>
            </w:tcBorders>
            <w:shd w:val="clear" w:color="000000" w:fill="FFE599"/>
            <w:vAlign w:val="center"/>
            <w:hideMark/>
          </w:tcPr>
          <w:p w14:paraId="5231875D" w14:textId="77777777" w:rsidR="00F560FD" w:rsidRPr="00880BCA" w:rsidRDefault="00F560FD" w:rsidP="006A0658">
            <w:pPr>
              <w:spacing w:before="40" w:after="40" w:line="240" w:lineRule="auto"/>
              <w:jc w:val="center"/>
              <w:rPr>
                <w:rFonts w:ascii="Century Gothic" w:eastAsia="Times New Roman" w:hAnsi="Century Gothic" w:cs="Calibri"/>
                <w:b/>
                <w:bCs/>
                <w:color w:val="000000"/>
                <w:sz w:val="17"/>
                <w:szCs w:val="17"/>
                <w:lang w:eastAsia="es-MX"/>
              </w:rPr>
            </w:pPr>
            <w:r w:rsidRPr="00880BCA">
              <w:rPr>
                <w:rFonts w:ascii="Century Gothic" w:eastAsia="Times New Roman" w:hAnsi="Century Gothic" w:cs="Calibri"/>
                <w:b/>
                <w:bCs/>
                <w:color w:val="000000"/>
                <w:sz w:val="17"/>
                <w:szCs w:val="17"/>
                <w:lang w:eastAsia="es-MX"/>
              </w:rPr>
              <w:t>Máxima</w:t>
            </w:r>
          </w:p>
        </w:tc>
      </w:tr>
      <w:tr w:rsidR="00F560FD" w:rsidRPr="00880BCA" w14:paraId="1E380F78" w14:textId="77777777" w:rsidTr="006A0658">
        <w:trPr>
          <w:trHeight w:val="315"/>
          <w:tblHeader/>
          <w:jc w:val="center"/>
        </w:trPr>
        <w:tc>
          <w:tcPr>
            <w:tcW w:w="2067" w:type="pct"/>
            <w:vMerge/>
            <w:tcBorders>
              <w:top w:val="single" w:sz="8" w:space="0" w:color="FFFFFF"/>
              <w:left w:val="single" w:sz="8" w:space="0" w:color="FFFFFF"/>
              <w:bottom w:val="single" w:sz="8" w:space="0" w:color="FFFFFF"/>
              <w:right w:val="single" w:sz="8" w:space="0" w:color="FFFFFF"/>
            </w:tcBorders>
            <w:vAlign w:val="center"/>
            <w:hideMark/>
          </w:tcPr>
          <w:p w14:paraId="4043CFCC" w14:textId="77777777" w:rsidR="00F560FD" w:rsidRPr="00880BCA" w:rsidRDefault="00F560FD" w:rsidP="006A0658">
            <w:pPr>
              <w:spacing w:before="40" w:after="40" w:line="240" w:lineRule="auto"/>
              <w:rPr>
                <w:rFonts w:ascii="Century Gothic" w:eastAsia="Times New Roman" w:hAnsi="Century Gothic" w:cs="Calibri"/>
                <w:b/>
                <w:bCs/>
                <w:color w:val="000000"/>
                <w:sz w:val="17"/>
                <w:szCs w:val="17"/>
                <w:lang w:eastAsia="es-MX"/>
              </w:rPr>
            </w:pPr>
          </w:p>
        </w:tc>
        <w:tc>
          <w:tcPr>
            <w:tcW w:w="345" w:type="pct"/>
            <w:vMerge/>
            <w:tcBorders>
              <w:top w:val="single" w:sz="8" w:space="0" w:color="FFFFFF"/>
              <w:left w:val="single" w:sz="8" w:space="0" w:color="FFFFFF"/>
              <w:bottom w:val="single" w:sz="8" w:space="0" w:color="FFFFFF"/>
              <w:right w:val="single" w:sz="8" w:space="0" w:color="FFFFFF"/>
            </w:tcBorders>
            <w:vAlign w:val="center"/>
            <w:hideMark/>
          </w:tcPr>
          <w:p w14:paraId="04879E81" w14:textId="77777777" w:rsidR="00F560FD" w:rsidRPr="00880BCA" w:rsidRDefault="00F560FD" w:rsidP="006A0658">
            <w:pPr>
              <w:spacing w:before="40" w:after="40" w:line="240" w:lineRule="auto"/>
              <w:rPr>
                <w:rFonts w:ascii="Century Gothic" w:eastAsia="Times New Roman" w:hAnsi="Century Gothic" w:cs="Calibri"/>
                <w:b/>
                <w:bCs/>
                <w:color w:val="000000"/>
                <w:sz w:val="17"/>
                <w:szCs w:val="17"/>
                <w:lang w:eastAsia="es-MX"/>
              </w:rPr>
            </w:pPr>
          </w:p>
        </w:tc>
        <w:tc>
          <w:tcPr>
            <w:tcW w:w="247" w:type="pct"/>
            <w:tcBorders>
              <w:top w:val="nil"/>
              <w:left w:val="nil"/>
              <w:bottom w:val="single" w:sz="8" w:space="0" w:color="FFFFFF"/>
              <w:right w:val="single" w:sz="8" w:space="0" w:color="FFFFFF"/>
            </w:tcBorders>
            <w:shd w:val="clear" w:color="000000" w:fill="D9D9D9"/>
            <w:vAlign w:val="center"/>
            <w:hideMark/>
          </w:tcPr>
          <w:p w14:paraId="61D862B9" w14:textId="77777777" w:rsidR="00F560FD" w:rsidRPr="00880BCA" w:rsidRDefault="00F560FD" w:rsidP="006A0658">
            <w:pPr>
              <w:spacing w:before="40" w:after="40" w:line="240" w:lineRule="auto"/>
              <w:jc w:val="center"/>
              <w:rPr>
                <w:rFonts w:ascii="Century Gothic" w:eastAsia="Times New Roman" w:hAnsi="Century Gothic" w:cs="Calibri"/>
                <w:b/>
                <w:bCs/>
                <w:color w:val="000000"/>
                <w:sz w:val="17"/>
                <w:szCs w:val="17"/>
                <w:lang w:eastAsia="es-MX"/>
              </w:rPr>
            </w:pPr>
            <w:r w:rsidRPr="00880BCA">
              <w:rPr>
                <w:rFonts w:ascii="Century Gothic" w:eastAsia="Times New Roman" w:hAnsi="Century Gothic" w:cs="Calibri"/>
                <w:b/>
                <w:bCs/>
                <w:color w:val="000000"/>
                <w:sz w:val="17"/>
                <w:szCs w:val="17"/>
                <w:lang w:eastAsia="es-MX"/>
              </w:rPr>
              <w:t>2019*</w:t>
            </w:r>
          </w:p>
        </w:tc>
        <w:tc>
          <w:tcPr>
            <w:tcW w:w="207" w:type="pct"/>
            <w:tcBorders>
              <w:top w:val="nil"/>
              <w:left w:val="nil"/>
              <w:bottom w:val="single" w:sz="8" w:space="0" w:color="FFFFFF"/>
              <w:right w:val="single" w:sz="8" w:space="0" w:color="FFFFFF"/>
            </w:tcBorders>
            <w:shd w:val="clear" w:color="000000" w:fill="D9D9D9"/>
            <w:vAlign w:val="center"/>
            <w:hideMark/>
          </w:tcPr>
          <w:p w14:paraId="45504553" w14:textId="77777777" w:rsidR="00F560FD" w:rsidRPr="00880BCA" w:rsidRDefault="00F560FD" w:rsidP="006A0658">
            <w:pPr>
              <w:spacing w:before="40" w:after="40" w:line="240" w:lineRule="auto"/>
              <w:jc w:val="center"/>
              <w:rPr>
                <w:rFonts w:ascii="Century Gothic" w:eastAsia="Times New Roman" w:hAnsi="Century Gothic" w:cs="Calibri"/>
                <w:b/>
                <w:bCs/>
                <w:color w:val="000000"/>
                <w:sz w:val="17"/>
                <w:szCs w:val="17"/>
                <w:lang w:eastAsia="es-MX"/>
              </w:rPr>
            </w:pPr>
            <w:r w:rsidRPr="00880BCA">
              <w:rPr>
                <w:rFonts w:ascii="Century Gothic" w:eastAsia="Times New Roman" w:hAnsi="Century Gothic" w:cs="Calibri"/>
                <w:b/>
                <w:bCs/>
                <w:color w:val="000000"/>
                <w:sz w:val="17"/>
                <w:szCs w:val="17"/>
                <w:lang w:eastAsia="es-MX"/>
              </w:rPr>
              <w:t>2020*</w:t>
            </w:r>
          </w:p>
        </w:tc>
        <w:tc>
          <w:tcPr>
            <w:tcW w:w="309" w:type="pct"/>
            <w:tcBorders>
              <w:top w:val="nil"/>
              <w:left w:val="nil"/>
              <w:bottom w:val="single" w:sz="8" w:space="0" w:color="FFFFFF"/>
              <w:right w:val="single" w:sz="8" w:space="0" w:color="FFFFFF"/>
            </w:tcBorders>
            <w:shd w:val="clear" w:color="000000" w:fill="D9D9D9"/>
            <w:vAlign w:val="center"/>
            <w:hideMark/>
          </w:tcPr>
          <w:p w14:paraId="33804D21" w14:textId="77777777" w:rsidR="00F560FD" w:rsidRPr="00880BCA" w:rsidRDefault="00F560FD" w:rsidP="006A0658">
            <w:pPr>
              <w:spacing w:before="40" w:after="40" w:line="240" w:lineRule="auto"/>
              <w:jc w:val="center"/>
              <w:rPr>
                <w:rFonts w:ascii="Century Gothic" w:eastAsia="Times New Roman" w:hAnsi="Century Gothic" w:cs="Calibri"/>
                <w:b/>
                <w:bCs/>
                <w:color w:val="000000"/>
                <w:sz w:val="17"/>
                <w:szCs w:val="17"/>
                <w:lang w:eastAsia="es-MX"/>
              </w:rPr>
            </w:pPr>
            <w:r w:rsidRPr="00880BCA">
              <w:rPr>
                <w:rFonts w:ascii="Century Gothic" w:eastAsia="Times New Roman" w:hAnsi="Century Gothic" w:cs="Calibri"/>
                <w:b/>
                <w:bCs/>
                <w:color w:val="000000"/>
                <w:sz w:val="17"/>
                <w:szCs w:val="17"/>
                <w:lang w:eastAsia="es-MX"/>
              </w:rPr>
              <w:t>2021**</w:t>
            </w:r>
          </w:p>
        </w:tc>
        <w:tc>
          <w:tcPr>
            <w:tcW w:w="223" w:type="pct"/>
            <w:tcBorders>
              <w:top w:val="nil"/>
              <w:left w:val="nil"/>
              <w:bottom w:val="single" w:sz="8" w:space="0" w:color="FFFFFF"/>
              <w:right w:val="single" w:sz="8" w:space="0" w:color="FFFFFF"/>
            </w:tcBorders>
            <w:shd w:val="clear" w:color="000000" w:fill="FFE599"/>
            <w:vAlign w:val="center"/>
            <w:hideMark/>
          </w:tcPr>
          <w:p w14:paraId="5C1BCBDF" w14:textId="77777777" w:rsidR="00F560FD" w:rsidRPr="00880BCA" w:rsidRDefault="00F560FD" w:rsidP="006A0658">
            <w:pPr>
              <w:spacing w:before="40" w:after="40" w:line="240" w:lineRule="auto"/>
              <w:jc w:val="center"/>
              <w:rPr>
                <w:rFonts w:ascii="Century Gothic" w:eastAsia="Times New Roman" w:hAnsi="Century Gothic" w:cs="Calibri"/>
                <w:b/>
                <w:bCs/>
                <w:color w:val="000000"/>
                <w:sz w:val="17"/>
                <w:szCs w:val="17"/>
                <w:lang w:eastAsia="es-MX"/>
              </w:rPr>
            </w:pPr>
            <w:r w:rsidRPr="00880BCA">
              <w:rPr>
                <w:rFonts w:ascii="Century Gothic" w:eastAsia="Times New Roman" w:hAnsi="Century Gothic" w:cs="Calibri"/>
                <w:b/>
                <w:bCs/>
                <w:color w:val="000000"/>
                <w:sz w:val="17"/>
                <w:szCs w:val="17"/>
                <w:lang w:eastAsia="es-MX"/>
              </w:rPr>
              <w:t>2019*</w:t>
            </w:r>
          </w:p>
        </w:tc>
        <w:tc>
          <w:tcPr>
            <w:tcW w:w="444" w:type="pct"/>
            <w:tcBorders>
              <w:top w:val="nil"/>
              <w:left w:val="nil"/>
              <w:bottom w:val="single" w:sz="8" w:space="0" w:color="FFFFFF"/>
              <w:right w:val="single" w:sz="8" w:space="0" w:color="FFFFFF"/>
            </w:tcBorders>
            <w:shd w:val="clear" w:color="000000" w:fill="FFE599"/>
            <w:vAlign w:val="center"/>
            <w:hideMark/>
          </w:tcPr>
          <w:p w14:paraId="3168FE88" w14:textId="77777777" w:rsidR="00F560FD" w:rsidRPr="00880BCA" w:rsidRDefault="00F560FD" w:rsidP="006A0658">
            <w:pPr>
              <w:spacing w:before="40" w:after="40" w:line="240" w:lineRule="auto"/>
              <w:jc w:val="center"/>
              <w:rPr>
                <w:rFonts w:ascii="Century Gothic" w:eastAsia="Times New Roman" w:hAnsi="Century Gothic" w:cs="Calibri"/>
                <w:b/>
                <w:bCs/>
                <w:color w:val="000000"/>
                <w:sz w:val="17"/>
                <w:szCs w:val="17"/>
                <w:lang w:eastAsia="es-MX"/>
              </w:rPr>
            </w:pPr>
            <w:r w:rsidRPr="00880BCA">
              <w:rPr>
                <w:rFonts w:ascii="Century Gothic" w:eastAsia="Times New Roman" w:hAnsi="Century Gothic" w:cs="Calibri"/>
                <w:b/>
                <w:bCs/>
                <w:color w:val="000000"/>
                <w:sz w:val="17"/>
                <w:szCs w:val="17"/>
                <w:lang w:eastAsia="es-MX"/>
              </w:rPr>
              <w:t>2020*</w:t>
            </w:r>
          </w:p>
        </w:tc>
        <w:tc>
          <w:tcPr>
            <w:tcW w:w="247" w:type="pct"/>
            <w:tcBorders>
              <w:top w:val="nil"/>
              <w:left w:val="nil"/>
              <w:bottom w:val="single" w:sz="8" w:space="0" w:color="FFFFFF"/>
              <w:right w:val="single" w:sz="8" w:space="0" w:color="FFFFFF"/>
            </w:tcBorders>
            <w:shd w:val="clear" w:color="000000" w:fill="FFE599"/>
            <w:vAlign w:val="center"/>
            <w:hideMark/>
          </w:tcPr>
          <w:p w14:paraId="23F97D0D" w14:textId="77777777" w:rsidR="00F560FD" w:rsidRPr="00880BCA" w:rsidRDefault="00F560FD" w:rsidP="006A0658">
            <w:pPr>
              <w:spacing w:before="40" w:after="40" w:line="240" w:lineRule="auto"/>
              <w:jc w:val="center"/>
              <w:rPr>
                <w:rFonts w:ascii="Century Gothic" w:eastAsia="Times New Roman" w:hAnsi="Century Gothic" w:cs="Calibri"/>
                <w:b/>
                <w:bCs/>
                <w:color w:val="000000"/>
                <w:sz w:val="17"/>
                <w:szCs w:val="17"/>
                <w:lang w:eastAsia="es-MX"/>
              </w:rPr>
            </w:pPr>
            <w:r w:rsidRPr="00880BCA">
              <w:rPr>
                <w:rFonts w:ascii="Century Gothic" w:eastAsia="Times New Roman" w:hAnsi="Century Gothic" w:cs="Calibri"/>
                <w:b/>
                <w:bCs/>
                <w:color w:val="000000"/>
                <w:sz w:val="17"/>
                <w:szCs w:val="17"/>
                <w:lang w:eastAsia="es-MX"/>
              </w:rPr>
              <w:t>2021**</w:t>
            </w:r>
          </w:p>
        </w:tc>
        <w:tc>
          <w:tcPr>
            <w:tcW w:w="207" w:type="pct"/>
            <w:tcBorders>
              <w:top w:val="nil"/>
              <w:left w:val="nil"/>
              <w:bottom w:val="single" w:sz="8" w:space="0" w:color="FFFFFF"/>
              <w:right w:val="single" w:sz="8" w:space="0" w:color="FFFFFF"/>
            </w:tcBorders>
            <w:shd w:val="clear" w:color="000000" w:fill="FFE599"/>
            <w:vAlign w:val="center"/>
            <w:hideMark/>
          </w:tcPr>
          <w:p w14:paraId="353F26CD" w14:textId="77777777" w:rsidR="00F560FD" w:rsidRPr="00880BCA" w:rsidRDefault="00F560FD" w:rsidP="006A0658">
            <w:pPr>
              <w:spacing w:before="40" w:after="40" w:line="240" w:lineRule="auto"/>
              <w:jc w:val="center"/>
              <w:rPr>
                <w:rFonts w:ascii="Century Gothic" w:eastAsia="Times New Roman" w:hAnsi="Century Gothic" w:cs="Calibri"/>
                <w:b/>
                <w:bCs/>
                <w:color w:val="000000"/>
                <w:sz w:val="17"/>
                <w:szCs w:val="17"/>
                <w:lang w:eastAsia="es-MX"/>
              </w:rPr>
            </w:pPr>
            <w:r w:rsidRPr="00880BCA">
              <w:rPr>
                <w:rFonts w:ascii="Century Gothic" w:eastAsia="Times New Roman" w:hAnsi="Century Gothic" w:cs="Calibri"/>
                <w:b/>
                <w:bCs/>
                <w:color w:val="000000"/>
                <w:sz w:val="17"/>
                <w:szCs w:val="17"/>
                <w:lang w:eastAsia="es-MX"/>
              </w:rPr>
              <w:t>2019*</w:t>
            </w:r>
          </w:p>
        </w:tc>
        <w:tc>
          <w:tcPr>
            <w:tcW w:w="472" w:type="pct"/>
            <w:tcBorders>
              <w:top w:val="nil"/>
              <w:left w:val="nil"/>
              <w:bottom w:val="single" w:sz="8" w:space="0" w:color="FFFFFF"/>
              <w:right w:val="single" w:sz="8" w:space="0" w:color="FFFFFF"/>
            </w:tcBorders>
            <w:shd w:val="clear" w:color="000000" w:fill="FFE599"/>
            <w:vAlign w:val="center"/>
            <w:hideMark/>
          </w:tcPr>
          <w:p w14:paraId="52C06076" w14:textId="77777777" w:rsidR="00F560FD" w:rsidRPr="00880BCA" w:rsidRDefault="00F560FD" w:rsidP="006A0658">
            <w:pPr>
              <w:spacing w:before="40" w:after="40" w:line="240" w:lineRule="auto"/>
              <w:jc w:val="center"/>
              <w:rPr>
                <w:rFonts w:ascii="Century Gothic" w:eastAsia="Times New Roman" w:hAnsi="Century Gothic" w:cs="Calibri"/>
                <w:b/>
                <w:bCs/>
                <w:color w:val="000000"/>
                <w:sz w:val="17"/>
                <w:szCs w:val="17"/>
                <w:lang w:eastAsia="es-MX"/>
              </w:rPr>
            </w:pPr>
            <w:r w:rsidRPr="00880BCA">
              <w:rPr>
                <w:rFonts w:ascii="Century Gothic" w:eastAsia="Times New Roman" w:hAnsi="Century Gothic" w:cs="Calibri"/>
                <w:b/>
                <w:bCs/>
                <w:color w:val="000000"/>
                <w:sz w:val="17"/>
                <w:szCs w:val="17"/>
                <w:lang w:eastAsia="es-MX"/>
              </w:rPr>
              <w:t>2020*</w:t>
            </w:r>
          </w:p>
        </w:tc>
        <w:tc>
          <w:tcPr>
            <w:tcW w:w="233" w:type="pct"/>
            <w:tcBorders>
              <w:top w:val="nil"/>
              <w:left w:val="nil"/>
              <w:bottom w:val="single" w:sz="8" w:space="0" w:color="FFFFFF"/>
              <w:right w:val="single" w:sz="8" w:space="0" w:color="FFFFFF"/>
            </w:tcBorders>
            <w:shd w:val="clear" w:color="000000" w:fill="FFE599"/>
            <w:vAlign w:val="center"/>
            <w:hideMark/>
          </w:tcPr>
          <w:p w14:paraId="39416E7A" w14:textId="77777777" w:rsidR="00F560FD" w:rsidRPr="00880BCA" w:rsidRDefault="00F560FD" w:rsidP="006A0658">
            <w:pPr>
              <w:spacing w:before="40" w:after="40" w:line="240" w:lineRule="auto"/>
              <w:jc w:val="center"/>
              <w:rPr>
                <w:rFonts w:ascii="Century Gothic" w:eastAsia="Times New Roman" w:hAnsi="Century Gothic" w:cs="Calibri"/>
                <w:b/>
                <w:bCs/>
                <w:color w:val="000000"/>
                <w:sz w:val="17"/>
                <w:szCs w:val="17"/>
                <w:lang w:eastAsia="es-MX"/>
              </w:rPr>
            </w:pPr>
            <w:r w:rsidRPr="00880BCA">
              <w:rPr>
                <w:rFonts w:ascii="Century Gothic" w:eastAsia="Times New Roman" w:hAnsi="Century Gothic" w:cs="Calibri"/>
                <w:b/>
                <w:bCs/>
                <w:color w:val="000000"/>
                <w:sz w:val="17"/>
                <w:szCs w:val="17"/>
                <w:lang w:eastAsia="es-MX"/>
              </w:rPr>
              <w:t>2021**</w:t>
            </w:r>
          </w:p>
        </w:tc>
      </w:tr>
      <w:tr w:rsidR="00F560FD" w:rsidRPr="00880BCA" w14:paraId="1D5B4964" w14:textId="77777777" w:rsidTr="006A0658">
        <w:trPr>
          <w:trHeight w:val="242"/>
          <w:jc w:val="center"/>
        </w:trPr>
        <w:tc>
          <w:tcPr>
            <w:tcW w:w="2067" w:type="pct"/>
            <w:tcBorders>
              <w:top w:val="nil"/>
              <w:left w:val="nil"/>
              <w:bottom w:val="single" w:sz="8" w:space="0" w:color="FFFFFF"/>
              <w:right w:val="single" w:sz="8" w:space="0" w:color="FFFFFF"/>
            </w:tcBorders>
            <w:shd w:val="clear" w:color="000000" w:fill="F2F2F2"/>
            <w:vAlign w:val="center"/>
            <w:hideMark/>
          </w:tcPr>
          <w:p w14:paraId="67B63D91" w14:textId="77777777" w:rsidR="00F560FD" w:rsidRPr="00880BCA" w:rsidRDefault="00F560FD" w:rsidP="006A0658">
            <w:pPr>
              <w:spacing w:before="40" w:after="40" w:line="240" w:lineRule="auto"/>
              <w:rPr>
                <w:rFonts w:ascii="Century Gothic" w:eastAsia="Times New Roman" w:hAnsi="Century Gothic" w:cs="Calibri"/>
                <w:color w:val="000000"/>
                <w:sz w:val="17"/>
                <w:szCs w:val="17"/>
                <w:lang w:eastAsia="es-MX"/>
              </w:rPr>
            </w:pPr>
            <w:r w:rsidRPr="00880BCA">
              <w:rPr>
                <w:rFonts w:ascii="Century Gothic" w:eastAsia="Times New Roman" w:hAnsi="Century Gothic" w:cs="Calibri"/>
                <w:color w:val="000000"/>
                <w:sz w:val="17"/>
                <w:szCs w:val="17"/>
                <w:lang w:eastAsia="es-MX"/>
              </w:rPr>
              <w:t>Finanzas Públicas Estatales y Municipales</w:t>
            </w:r>
          </w:p>
        </w:tc>
        <w:tc>
          <w:tcPr>
            <w:tcW w:w="345" w:type="pct"/>
            <w:tcBorders>
              <w:top w:val="nil"/>
              <w:left w:val="nil"/>
              <w:bottom w:val="single" w:sz="8" w:space="0" w:color="FFFFFF"/>
              <w:right w:val="single" w:sz="8" w:space="0" w:color="FFFFFF"/>
            </w:tcBorders>
            <w:shd w:val="clear" w:color="000000" w:fill="F2F2F2"/>
            <w:vAlign w:val="center"/>
            <w:hideMark/>
          </w:tcPr>
          <w:p w14:paraId="5564CEBF" w14:textId="77777777" w:rsidR="00F560FD" w:rsidRPr="00880BCA" w:rsidRDefault="00F560FD" w:rsidP="006A0658">
            <w:pPr>
              <w:spacing w:before="40" w:after="40" w:line="240" w:lineRule="auto"/>
              <w:rPr>
                <w:rFonts w:ascii="Century Gothic" w:eastAsia="Times New Roman" w:hAnsi="Century Gothic" w:cs="Calibri"/>
                <w:color w:val="000000"/>
                <w:sz w:val="17"/>
                <w:szCs w:val="17"/>
                <w:lang w:eastAsia="es-MX"/>
              </w:rPr>
            </w:pPr>
            <w:r w:rsidRPr="00880BCA">
              <w:rPr>
                <w:rFonts w:ascii="Century Gothic" w:eastAsia="Times New Roman" w:hAnsi="Century Gothic" w:cs="Calibri"/>
                <w:color w:val="000000"/>
                <w:sz w:val="17"/>
                <w:szCs w:val="17"/>
                <w:lang w:eastAsia="es-MX"/>
              </w:rPr>
              <w:t>EFIPEM</w:t>
            </w:r>
          </w:p>
        </w:tc>
        <w:tc>
          <w:tcPr>
            <w:tcW w:w="247" w:type="pct"/>
            <w:tcBorders>
              <w:top w:val="nil"/>
              <w:left w:val="nil"/>
              <w:bottom w:val="single" w:sz="8" w:space="0" w:color="FFFFFF"/>
              <w:right w:val="single" w:sz="8" w:space="0" w:color="FFFFFF"/>
            </w:tcBorders>
            <w:shd w:val="clear" w:color="000000" w:fill="F2F2F2"/>
            <w:vAlign w:val="center"/>
            <w:hideMark/>
          </w:tcPr>
          <w:p w14:paraId="175C64E2" w14:textId="77777777" w:rsidR="00F560FD" w:rsidRPr="00880BCA" w:rsidRDefault="00F560FD" w:rsidP="006A0658">
            <w:pPr>
              <w:spacing w:before="40" w:after="40" w:line="240" w:lineRule="auto"/>
              <w:jc w:val="center"/>
              <w:rPr>
                <w:rFonts w:ascii="Century Gothic" w:eastAsia="Times New Roman" w:hAnsi="Century Gothic" w:cs="Calibri"/>
                <w:color w:val="000000"/>
                <w:sz w:val="17"/>
                <w:szCs w:val="17"/>
                <w:lang w:eastAsia="es-MX"/>
              </w:rPr>
            </w:pPr>
            <w:r w:rsidRPr="00880BCA">
              <w:rPr>
                <w:rFonts w:ascii="Century Gothic" w:eastAsia="Times New Roman" w:hAnsi="Century Gothic" w:cs="Calibri"/>
                <w:color w:val="000000"/>
                <w:sz w:val="17"/>
                <w:szCs w:val="17"/>
                <w:lang w:eastAsia="es-MX"/>
              </w:rPr>
              <w:t>2</w:t>
            </w:r>
          </w:p>
        </w:tc>
        <w:tc>
          <w:tcPr>
            <w:tcW w:w="207" w:type="pct"/>
            <w:tcBorders>
              <w:top w:val="nil"/>
              <w:left w:val="nil"/>
              <w:bottom w:val="single" w:sz="8" w:space="0" w:color="FFFFFF"/>
              <w:right w:val="single" w:sz="8" w:space="0" w:color="FFFFFF"/>
            </w:tcBorders>
            <w:shd w:val="clear" w:color="000000" w:fill="F2F2F2"/>
            <w:vAlign w:val="center"/>
            <w:hideMark/>
          </w:tcPr>
          <w:p w14:paraId="4E96F05E" w14:textId="77777777" w:rsidR="00F560FD" w:rsidRPr="00880BCA" w:rsidRDefault="00F560FD" w:rsidP="006A0658">
            <w:pPr>
              <w:spacing w:before="40" w:after="40" w:line="240" w:lineRule="auto"/>
              <w:jc w:val="center"/>
              <w:rPr>
                <w:rFonts w:ascii="Century Gothic" w:eastAsia="Times New Roman" w:hAnsi="Century Gothic" w:cs="Calibri"/>
                <w:color w:val="000000"/>
                <w:sz w:val="17"/>
                <w:szCs w:val="17"/>
                <w:lang w:eastAsia="es-MX"/>
              </w:rPr>
            </w:pPr>
            <w:r w:rsidRPr="00880BCA">
              <w:rPr>
                <w:rFonts w:ascii="Century Gothic" w:eastAsia="Times New Roman" w:hAnsi="Century Gothic" w:cs="Calibri"/>
                <w:color w:val="000000"/>
                <w:sz w:val="17"/>
                <w:szCs w:val="17"/>
                <w:lang w:eastAsia="es-MX"/>
              </w:rPr>
              <w:t>1</w:t>
            </w:r>
          </w:p>
        </w:tc>
        <w:tc>
          <w:tcPr>
            <w:tcW w:w="309" w:type="pct"/>
            <w:tcBorders>
              <w:top w:val="nil"/>
              <w:left w:val="nil"/>
              <w:bottom w:val="single" w:sz="8" w:space="0" w:color="FFFFFF"/>
              <w:right w:val="single" w:sz="8" w:space="0" w:color="FFFFFF"/>
            </w:tcBorders>
            <w:shd w:val="clear" w:color="000000" w:fill="F2F2F2"/>
            <w:vAlign w:val="center"/>
            <w:hideMark/>
          </w:tcPr>
          <w:p w14:paraId="0F901DD1" w14:textId="77777777" w:rsidR="00F560FD" w:rsidRPr="00880BCA" w:rsidRDefault="00F560FD" w:rsidP="006A0658">
            <w:pPr>
              <w:spacing w:before="40" w:after="40" w:line="240" w:lineRule="auto"/>
              <w:jc w:val="center"/>
              <w:rPr>
                <w:rFonts w:ascii="Century Gothic" w:eastAsia="Times New Roman" w:hAnsi="Century Gothic" w:cs="Calibri"/>
                <w:color w:val="000000"/>
                <w:sz w:val="17"/>
                <w:szCs w:val="17"/>
                <w:lang w:eastAsia="es-MX"/>
              </w:rPr>
            </w:pPr>
            <w:r w:rsidRPr="00880BCA">
              <w:rPr>
                <w:rFonts w:ascii="Century Gothic" w:eastAsia="Times New Roman" w:hAnsi="Century Gothic" w:cs="Calibri"/>
                <w:color w:val="000000"/>
                <w:sz w:val="17"/>
                <w:szCs w:val="17"/>
                <w:lang w:eastAsia="es-MX"/>
              </w:rPr>
              <w:t>1</w:t>
            </w:r>
          </w:p>
        </w:tc>
        <w:tc>
          <w:tcPr>
            <w:tcW w:w="223" w:type="pct"/>
            <w:tcBorders>
              <w:top w:val="nil"/>
              <w:left w:val="nil"/>
              <w:bottom w:val="single" w:sz="8" w:space="0" w:color="FFFFFF"/>
              <w:right w:val="single" w:sz="8" w:space="0" w:color="FFFFFF"/>
            </w:tcBorders>
            <w:shd w:val="clear" w:color="000000" w:fill="FFF2CC"/>
            <w:vAlign w:val="center"/>
            <w:hideMark/>
          </w:tcPr>
          <w:p w14:paraId="26D4A256" w14:textId="77777777" w:rsidR="00F560FD" w:rsidRPr="00880BCA" w:rsidRDefault="00F560FD" w:rsidP="006A0658">
            <w:pPr>
              <w:spacing w:before="40" w:after="40" w:line="240" w:lineRule="auto"/>
              <w:jc w:val="center"/>
              <w:rPr>
                <w:rFonts w:ascii="Century Gothic" w:eastAsia="Times New Roman" w:hAnsi="Century Gothic" w:cs="Calibri"/>
                <w:color w:val="000000"/>
                <w:sz w:val="17"/>
                <w:szCs w:val="17"/>
                <w:lang w:eastAsia="es-MX"/>
              </w:rPr>
            </w:pPr>
            <w:r>
              <w:rPr>
                <w:rFonts w:ascii="Century Gothic" w:hAnsi="Century Gothic" w:cs="Calibri"/>
                <w:color w:val="000000"/>
                <w:sz w:val="17"/>
                <w:szCs w:val="17"/>
              </w:rPr>
              <w:t>0</w:t>
            </w:r>
          </w:p>
        </w:tc>
        <w:tc>
          <w:tcPr>
            <w:tcW w:w="444" w:type="pct"/>
            <w:tcBorders>
              <w:top w:val="nil"/>
              <w:left w:val="nil"/>
              <w:bottom w:val="single" w:sz="8" w:space="0" w:color="FFFFFF"/>
              <w:right w:val="single" w:sz="8" w:space="0" w:color="FFFFFF"/>
            </w:tcBorders>
            <w:shd w:val="clear" w:color="000000" w:fill="FFF2CC"/>
            <w:vAlign w:val="center"/>
            <w:hideMark/>
          </w:tcPr>
          <w:p w14:paraId="466474B0" w14:textId="77777777" w:rsidR="00F560FD" w:rsidRPr="00880BCA" w:rsidRDefault="00F560FD" w:rsidP="006A0658">
            <w:pPr>
              <w:spacing w:before="40" w:after="40" w:line="240" w:lineRule="auto"/>
              <w:jc w:val="center"/>
              <w:rPr>
                <w:rFonts w:ascii="Century Gothic" w:eastAsia="Times New Roman" w:hAnsi="Century Gothic" w:cs="Calibri"/>
                <w:color w:val="000000"/>
                <w:sz w:val="17"/>
                <w:szCs w:val="17"/>
                <w:lang w:eastAsia="es-MX"/>
              </w:rPr>
            </w:pPr>
            <w:r>
              <w:rPr>
                <w:rFonts w:ascii="Century Gothic" w:hAnsi="Century Gothic" w:cs="Calibri"/>
                <w:color w:val="000000"/>
                <w:sz w:val="17"/>
                <w:szCs w:val="17"/>
              </w:rPr>
              <w:t>0</w:t>
            </w:r>
          </w:p>
        </w:tc>
        <w:tc>
          <w:tcPr>
            <w:tcW w:w="247" w:type="pct"/>
            <w:tcBorders>
              <w:top w:val="nil"/>
              <w:left w:val="nil"/>
              <w:bottom w:val="single" w:sz="8" w:space="0" w:color="FFFFFF"/>
              <w:right w:val="single" w:sz="8" w:space="0" w:color="FFFFFF"/>
            </w:tcBorders>
            <w:shd w:val="clear" w:color="000000" w:fill="FFF2CC"/>
            <w:vAlign w:val="center"/>
            <w:hideMark/>
          </w:tcPr>
          <w:p w14:paraId="16DD6DAA" w14:textId="77777777" w:rsidR="00F560FD" w:rsidRPr="00880BCA" w:rsidRDefault="00F560FD" w:rsidP="006A0658">
            <w:pPr>
              <w:spacing w:before="40" w:after="40" w:line="240" w:lineRule="auto"/>
              <w:jc w:val="center"/>
              <w:rPr>
                <w:rFonts w:ascii="Century Gothic" w:eastAsia="Times New Roman" w:hAnsi="Century Gothic" w:cs="Calibri"/>
                <w:color w:val="000000"/>
                <w:sz w:val="17"/>
                <w:szCs w:val="17"/>
                <w:lang w:eastAsia="es-MX"/>
              </w:rPr>
            </w:pPr>
            <w:r>
              <w:rPr>
                <w:rFonts w:ascii="Century Gothic" w:hAnsi="Century Gothic" w:cs="Calibri"/>
                <w:color w:val="000000"/>
                <w:sz w:val="17"/>
                <w:szCs w:val="17"/>
              </w:rPr>
              <w:t>0</w:t>
            </w:r>
          </w:p>
        </w:tc>
        <w:tc>
          <w:tcPr>
            <w:tcW w:w="207" w:type="pct"/>
            <w:tcBorders>
              <w:top w:val="nil"/>
              <w:left w:val="nil"/>
              <w:bottom w:val="single" w:sz="8" w:space="0" w:color="FFFFFF"/>
              <w:right w:val="single" w:sz="8" w:space="0" w:color="FFFFFF"/>
            </w:tcBorders>
            <w:shd w:val="clear" w:color="000000" w:fill="FFF2CC"/>
            <w:vAlign w:val="center"/>
            <w:hideMark/>
          </w:tcPr>
          <w:p w14:paraId="47C4D18C" w14:textId="77777777" w:rsidR="00F560FD" w:rsidRPr="00880BCA" w:rsidRDefault="00F560FD" w:rsidP="006A0658">
            <w:pPr>
              <w:spacing w:before="40" w:after="40" w:line="240" w:lineRule="auto"/>
              <w:jc w:val="center"/>
              <w:rPr>
                <w:rFonts w:ascii="Century Gothic" w:eastAsia="Times New Roman" w:hAnsi="Century Gothic" w:cs="Calibri"/>
                <w:color w:val="000000"/>
                <w:sz w:val="17"/>
                <w:szCs w:val="17"/>
                <w:lang w:eastAsia="es-MX"/>
              </w:rPr>
            </w:pPr>
            <w:r>
              <w:rPr>
                <w:rFonts w:ascii="Century Gothic" w:hAnsi="Century Gothic" w:cs="Calibri"/>
                <w:color w:val="000000"/>
                <w:sz w:val="17"/>
                <w:szCs w:val="17"/>
              </w:rPr>
              <w:t>0</w:t>
            </w:r>
          </w:p>
        </w:tc>
        <w:tc>
          <w:tcPr>
            <w:tcW w:w="472" w:type="pct"/>
            <w:tcBorders>
              <w:top w:val="nil"/>
              <w:left w:val="nil"/>
              <w:bottom w:val="single" w:sz="8" w:space="0" w:color="FFFFFF"/>
              <w:right w:val="single" w:sz="8" w:space="0" w:color="FFFFFF"/>
            </w:tcBorders>
            <w:shd w:val="clear" w:color="000000" w:fill="FFF2CC"/>
            <w:vAlign w:val="center"/>
            <w:hideMark/>
          </w:tcPr>
          <w:p w14:paraId="64A7C9F0" w14:textId="77777777" w:rsidR="00F560FD" w:rsidRPr="00880BCA" w:rsidRDefault="00F560FD" w:rsidP="006A0658">
            <w:pPr>
              <w:spacing w:before="40" w:after="40" w:line="240" w:lineRule="auto"/>
              <w:jc w:val="center"/>
              <w:rPr>
                <w:rFonts w:ascii="Century Gothic" w:eastAsia="Times New Roman" w:hAnsi="Century Gothic" w:cs="Calibri"/>
                <w:color w:val="000000"/>
                <w:sz w:val="17"/>
                <w:szCs w:val="17"/>
                <w:lang w:eastAsia="es-MX"/>
              </w:rPr>
            </w:pPr>
            <w:r>
              <w:rPr>
                <w:rFonts w:ascii="Century Gothic" w:hAnsi="Century Gothic" w:cs="Calibri"/>
                <w:color w:val="000000"/>
                <w:sz w:val="17"/>
                <w:szCs w:val="17"/>
              </w:rPr>
              <w:t>0</w:t>
            </w:r>
          </w:p>
        </w:tc>
        <w:tc>
          <w:tcPr>
            <w:tcW w:w="233" w:type="pct"/>
            <w:tcBorders>
              <w:top w:val="nil"/>
              <w:left w:val="nil"/>
              <w:bottom w:val="single" w:sz="8" w:space="0" w:color="FFFFFF"/>
              <w:right w:val="single" w:sz="8" w:space="0" w:color="FFFFFF"/>
            </w:tcBorders>
            <w:shd w:val="clear" w:color="000000" w:fill="FFF2CC"/>
            <w:vAlign w:val="center"/>
            <w:hideMark/>
          </w:tcPr>
          <w:p w14:paraId="13FAF37A" w14:textId="77777777" w:rsidR="00F560FD" w:rsidRPr="00880BCA" w:rsidRDefault="00F560FD" w:rsidP="006A0658">
            <w:pPr>
              <w:spacing w:before="40" w:after="40" w:line="240" w:lineRule="auto"/>
              <w:jc w:val="center"/>
              <w:rPr>
                <w:rFonts w:ascii="Century Gothic" w:eastAsia="Times New Roman" w:hAnsi="Century Gothic" w:cs="Calibri"/>
                <w:color w:val="000000"/>
                <w:sz w:val="17"/>
                <w:szCs w:val="17"/>
                <w:lang w:eastAsia="es-MX"/>
              </w:rPr>
            </w:pPr>
            <w:r>
              <w:rPr>
                <w:rFonts w:ascii="Century Gothic" w:hAnsi="Century Gothic" w:cs="Calibri"/>
                <w:color w:val="000000"/>
                <w:sz w:val="17"/>
                <w:szCs w:val="17"/>
              </w:rPr>
              <w:t>0</w:t>
            </w:r>
          </w:p>
        </w:tc>
      </w:tr>
      <w:tr w:rsidR="00F560FD" w:rsidRPr="00880BCA" w14:paraId="0A4A6466" w14:textId="77777777" w:rsidTr="006A0658">
        <w:trPr>
          <w:trHeight w:val="77"/>
          <w:jc w:val="center"/>
        </w:trPr>
        <w:tc>
          <w:tcPr>
            <w:tcW w:w="2067" w:type="pct"/>
            <w:tcBorders>
              <w:top w:val="nil"/>
              <w:left w:val="nil"/>
              <w:bottom w:val="single" w:sz="8" w:space="0" w:color="FFFFFF"/>
              <w:right w:val="single" w:sz="8" w:space="0" w:color="FFFFFF"/>
            </w:tcBorders>
            <w:shd w:val="clear" w:color="000000" w:fill="F2F2F2"/>
            <w:vAlign w:val="center"/>
            <w:hideMark/>
          </w:tcPr>
          <w:p w14:paraId="521B5266" w14:textId="77777777" w:rsidR="00F560FD" w:rsidRPr="00880BCA" w:rsidRDefault="00F560FD" w:rsidP="006A0658">
            <w:pPr>
              <w:spacing w:before="40" w:after="40" w:line="240" w:lineRule="auto"/>
              <w:rPr>
                <w:rFonts w:ascii="Century Gothic" w:eastAsia="Times New Roman" w:hAnsi="Century Gothic" w:cs="Calibri"/>
                <w:color w:val="000000"/>
                <w:sz w:val="17"/>
                <w:szCs w:val="17"/>
                <w:lang w:eastAsia="es-MX"/>
              </w:rPr>
            </w:pPr>
            <w:r w:rsidRPr="00880BCA">
              <w:rPr>
                <w:rFonts w:ascii="Century Gothic" w:eastAsia="Times New Roman" w:hAnsi="Century Gothic" w:cs="Calibri"/>
                <w:color w:val="000000"/>
                <w:sz w:val="17"/>
                <w:szCs w:val="17"/>
                <w:lang w:eastAsia="es-MX"/>
              </w:rPr>
              <w:t>Accidentes de Tránsito Terrestre</w:t>
            </w:r>
          </w:p>
        </w:tc>
        <w:tc>
          <w:tcPr>
            <w:tcW w:w="345" w:type="pct"/>
            <w:tcBorders>
              <w:top w:val="nil"/>
              <w:left w:val="nil"/>
              <w:bottom w:val="single" w:sz="8" w:space="0" w:color="FFFFFF"/>
              <w:right w:val="single" w:sz="8" w:space="0" w:color="FFFFFF"/>
            </w:tcBorders>
            <w:shd w:val="clear" w:color="000000" w:fill="F2F2F2"/>
            <w:vAlign w:val="center"/>
            <w:hideMark/>
          </w:tcPr>
          <w:p w14:paraId="7D35016C" w14:textId="77777777" w:rsidR="00F560FD" w:rsidRPr="00880BCA" w:rsidRDefault="00F560FD" w:rsidP="006A0658">
            <w:pPr>
              <w:spacing w:before="40" w:after="40" w:line="240" w:lineRule="auto"/>
              <w:rPr>
                <w:rFonts w:ascii="Century Gothic" w:eastAsia="Times New Roman" w:hAnsi="Century Gothic" w:cs="Calibri"/>
                <w:color w:val="000000"/>
                <w:sz w:val="17"/>
                <w:szCs w:val="17"/>
                <w:lang w:eastAsia="es-MX"/>
              </w:rPr>
            </w:pPr>
            <w:r w:rsidRPr="00880BCA">
              <w:rPr>
                <w:rFonts w:ascii="Century Gothic" w:eastAsia="Times New Roman" w:hAnsi="Century Gothic" w:cs="Calibri"/>
                <w:color w:val="000000"/>
                <w:sz w:val="17"/>
                <w:szCs w:val="17"/>
                <w:lang w:eastAsia="es-MX"/>
              </w:rPr>
              <w:t>ATUS</w:t>
            </w:r>
          </w:p>
        </w:tc>
        <w:tc>
          <w:tcPr>
            <w:tcW w:w="247" w:type="pct"/>
            <w:tcBorders>
              <w:top w:val="nil"/>
              <w:left w:val="nil"/>
              <w:bottom w:val="single" w:sz="8" w:space="0" w:color="FFFFFF"/>
              <w:right w:val="single" w:sz="8" w:space="0" w:color="FFFFFF"/>
            </w:tcBorders>
            <w:shd w:val="clear" w:color="000000" w:fill="F2F2F2"/>
            <w:vAlign w:val="center"/>
            <w:hideMark/>
          </w:tcPr>
          <w:p w14:paraId="75847B6D" w14:textId="77777777" w:rsidR="00F560FD" w:rsidRPr="00880BCA" w:rsidRDefault="00F560FD" w:rsidP="006A0658">
            <w:pPr>
              <w:spacing w:before="40" w:after="40" w:line="240" w:lineRule="auto"/>
              <w:jc w:val="center"/>
              <w:rPr>
                <w:rFonts w:ascii="Century Gothic" w:eastAsia="Times New Roman" w:hAnsi="Century Gothic" w:cs="Calibri"/>
                <w:color w:val="000000"/>
                <w:sz w:val="17"/>
                <w:szCs w:val="17"/>
                <w:lang w:eastAsia="es-MX"/>
              </w:rPr>
            </w:pPr>
            <w:r w:rsidRPr="00880BCA">
              <w:rPr>
                <w:rFonts w:ascii="Century Gothic" w:eastAsia="Times New Roman" w:hAnsi="Century Gothic" w:cs="Calibri"/>
                <w:color w:val="000000"/>
                <w:sz w:val="17"/>
                <w:szCs w:val="17"/>
                <w:lang w:eastAsia="es-MX"/>
              </w:rPr>
              <w:t>1</w:t>
            </w:r>
          </w:p>
        </w:tc>
        <w:tc>
          <w:tcPr>
            <w:tcW w:w="207" w:type="pct"/>
            <w:tcBorders>
              <w:top w:val="nil"/>
              <w:left w:val="nil"/>
              <w:bottom w:val="single" w:sz="8" w:space="0" w:color="FFFFFF"/>
              <w:right w:val="single" w:sz="8" w:space="0" w:color="FFFFFF"/>
            </w:tcBorders>
            <w:shd w:val="clear" w:color="000000" w:fill="F2F2F2"/>
            <w:vAlign w:val="center"/>
            <w:hideMark/>
          </w:tcPr>
          <w:p w14:paraId="767FF3B7" w14:textId="77777777" w:rsidR="00F560FD" w:rsidRPr="00880BCA" w:rsidRDefault="00F560FD" w:rsidP="006A0658">
            <w:pPr>
              <w:spacing w:before="40" w:after="40" w:line="240" w:lineRule="auto"/>
              <w:jc w:val="center"/>
              <w:rPr>
                <w:rFonts w:ascii="Century Gothic" w:eastAsia="Times New Roman" w:hAnsi="Century Gothic" w:cs="Calibri"/>
                <w:color w:val="000000"/>
                <w:sz w:val="17"/>
                <w:szCs w:val="17"/>
                <w:lang w:eastAsia="es-MX"/>
              </w:rPr>
            </w:pPr>
            <w:r w:rsidRPr="00880BCA">
              <w:rPr>
                <w:rFonts w:ascii="Century Gothic" w:eastAsia="Times New Roman" w:hAnsi="Century Gothic" w:cs="Calibri"/>
                <w:color w:val="000000"/>
                <w:sz w:val="17"/>
                <w:szCs w:val="17"/>
                <w:lang w:eastAsia="es-MX"/>
              </w:rPr>
              <w:t>1</w:t>
            </w:r>
          </w:p>
        </w:tc>
        <w:tc>
          <w:tcPr>
            <w:tcW w:w="309" w:type="pct"/>
            <w:tcBorders>
              <w:top w:val="nil"/>
              <w:left w:val="nil"/>
              <w:bottom w:val="single" w:sz="8" w:space="0" w:color="FFFFFF"/>
              <w:right w:val="single" w:sz="8" w:space="0" w:color="FFFFFF"/>
            </w:tcBorders>
            <w:shd w:val="clear" w:color="000000" w:fill="F2F2F2"/>
            <w:vAlign w:val="center"/>
            <w:hideMark/>
          </w:tcPr>
          <w:p w14:paraId="25B59BB5" w14:textId="77777777" w:rsidR="00F560FD" w:rsidRPr="00880BCA" w:rsidRDefault="00F560FD" w:rsidP="006A0658">
            <w:pPr>
              <w:spacing w:before="40" w:after="40" w:line="240" w:lineRule="auto"/>
              <w:jc w:val="center"/>
              <w:rPr>
                <w:rFonts w:ascii="Century Gothic" w:eastAsia="Times New Roman" w:hAnsi="Century Gothic" w:cs="Calibri"/>
                <w:color w:val="000000"/>
                <w:sz w:val="17"/>
                <w:szCs w:val="17"/>
                <w:lang w:eastAsia="es-MX"/>
              </w:rPr>
            </w:pPr>
            <w:r w:rsidRPr="00880BCA">
              <w:rPr>
                <w:rFonts w:ascii="Century Gothic" w:eastAsia="Times New Roman" w:hAnsi="Century Gothic" w:cs="Calibri"/>
                <w:color w:val="000000"/>
                <w:sz w:val="17"/>
                <w:szCs w:val="17"/>
                <w:lang w:eastAsia="es-MX"/>
              </w:rPr>
              <w:t>1</w:t>
            </w:r>
          </w:p>
        </w:tc>
        <w:tc>
          <w:tcPr>
            <w:tcW w:w="223" w:type="pct"/>
            <w:tcBorders>
              <w:top w:val="nil"/>
              <w:left w:val="nil"/>
              <w:bottom w:val="single" w:sz="8" w:space="0" w:color="FFFFFF"/>
              <w:right w:val="single" w:sz="8" w:space="0" w:color="FFFFFF"/>
            </w:tcBorders>
            <w:shd w:val="clear" w:color="000000" w:fill="FFF2CC"/>
            <w:vAlign w:val="center"/>
            <w:hideMark/>
          </w:tcPr>
          <w:p w14:paraId="43233BB5" w14:textId="77777777" w:rsidR="00F560FD" w:rsidRPr="00880BCA" w:rsidRDefault="00F560FD" w:rsidP="006A0658">
            <w:pPr>
              <w:spacing w:before="40" w:after="40" w:line="240" w:lineRule="auto"/>
              <w:jc w:val="center"/>
              <w:rPr>
                <w:rFonts w:ascii="Century Gothic" w:eastAsia="Times New Roman" w:hAnsi="Century Gothic" w:cs="Calibri"/>
                <w:color w:val="000000"/>
                <w:sz w:val="17"/>
                <w:szCs w:val="17"/>
                <w:lang w:eastAsia="es-MX"/>
              </w:rPr>
            </w:pPr>
            <w:r>
              <w:rPr>
                <w:rFonts w:ascii="Century Gothic" w:hAnsi="Century Gothic" w:cs="Calibri"/>
                <w:color w:val="000000"/>
                <w:sz w:val="17"/>
                <w:szCs w:val="17"/>
              </w:rPr>
              <w:t>0</w:t>
            </w:r>
          </w:p>
        </w:tc>
        <w:tc>
          <w:tcPr>
            <w:tcW w:w="444" w:type="pct"/>
            <w:tcBorders>
              <w:top w:val="nil"/>
              <w:left w:val="nil"/>
              <w:bottom w:val="single" w:sz="8" w:space="0" w:color="FFFFFF"/>
              <w:right w:val="single" w:sz="8" w:space="0" w:color="FFFFFF"/>
            </w:tcBorders>
            <w:shd w:val="clear" w:color="000000" w:fill="FFF2CC"/>
            <w:vAlign w:val="center"/>
            <w:hideMark/>
          </w:tcPr>
          <w:p w14:paraId="39B65723" w14:textId="77777777" w:rsidR="00F560FD" w:rsidRPr="00880BCA" w:rsidRDefault="00F560FD" w:rsidP="006A0658">
            <w:pPr>
              <w:spacing w:before="40" w:after="40" w:line="240" w:lineRule="auto"/>
              <w:jc w:val="center"/>
              <w:rPr>
                <w:rFonts w:ascii="Century Gothic" w:eastAsia="Times New Roman" w:hAnsi="Century Gothic" w:cs="Calibri"/>
                <w:color w:val="000000"/>
                <w:sz w:val="17"/>
                <w:szCs w:val="17"/>
                <w:lang w:eastAsia="es-MX"/>
              </w:rPr>
            </w:pPr>
            <w:r>
              <w:rPr>
                <w:rFonts w:ascii="Century Gothic" w:hAnsi="Century Gothic" w:cs="Calibri"/>
                <w:color w:val="000000"/>
                <w:sz w:val="17"/>
                <w:szCs w:val="17"/>
              </w:rPr>
              <w:t>1</w:t>
            </w:r>
          </w:p>
        </w:tc>
        <w:tc>
          <w:tcPr>
            <w:tcW w:w="247" w:type="pct"/>
            <w:tcBorders>
              <w:top w:val="nil"/>
              <w:left w:val="nil"/>
              <w:bottom w:val="single" w:sz="8" w:space="0" w:color="FFFFFF"/>
              <w:right w:val="single" w:sz="8" w:space="0" w:color="FFFFFF"/>
            </w:tcBorders>
            <w:shd w:val="clear" w:color="000000" w:fill="FFF2CC"/>
            <w:vAlign w:val="center"/>
            <w:hideMark/>
          </w:tcPr>
          <w:p w14:paraId="23399F07" w14:textId="77777777" w:rsidR="00F560FD" w:rsidRPr="00880BCA" w:rsidRDefault="00F560FD" w:rsidP="006A0658">
            <w:pPr>
              <w:spacing w:before="40" w:after="40" w:line="240" w:lineRule="auto"/>
              <w:jc w:val="center"/>
              <w:rPr>
                <w:rFonts w:ascii="Century Gothic" w:eastAsia="Times New Roman" w:hAnsi="Century Gothic" w:cs="Calibri"/>
                <w:b/>
                <w:bCs/>
                <w:color w:val="548235"/>
                <w:sz w:val="17"/>
                <w:szCs w:val="17"/>
                <w:lang w:eastAsia="es-MX"/>
              </w:rPr>
            </w:pPr>
            <w:r>
              <w:rPr>
                <w:rFonts w:ascii="Century Gothic" w:hAnsi="Century Gothic" w:cs="Calibri"/>
                <w:color w:val="000000"/>
                <w:sz w:val="17"/>
                <w:szCs w:val="17"/>
              </w:rPr>
              <w:t>1</w:t>
            </w:r>
          </w:p>
        </w:tc>
        <w:tc>
          <w:tcPr>
            <w:tcW w:w="207" w:type="pct"/>
            <w:tcBorders>
              <w:top w:val="nil"/>
              <w:left w:val="nil"/>
              <w:bottom w:val="single" w:sz="8" w:space="0" w:color="FFFFFF"/>
              <w:right w:val="single" w:sz="8" w:space="0" w:color="FFFFFF"/>
            </w:tcBorders>
            <w:shd w:val="clear" w:color="000000" w:fill="FFF2CC"/>
            <w:vAlign w:val="center"/>
            <w:hideMark/>
          </w:tcPr>
          <w:p w14:paraId="749683B1" w14:textId="77777777" w:rsidR="00F560FD" w:rsidRPr="00880BCA" w:rsidRDefault="00F560FD" w:rsidP="006A0658">
            <w:pPr>
              <w:spacing w:before="40" w:after="40" w:line="240" w:lineRule="auto"/>
              <w:jc w:val="center"/>
              <w:rPr>
                <w:rFonts w:ascii="Century Gothic" w:eastAsia="Times New Roman" w:hAnsi="Century Gothic" w:cs="Calibri"/>
                <w:color w:val="000000"/>
                <w:sz w:val="17"/>
                <w:szCs w:val="17"/>
                <w:lang w:eastAsia="es-MX"/>
              </w:rPr>
            </w:pPr>
            <w:r>
              <w:rPr>
                <w:rFonts w:ascii="Century Gothic" w:hAnsi="Century Gothic" w:cs="Calibri"/>
                <w:color w:val="000000"/>
                <w:sz w:val="17"/>
                <w:szCs w:val="17"/>
              </w:rPr>
              <w:t>0</w:t>
            </w:r>
          </w:p>
        </w:tc>
        <w:tc>
          <w:tcPr>
            <w:tcW w:w="472" w:type="pct"/>
            <w:tcBorders>
              <w:top w:val="nil"/>
              <w:left w:val="nil"/>
              <w:bottom w:val="single" w:sz="8" w:space="0" w:color="FFFFFF"/>
              <w:right w:val="single" w:sz="8" w:space="0" w:color="FFFFFF"/>
            </w:tcBorders>
            <w:shd w:val="clear" w:color="000000" w:fill="FFF2CC"/>
            <w:vAlign w:val="center"/>
            <w:hideMark/>
          </w:tcPr>
          <w:p w14:paraId="4D470753" w14:textId="77777777" w:rsidR="00F560FD" w:rsidRPr="00880BCA" w:rsidRDefault="00F560FD" w:rsidP="006A0658">
            <w:pPr>
              <w:spacing w:before="40" w:after="40" w:line="240" w:lineRule="auto"/>
              <w:jc w:val="center"/>
              <w:rPr>
                <w:rFonts w:ascii="Century Gothic" w:eastAsia="Times New Roman" w:hAnsi="Century Gothic" w:cs="Calibri"/>
                <w:color w:val="000000"/>
                <w:sz w:val="17"/>
                <w:szCs w:val="17"/>
                <w:lang w:eastAsia="es-MX"/>
              </w:rPr>
            </w:pPr>
            <w:r>
              <w:rPr>
                <w:rFonts w:ascii="Century Gothic" w:hAnsi="Century Gothic" w:cs="Calibri"/>
                <w:color w:val="000000"/>
                <w:sz w:val="17"/>
                <w:szCs w:val="17"/>
              </w:rPr>
              <w:t>1</w:t>
            </w:r>
          </w:p>
        </w:tc>
        <w:tc>
          <w:tcPr>
            <w:tcW w:w="233" w:type="pct"/>
            <w:tcBorders>
              <w:top w:val="nil"/>
              <w:left w:val="nil"/>
              <w:bottom w:val="single" w:sz="8" w:space="0" w:color="FFFFFF"/>
              <w:right w:val="single" w:sz="8" w:space="0" w:color="FFFFFF"/>
            </w:tcBorders>
            <w:shd w:val="clear" w:color="000000" w:fill="FFF2CC"/>
            <w:vAlign w:val="center"/>
            <w:hideMark/>
          </w:tcPr>
          <w:p w14:paraId="38F0D5E4" w14:textId="77777777" w:rsidR="00F560FD" w:rsidRPr="00880BCA" w:rsidRDefault="00F560FD" w:rsidP="006A0658">
            <w:pPr>
              <w:spacing w:before="40" w:after="40" w:line="240" w:lineRule="auto"/>
              <w:jc w:val="center"/>
              <w:rPr>
                <w:rFonts w:ascii="Century Gothic" w:eastAsia="Times New Roman" w:hAnsi="Century Gothic" w:cs="Calibri"/>
                <w:color w:val="000000"/>
                <w:sz w:val="17"/>
                <w:szCs w:val="17"/>
                <w:lang w:eastAsia="es-MX"/>
              </w:rPr>
            </w:pPr>
            <w:r>
              <w:rPr>
                <w:rFonts w:ascii="Century Gothic" w:hAnsi="Century Gothic" w:cs="Calibri"/>
                <w:color w:val="000000"/>
                <w:sz w:val="17"/>
                <w:szCs w:val="17"/>
              </w:rPr>
              <w:t>1</w:t>
            </w:r>
          </w:p>
        </w:tc>
      </w:tr>
      <w:tr w:rsidR="00F560FD" w:rsidRPr="00880BCA" w14:paraId="0DE0A427" w14:textId="77777777" w:rsidTr="006A0658">
        <w:trPr>
          <w:trHeight w:val="52"/>
          <w:jc w:val="center"/>
        </w:trPr>
        <w:tc>
          <w:tcPr>
            <w:tcW w:w="2067" w:type="pct"/>
            <w:tcBorders>
              <w:top w:val="nil"/>
              <w:left w:val="nil"/>
              <w:bottom w:val="single" w:sz="8" w:space="0" w:color="FFFFFF"/>
              <w:right w:val="single" w:sz="8" w:space="0" w:color="FFFFFF"/>
            </w:tcBorders>
            <w:shd w:val="clear" w:color="000000" w:fill="F2F2F2"/>
            <w:vAlign w:val="center"/>
            <w:hideMark/>
          </w:tcPr>
          <w:p w14:paraId="62FA44FD" w14:textId="77777777" w:rsidR="00F560FD" w:rsidRPr="00880BCA" w:rsidRDefault="00F560FD" w:rsidP="006A0658">
            <w:pPr>
              <w:spacing w:before="40" w:after="40" w:line="240" w:lineRule="auto"/>
              <w:rPr>
                <w:rFonts w:ascii="Century Gothic" w:eastAsia="Times New Roman" w:hAnsi="Century Gothic" w:cs="Calibri"/>
                <w:color w:val="000000"/>
                <w:sz w:val="17"/>
                <w:szCs w:val="17"/>
                <w:lang w:eastAsia="es-MX"/>
              </w:rPr>
            </w:pPr>
            <w:r w:rsidRPr="00880BCA">
              <w:rPr>
                <w:rFonts w:ascii="Century Gothic" w:eastAsia="Times New Roman" w:hAnsi="Century Gothic" w:cs="Calibri"/>
                <w:color w:val="000000"/>
                <w:sz w:val="17"/>
                <w:szCs w:val="17"/>
                <w:lang w:eastAsia="es-MX"/>
              </w:rPr>
              <w:t>Transporte Urbano de Pasajeros</w:t>
            </w:r>
          </w:p>
        </w:tc>
        <w:tc>
          <w:tcPr>
            <w:tcW w:w="345" w:type="pct"/>
            <w:tcBorders>
              <w:top w:val="nil"/>
              <w:left w:val="nil"/>
              <w:bottom w:val="single" w:sz="8" w:space="0" w:color="FFFFFF"/>
              <w:right w:val="single" w:sz="8" w:space="0" w:color="FFFFFF"/>
            </w:tcBorders>
            <w:shd w:val="clear" w:color="000000" w:fill="F2F2F2"/>
            <w:vAlign w:val="center"/>
            <w:hideMark/>
          </w:tcPr>
          <w:p w14:paraId="363596FF" w14:textId="77777777" w:rsidR="00F560FD" w:rsidRPr="00880BCA" w:rsidRDefault="00F560FD" w:rsidP="006A0658">
            <w:pPr>
              <w:spacing w:before="40" w:after="40" w:line="240" w:lineRule="auto"/>
              <w:rPr>
                <w:rFonts w:ascii="Century Gothic" w:eastAsia="Times New Roman" w:hAnsi="Century Gothic" w:cs="Calibri"/>
                <w:color w:val="000000"/>
                <w:sz w:val="17"/>
                <w:szCs w:val="17"/>
                <w:lang w:eastAsia="es-MX"/>
              </w:rPr>
            </w:pPr>
            <w:r w:rsidRPr="00880BCA">
              <w:rPr>
                <w:rFonts w:ascii="Century Gothic" w:eastAsia="Times New Roman" w:hAnsi="Century Gothic" w:cs="Calibri"/>
                <w:color w:val="000000"/>
                <w:sz w:val="17"/>
                <w:szCs w:val="17"/>
                <w:lang w:eastAsia="es-MX"/>
              </w:rPr>
              <w:t>ETUP</w:t>
            </w:r>
          </w:p>
        </w:tc>
        <w:tc>
          <w:tcPr>
            <w:tcW w:w="247" w:type="pct"/>
            <w:tcBorders>
              <w:top w:val="nil"/>
              <w:left w:val="nil"/>
              <w:bottom w:val="single" w:sz="8" w:space="0" w:color="FFFFFF"/>
              <w:right w:val="single" w:sz="8" w:space="0" w:color="FFFFFF"/>
            </w:tcBorders>
            <w:shd w:val="clear" w:color="000000" w:fill="F2F2F2"/>
            <w:vAlign w:val="center"/>
            <w:hideMark/>
          </w:tcPr>
          <w:p w14:paraId="40EE7C7E" w14:textId="77777777" w:rsidR="00F560FD" w:rsidRPr="00880BCA" w:rsidRDefault="00F560FD" w:rsidP="006A0658">
            <w:pPr>
              <w:spacing w:before="40" w:after="40" w:line="240" w:lineRule="auto"/>
              <w:jc w:val="center"/>
              <w:rPr>
                <w:rFonts w:ascii="Century Gothic" w:eastAsia="Times New Roman" w:hAnsi="Century Gothic" w:cs="Calibri"/>
                <w:color w:val="000000"/>
                <w:sz w:val="17"/>
                <w:szCs w:val="17"/>
                <w:lang w:eastAsia="es-MX"/>
              </w:rPr>
            </w:pPr>
            <w:r w:rsidRPr="00880BCA">
              <w:rPr>
                <w:rFonts w:ascii="Century Gothic" w:eastAsia="Times New Roman" w:hAnsi="Century Gothic" w:cs="Calibri"/>
                <w:color w:val="000000"/>
                <w:sz w:val="17"/>
                <w:szCs w:val="17"/>
                <w:lang w:eastAsia="es-MX"/>
              </w:rPr>
              <w:t>1</w:t>
            </w:r>
          </w:p>
        </w:tc>
        <w:tc>
          <w:tcPr>
            <w:tcW w:w="207" w:type="pct"/>
            <w:tcBorders>
              <w:top w:val="nil"/>
              <w:left w:val="nil"/>
              <w:bottom w:val="single" w:sz="8" w:space="0" w:color="FFFFFF"/>
              <w:right w:val="single" w:sz="8" w:space="0" w:color="FFFFFF"/>
            </w:tcBorders>
            <w:shd w:val="clear" w:color="000000" w:fill="F2F2F2"/>
            <w:vAlign w:val="center"/>
            <w:hideMark/>
          </w:tcPr>
          <w:p w14:paraId="182ACF08" w14:textId="77777777" w:rsidR="00F560FD" w:rsidRPr="00880BCA" w:rsidRDefault="00F560FD" w:rsidP="006A0658">
            <w:pPr>
              <w:spacing w:before="40" w:after="40" w:line="240" w:lineRule="auto"/>
              <w:jc w:val="center"/>
              <w:rPr>
                <w:rFonts w:ascii="Century Gothic" w:eastAsia="Times New Roman" w:hAnsi="Century Gothic" w:cs="Calibri"/>
                <w:color w:val="000000"/>
                <w:sz w:val="17"/>
                <w:szCs w:val="17"/>
                <w:lang w:eastAsia="es-MX"/>
              </w:rPr>
            </w:pPr>
            <w:r w:rsidRPr="00880BCA">
              <w:rPr>
                <w:rFonts w:ascii="Century Gothic" w:eastAsia="Times New Roman" w:hAnsi="Century Gothic" w:cs="Calibri"/>
                <w:color w:val="000000"/>
                <w:sz w:val="17"/>
                <w:szCs w:val="17"/>
                <w:lang w:eastAsia="es-MX"/>
              </w:rPr>
              <w:t>1</w:t>
            </w:r>
          </w:p>
        </w:tc>
        <w:tc>
          <w:tcPr>
            <w:tcW w:w="309" w:type="pct"/>
            <w:tcBorders>
              <w:top w:val="nil"/>
              <w:left w:val="nil"/>
              <w:bottom w:val="single" w:sz="8" w:space="0" w:color="FFFFFF"/>
              <w:right w:val="single" w:sz="8" w:space="0" w:color="FFFFFF"/>
            </w:tcBorders>
            <w:shd w:val="clear" w:color="000000" w:fill="F2F2F2"/>
            <w:vAlign w:val="center"/>
            <w:hideMark/>
          </w:tcPr>
          <w:p w14:paraId="3D5536E7" w14:textId="77777777" w:rsidR="00F560FD" w:rsidRPr="00880BCA" w:rsidRDefault="00F560FD" w:rsidP="006A0658">
            <w:pPr>
              <w:spacing w:before="40" w:after="40" w:line="240" w:lineRule="auto"/>
              <w:jc w:val="center"/>
              <w:rPr>
                <w:rFonts w:ascii="Century Gothic" w:eastAsia="Times New Roman" w:hAnsi="Century Gothic" w:cs="Calibri"/>
                <w:color w:val="000000"/>
                <w:sz w:val="17"/>
                <w:szCs w:val="17"/>
                <w:lang w:eastAsia="es-MX"/>
              </w:rPr>
            </w:pPr>
            <w:r w:rsidRPr="00880BCA">
              <w:rPr>
                <w:rFonts w:ascii="Century Gothic" w:eastAsia="Times New Roman" w:hAnsi="Century Gothic" w:cs="Calibri"/>
                <w:color w:val="000000"/>
                <w:sz w:val="17"/>
                <w:szCs w:val="17"/>
                <w:lang w:eastAsia="es-MX"/>
              </w:rPr>
              <w:t>1</w:t>
            </w:r>
          </w:p>
        </w:tc>
        <w:tc>
          <w:tcPr>
            <w:tcW w:w="223" w:type="pct"/>
            <w:tcBorders>
              <w:top w:val="nil"/>
              <w:left w:val="nil"/>
              <w:bottom w:val="single" w:sz="8" w:space="0" w:color="FFFFFF"/>
              <w:right w:val="single" w:sz="8" w:space="0" w:color="FFFFFF"/>
            </w:tcBorders>
            <w:shd w:val="clear" w:color="000000" w:fill="FFF2CC"/>
            <w:vAlign w:val="center"/>
            <w:hideMark/>
          </w:tcPr>
          <w:p w14:paraId="09282353" w14:textId="77777777" w:rsidR="00F560FD" w:rsidRPr="00880BCA" w:rsidRDefault="00F560FD" w:rsidP="006A0658">
            <w:pPr>
              <w:spacing w:before="40" w:after="40" w:line="240" w:lineRule="auto"/>
              <w:jc w:val="center"/>
              <w:rPr>
                <w:rFonts w:ascii="Century Gothic" w:eastAsia="Times New Roman" w:hAnsi="Century Gothic" w:cs="Calibri"/>
                <w:color w:val="000000"/>
                <w:sz w:val="17"/>
                <w:szCs w:val="17"/>
                <w:lang w:eastAsia="es-MX"/>
              </w:rPr>
            </w:pPr>
            <w:r>
              <w:rPr>
                <w:rFonts w:ascii="Century Gothic" w:hAnsi="Century Gothic" w:cs="Calibri"/>
                <w:color w:val="000000"/>
                <w:sz w:val="17"/>
                <w:szCs w:val="17"/>
              </w:rPr>
              <w:t>0</w:t>
            </w:r>
          </w:p>
        </w:tc>
        <w:tc>
          <w:tcPr>
            <w:tcW w:w="444" w:type="pct"/>
            <w:tcBorders>
              <w:top w:val="nil"/>
              <w:left w:val="nil"/>
              <w:bottom w:val="single" w:sz="8" w:space="0" w:color="FFFFFF"/>
              <w:right w:val="single" w:sz="8" w:space="0" w:color="FFFFFF"/>
            </w:tcBorders>
            <w:shd w:val="clear" w:color="000000" w:fill="FFF2CC"/>
            <w:vAlign w:val="center"/>
            <w:hideMark/>
          </w:tcPr>
          <w:p w14:paraId="63DFCDBD" w14:textId="77777777" w:rsidR="00F560FD" w:rsidRPr="00880BCA" w:rsidRDefault="00F560FD" w:rsidP="006A0658">
            <w:pPr>
              <w:spacing w:before="40" w:after="40" w:line="240" w:lineRule="auto"/>
              <w:jc w:val="center"/>
              <w:rPr>
                <w:rFonts w:ascii="Century Gothic" w:eastAsia="Times New Roman" w:hAnsi="Century Gothic" w:cs="Calibri"/>
                <w:color w:val="000000"/>
                <w:sz w:val="17"/>
                <w:szCs w:val="17"/>
                <w:lang w:eastAsia="es-MX"/>
              </w:rPr>
            </w:pPr>
            <w:r>
              <w:rPr>
                <w:rFonts w:ascii="Century Gothic" w:hAnsi="Century Gothic" w:cs="Calibri"/>
                <w:color w:val="000000"/>
                <w:sz w:val="17"/>
                <w:szCs w:val="17"/>
              </w:rPr>
              <w:t>0</w:t>
            </w:r>
          </w:p>
        </w:tc>
        <w:tc>
          <w:tcPr>
            <w:tcW w:w="247" w:type="pct"/>
            <w:tcBorders>
              <w:top w:val="nil"/>
              <w:left w:val="nil"/>
              <w:bottom w:val="single" w:sz="8" w:space="0" w:color="FFFFFF"/>
              <w:right w:val="single" w:sz="8" w:space="0" w:color="FFFFFF"/>
            </w:tcBorders>
            <w:shd w:val="clear" w:color="000000" w:fill="FFF2CC"/>
            <w:vAlign w:val="center"/>
            <w:hideMark/>
          </w:tcPr>
          <w:p w14:paraId="1BE4BA68" w14:textId="77777777" w:rsidR="00F560FD" w:rsidRPr="00880BCA" w:rsidRDefault="00F560FD" w:rsidP="006A0658">
            <w:pPr>
              <w:spacing w:before="40" w:after="40" w:line="240" w:lineRule="auto"/>
              <w:jc w:val="center"/>
              <w:rPr>
                <w:rFonts w:ascii="Century Gothic" w:eastAsia="Times New Roman" w:hAnsi="Century Gothic" w:cs="Calibri"/>
                <w:b/>
                <w:bCs/>
                <w:color w:val="548235"/>
                <w:sz w:val="17"/>
                <w:szCs w:val="17"/>
                <w:lang w:eastAsia="es-MX"/>
              </w:rPr>
            </w:pPr>
            <w:r>
              <w:rPr>
                <w:rFonts w:ascii="Century Gothic" w:hAnsi="Century Gothic" w:cs="Calibri"/>
                <w:color w:val="000000"/>
                <w:sz w:val="17"/>
                <w:szCs w:val="17"/>
              </w:rPr>
              <w:t>0</w:t>
            </w:r>
          </w:p>
        </w:tc>
        <w:tc>
          <w:tcPr>
            <w:tcW w:w="207" w:type="pct"/>
            <w:tcBorders>
              <w:top w:val="nil"/>
              <w:left w:val="nil"/>
              <w:bottom w:val="single" w:sz="8" w:space="0" w:color="FFFFFF"/>
              <w:right w:val="single" w:sz="8" w:space="0" w:color="FFFFFF"/>
            </w:tcBorders>
            <w:shd w:val="clear" w:color="000000" w:fill="FFF2CC"/>
            <w:vAlign w:val="center"/>
            <w:hideMark/>
          </w:tcPr>
          <w:p w14:paraId="30CFED17" w14:textId="77777777" w:rsidR="00F560FD" w:rsidRPr="00880BCA" w:rsidRDefault="00F560FD" w:rsidP="006A0658">
            <w:pPr>
              <w:spacing w:before="40" w:after="40" w:line="240" w:lineRule="auto"/>
              <w:jc w:val="center"/>
              <w:rPr>
                <w:rFonts w:ascii="Century Gothic" w:eastAsia="Times New Roman" w:hAnsi="Century Gothic" w:cs="Calibri"/>
                <w:color w:val="000000"/>
                <w:sz w:val="17"/>
                <w:szCs w:val="17"/>
                <w:lang w:eastAsia="es-MX"/>
              </w:rPr>
            </w:pPr>
            <w:r>
              <w:rPr>
                <w:rFonts w:ascii="Century Gothic" w:hAnsi="Century Gothic" w:cs="Calibri"/>
                <w:color w:val="000000"/>
                <w:sz w:val="17"/>
                <w:szCs w:val="17"/>
              </w:rPr>
              <w:t>0</w:t>
            </w:r>
          </w:p>
        </w:tc>
        <w:tc>
          <w:tcPr>
            <w:tcW w:w="472" w:type="pct"/>
            <w:tcBorders>
              <w:top w:val="nil"/>
              <w:left w:val="nil"/>
              <w:bottom w:val="single" w:sz="8" w:space="0" w:color="FFFFFF"/>
              <w:right w:val="single" w:sz="8" w:space="0" w:color="FFFFFF"/>
            </w:tcBorders>
            <w:shd w:val="clear" w:color="000000" w:fill="FFF2CC"/>
            <w:vAlign w:val="center"/>
            <w:hideMark/>
          </w:tcPr>
          <w:p w14:paraId="33C765DF" w14:textId="77777777" w:rsidR="00F560FD" w:rsidRPr="00880BCA" w:rsidRDefault="00F560FD" w:rsidP="006A0658">
            <w:pPr>
              <w:spacing w:before="40" w:after="40" w:line="240" w:lineRule="auto"/>
              <w:jc w:val="center"/>
              <w:rPr>
                <w:rFonts w:ascii="Century Gothic" w:eastAsia="Times New Roman" w:hAnsi="Century Gothic" w:cs="Calibri"/>
                <w:color w:val="000000"/>
                <w:sz w:val="17"/>
                <w:szCs w:val="17"/>
                <w:lang w:eastAsia="es-MX"/>
              </w:rPr>
            </w:pPr>
            <w:r>
              <w:rPr>
                <w:rFonts w:ascii="Century Gothic" w:hAnsi="Century Gothic" w:cs="Calibri"/>
                <w:color w:val="000000"/>
                <w:sz w:val="17"/>
                <w:szCs w:val="17"/>
              </w:rPr>
              <w:t>2</w:t>
            </w:r>
          </w:p>
        </w:tc>
        <w:tc>
          <w:tcPr>
            <w:tcW w:w="233" w:type="pct"/>
            <w:tcBorders>
              <w:top w:val="nil"/>
              <w:left w:val="nil"/>
              <w:bottom w:val="single" w:sz="8" w:space="0" w:color="FFFFFF"/>
              <w:right w:val="single" w:sz="8" w:space="0" w:color="FFFFFF"/>
            </w:tcBorders>
            <w:shd w:val="clear" w:color="000000" w:fill="FFF2CC"/>
            <w:vAlign w:val="center"/>
            <w:hideMark/>
          </w:tcPr>
          <w:p w14:paraId="039BDFAD" w14:textId="77777777" w:rsidR="00F560FD" w:rsidRPr="00880BCA" w:rsidRDefault="00F560FD" w:rsidP="006A0658">
            <w:pPr>
              <w:spacing w:before="40" w:after="40" w:line="240" w:lineRule="auto"/>
              <w:jc w:val="center"/>
              <w:rPr>
                <w:rFonts w:ascii="Century Gothic" w:eastAsia="Times New Roman" w:hAnsi="Century Gothic" w:cs="Calibri"/>
                <w:color w:val="000000"/>
                <w:sz w:val="17"/>
                <w:szCs w:val="17"/>
                <w:lang w:eastAsia="es-MX"/>
              </w:rPr>
            </w:pPr>
            <w:r>
              <w:rPr>
                <w:rFonts w:ascii="Century Gothic" w:hAnsi="Century Gothic" w:cs="Calibri"/>
                <w:color w:val="000000"/>
                <w:sz w:val="17"/>
                <w:szCs w:val="17"/>
              </w:rPr>
              <w:t>0</w:t>
            </w:r>
          </w:p>
        </w:tc>
      </w:tr>
      <w:tr w:rsidR="00F560FD" w:rsidRPr="00880BCA" w14:paraId="205AC0DF" w14:textId="77777777" w:rsidTr="006A0658">
        <w:trPr>
          <w:trHeight w:val="31"/>
          <w:jc w:val="center"/>
        </w:trPr>
        <w:tc>
          <w:tcPr>
            <w:tcW w:w="2067" w:type="pct"/>
            <w:vMerge w:val="restart"/>
            <w:tcBorders>
              <w:top w:val="nil"/>
              <w:left w:val="single" w:sz="8" w:space="0" w:color="FFFFFF"/>
              <w:bottom w:val="single" w:sz="8" w:space="0" w:color="FFFFFF"/>
              <w:right w:val="single" w:sz="8" w:space="0" w:color="FFFFFF"/>
            </w:tcBorders>
            <w:shd w:val="clear" w:color="000000" w:fill="D9D9D9"/>
            <w:vAlign w:val="center"/>
            <w:hideMark/>
          </w:tcPr>
          <w:p w14:paraId="7E061766" w14:textId="77777777" w:rsidR="00F560FD" w:rsidRPr="00880BCA" w:rsidRDefault="00F560FD" w:rsidP="006A0658">
            <w:pPr>
              <w:spacing w:before="40" w:after="40" w:line="240" w:lineRule="auto"/>
              <w:rPr>
                <w:rFonts w:ascii="Century Gothic" w:eastAsia="Times New Roman" w:hAnsi="Century Gothic" w:cs="Calibri"/>
                <w:color w:val="000000"/>
                <w:sz w:val="17"/>
                <w:szCs w:val="17"/>
                <w:lang w:eastAsia="es-MX"/>
              </w:rPr>
            </w:pPr>
            <w:r w:rsidRPr="00880BCA">
              <w:rPr>
                <w:rFonts w:ascii="Century Gothic" w:eastAsia="Times New Roman" w:hAnsi="Century Gothic" w:cs="Calibri"/>
                <w:color w:val="000000"/>
                <w:sz w:val="17"/>
                <w:szCs w:val="17"/>
                <w:lang w:eastAsia="es-MX"/>
              </w:rPr>
              <w:t xml:space="preserve">Vehículos de Motor Registrados en Circulación </w:t>
            </w:r>
          </w:p>
        </w:tc>
        <w:tc>
          <w:tcPr>
            <w:tcW w:w="345" w:type="pct"/>
            <w:vMerge w:val="restart"/>
            <w:tcBorders>
              <w:top w:val="nil"/>
              <w:left w:val="single" w:sz="8" w:space="0" w:color="FFFFFF"/>
              <w:bottom w:val="single" w:sz="8" w:space="0" w:color="FFFFFF"/>
              <w:right w:val="single" w:sz="8" w:space="0" w:color="FFFFFF"/>
            </w:tcBorders>
            <w:shd w:val="clear" w:color="000000" w:fill="D9D9D9"/>
            <w:vAlign w:val="center"/>
            <w:hideMark/>
          </w:tcPr>
          <w:p w14:paraId="4ABC9CD7" w14:textId="77777777" w:rsidR="00F560FD" w:rsidRPr="00880BCA" w:rsidRDefault="00F560FD" w:rsidP="006A0658">
            <w:pPr>
              <w:spacing w:before="40" w:after="40" w:line="240" w:lineRule="auto"/>
              <w:rPr>
                <w:rFonts w:ascii="Century Gothic" w:eastAsia="Times New Roman" w:hAnsi="Century Gothic" w:cs="Calibri"/>
                <w:color w:val="000000"/>
                <w:sz w:val="17"/>
                <w:szCs w:val="17"/>
                <w:lang w:eastAsia="es-MX"/>
              </w:rPr>
            </w:pPr>
            <w:r w:rsidRPr="00880BCA">
              <w:rPr>
                <w:rFonts w:ascii="Century Gothic" w:eastAsia="Times New Roman" w:hAnsi="Century Gothic" w:cs="Calibri"/>
                <w:color w:val="000000"/>
                <w:sz w:val="17"/>
                <w:szCs w:val="17"/>
                <w:lang w:eastAsia="es-MX"/>
              </w:rPr>
              <w:t>VMRC</w:t>
            </w:r>
          </w:p>
        </w:tc>
        <w:tc>
          <w:tcPr>
            <w:tcW w:w="247" w:type="pct"/>
            <w:vMerge w:val="restart"/>
            <w:tcBorders>
              <w:top w:val="nil"/>
              <w:left w:val="single" w:sz="8" w:space="0" w:color="FFFFFF"/>
              <w:bottom w:val="single" w:sz="8" w:space="0" w:color="FFFFFF"/>
              <w:right w:val="single" w:sz="8" w:space="0" w:color="FFFFFF"/>
            </w:tcBorders>
            <w:shd w:val="clear" w:color="000000" w:fill="D9D9D9"/>
            <w:vAlign w:val="center"/>
            <w:hideMark/>
          </w:tcPr>
          <w:p w14:paraId="40D9B674" w14:textId="77777777" w:rsidR="00F560FD" w:rsidRPr="00880BCA" w:rsidRDefault="00F560FD" w:rsidP="006A0658">
            <w:pPr>
              <w:spacing w:before="40" w:after="40" w:line="240" w:lineRule="auto"/>
              <w:jc w:val="center"/>
              <w:rPr>
                <w:rFonts w:ascii="Century Gothic" w:eastAsia="Times New Roman" w:hAnsi="Century Gothic" w:cs="Calibri"/>
                <w:color w:val="000000"/>
                <w:sz w:val="17"/>
                <w:szCs w:val="17"/>
                <w:lang w:eastAsia="es-MX"/>
              </w:rPr>
            </w:pPr>
            <w:r w:rsidRPr="00880BCA">
              <w:rPr>
                <w:rFonts w:ascii="Century Gothic" w:eastAsia="Times New Roman" w:hAnsi="Century Gothic" w:cs="Calibri"/>
                <w:color w:val="000000"/>
                <w:sz w:val="17"/>
                <w:szCs w:val="17"/>
                <w:lang w:eastAsia="es-MX"/>
              </w:rPr>
              <w:t>2</w:t>
            </w:r>
          </w:p>
        </w:tc>
        <w:tc>
          <w:tcPr>
            <w:tcW w:w="207" w:type="pct"/>
            <w:vMerge w:val="restart"/>
            <w:tcBorders>
              <w:top w:val="nil"/>
              <w:left w:val="single" w:sz="8" w:space="0" w:color="FFFFFF"/>
              <w:bottom w:val="single" w:sz="8" w:space="0" w:color="FFFFFF"/>
              <w:right w:val="single" w:sz="8" w:space="0" w:color="FFFFFF"/>
            </w:tcBorders>
            <w:shd w:val="clear" w:color="000000" w:fill="D9D9D9"/>
            <w:vAlign w:val="center"/>
            <w:hideMark/>
          </w:tcPr>
          <w:p w14:paraId="7B394B84" w14:textId="77777777" w:rsidR="00F560FD" w:rsidRPr="00880BCA" w:rsidRDefault="00F560FD" w:rsidP="006A0658">
            <w:pPr>
              <w:spacing w:before="40" w:after="40" w:line="240" w:lineRule="auto"/>
              <w:jc w:val="center"/>
              <w:rPr>
                <w:rFonts w:ascii="Century Gothic" w:eastAsia="Times New Roman" w:hAnsi="Century Gothic" w:cs="Calibri"/>
                <w:color w:val="000000"/>
                <w:sz w:val="17"/>
                <w:szCs w:val="17"/>
                <w:lang w:eastAsia="es-MX"/>
              </w:rPr>
            </w:pPr>
            <w:r w:rsidRPr="00880BCA">
              <w:rPr>
                <w:rFonts w:ascii="Century Gothic" w:eastAsia="Times New Roman" w:hAnsi="Century Gothic" w:cs="Calibri"/>
                <w:color w:val="000000"/>
                <w:sz w:val="17"/>
                <w:szCs w:val="17"/>
                <w:lang w:eastAsia="es-MX"/>
              </w:rPr>
              <w:t>1</w:t>
            </w:r>
          </w:p>
        </w:tc>
        <w:tc>
          <w:tcPr>
            <w:tcW w:w="309" w:type="pct"/>
            <w:vMerge w:val="restart"/>
            <w:tcBorders>
              <w:top w:val="nil"/>
              <w:left w:val="single" w:sz="8" w:space="0" w:color="FFFFFF"/>
              <w:bottom w:val="single" w:sz="8" w:space="0" w:color="FFFFFF"/>
              <w:right w:val="single" w:sz="8" w:space="0" w:color="FFFFFF"/>
            </w:tcBorders>
            <w:shd w:val="clear" w:color="000000" w:fill="D9D9D9"/>
            <w:vAlign w:val="center"/>
            <w:hideMark/>
          </w:tcPr>
          <w:p w14:paraId="6012FCD0" w14:textId="77777777" w:rsidR="00F560FD" w:rsidRPr="00880BCA" w:rsidRDefault="00F560FD" w:rsidP="006A0658">
            <w:pPr>
              <w:spacing w:before="40" w:after="40" w:line="240" w:lineRule="auto"/>
              <w:jc w:val="center"/>
              <w:rPr>
                <w:rFonts w:ascii="Century Gothic" w:eastAsia="Times New Roman" w:hAnsi="Century Gothic" w:cs="Calibri"/>
                <w:color w:val="000000"/>
                <w:sz w:val="17"/>
                <w:szCs w:val="17"/>
                <w:lang w:eastAsia="es-MX"/>
              </w:rPr>
            </w:pPr>
            <w:r w:rsidRPr="00880BCA">
              <w:rPr>
                <w:rFonts w:ascii="Century Gothic" w:eastAsia="Times New Roman" w:hAnsi="Century Gothic" w:cs="Calibri"/>
                <w:color w:val="000000"/>
                <w:sz w:val="17"/>
                <w:szCs w:val="17"/>
                <w:lang w:eastAsia="es-MX"/>
              </w:rPr>
              <w:t>1</w:t>
            </w:r>
          </w:p>
        </w:tc>
        <w:tc>
          <w:tcPr>
            <w:tcW w:w="223" w:type="pct"/>
            <w:vMerge w:val="restart"/>
            <w:tcBorders>
              <w:top w:val="nil"/>
              <w:left w:val="single" w:sz="8" w:space="0" w:color="FFFFFF"/>
              <w:bottom w:val="single" w:sz="8" w:space="0" w:color="FFFFFF"/>
              <w:right w:val="single" w:sz="8" w:space="0" w:color="FFFFFF"/>
            </w:tcBorders>
            <w:shd w:val="clear" w:color="000000" w:fill="FFE599"/>
            <w:vAlign w:val="center"/>
            <w:hideMark/>
          </w:tcPr>
          <w:p w14:paraId="5379AD20" w14:textId="77777777" w:rsidR="00F560FD" w:rsidRPr="00880BCA" w:rsidRDefault="00F560FD" w:rsidP="006A0658">
            <w:pPr>
              <w:spacing w:before="40" w:after="40" w:line="240" w:lineRule="auto"/>
              <w:jc w:val="center"/>
              <w:rPr>
                <w:rFonts w:ascii="Century Gothic" w:eastAsia="Times New Roman" w:hAnsi="Century Gothic" w:cs="Calibri"/>
                <w:color w:val="000000"/>
                <w:sz w:val="17"/>
                <w:szCs w:val="17"/>
                <w:lang w:eastAsia="es-MX"/>
              </w:rPr>
            </w:pPr>
            <w:r>
              <w:rPr>
                <w:rFonts w:ascii="Century Gothic" w:hAnsi="Century Gothic" w:cs="Calibri"/>
                <w:color w:val="000000"/>
                <w:sz w:val="17"/>
                <w:szCs w:val="17"/>
              </w:rPr>
              <w:t>0</w:t>
            </w:r>
          </w:p>
        </w:tc>
        <w:tc>
          <w:tcPr>
            <w:tcW w:w="444" w:type="pct"/>
            <w:tcBorders>
              <w:top w:val="nil"/>
              <w:left w:val="nil"/>
              <w:bottom w:val="single" w:sz="8" w:space="0" w:color="FFFFFF"/>
              <w:right w:val="single" w:sz="8" w:space="0" w:color="FFFFFF"/>
            </w:tcBorders>
            <w:shd w:val="clear" w:color="000000" w:fill="FFE599"/>
            <w:vAlign w:val="center"/>
            <w:hideMark/>
          </w:tcPr>
          <w:p w14:paraId="7DF37E3C" w14:textId="77777777" w:rsidR="00F560FD" w:rsidRPr="00880BCA" w:rsidRDefault="00F560FD" w:rsidP="006A0658">
            <w:pPr>
              <w:spacing w:before="40" w:after="40" w:line="240" w:lineRule="auto"/>
              <w:jc w:val="center"/>
              <w:rPr>
                <w:rFonts w:ascii="Century Gothic" w:eastAsia="Times New Roman" w:hAnsi="Century Gothic" w:cs="Calibri"/>
                <w:color w:val="000000"/>
                <w:sz w:val="17"/>
                <w:szCs w:val="17"/>
                <w:lang w:eastAsia="es-MX"/>
              </w:rPr>
            </w:pPr>
            <w:r>
              <w:rPr>
                <w:rFonts w:ascii="Century Gothic" w:hAnsi="Century Gothic" w:cs="Calibri"/>
                <w:color w:val="000000"/>
                <w:sz w:val="17"/>
                <w:szCs w:val="17"/>
              </w:rPr>
              <w:t>0</w:t>
            </w:r>
          </w:p>
        </w:tc>
        <w:tc>
          <w:tcPr>
            <w:tcW w:w="247" w:type="pct"/>
            <w:vMerge w:val="restart"/>
            <w:tcBorders>
              <w:top w:val="nil"/>
              <w:left w:val="single" w:sz="8" w:space="0" w:color="FFFFFF"/>
              <w:bottom w:val="single" w:sz="8" w:space="0" w:color="FFFFFF"/>
              <w:right w:val="single" w:sz="8" w:space="0" w:color="FFFFFF"/>
            </w:tcBorders>
            <w:shd w:val="clear" w:color="000000" w:fill="FFE599"/>
            <w:vAlign w:val="center"/>
            <w:hideMark/>
          </w:tcPr>
          <w:p w14:paraId="013ECD4B" w14:textId="77777777" w:rsidR="00F560FD" w:rsidRPr="00880BCA" w:rsidRDefault="00F560FD" w:rsidP="006A0658">
            <w:pPr>
              <w:spacing w:before="40" w:after="40" w:line="240" w:lineRule="auto"/>
              <w:jc w:val="center"/>
              <w:rPr>
                <w:rFonts w:ascii="Century Gothic" w:eastAsia="Times New Roman" w:hAnsi="Century Gothic" w:cs="Calibri"/>
                <w:color w:val="000000"/>
                <w:sz w:val="17"/>
                <w:szCs w:val="17"/>
                <w:lang w:eastAsia="es-MX"/>
              </w:rPr>
            </w:pPr>
            <w:r>
              <w:rPr>
                <w:rFonts w:ascii="Century Gothic" w:hAnsi="Century Gothic" w:cs="Calibri"/>
                <w:color w:val="000000"/>
                <w:sz w:val="17"/>
                <w:szCs w:val="17"/>
              </w:rPr>
              <w:t>0</w:t>
            </w:r>
          </w:p>
        </w:tc>
        <w:tc>
          <w:tcPr>
            <w:tcW w:w="207" w:type="pct"/>
            <w:vMerge w:val="restart"/>
            <w:tcBorders>
              <w:top w:val="nil"/>
              <w:left w:val="single" w:sz="8" w:space="0" w:color="FFFFFF"/>
              <w:bottom w:val="single" w:sz="8" w:space="0" w:color="FFFFFF"/>
              <w:right w:val="single" w:sz="8" w:space="0" w:color="FFFFFF"/>
            </w:tcBorders>
            <w:shd w:val="clear" w:color="000000" w:fill="FFE599"/>
            <w:vAlign w:val="center"/>
            <w:hideMark/>
          </w:tcPr>
          <w:p w14:paraId="615675B5" w14:textId="77777777" w:rsidR="00F560FD" w:rsidRPr="00880BCA" w:rsidRDefault="00F560FD" w:rsidP="006A0658">
            <w:pPr>
              <w:spacing w:before="40" w:after="40" w:line="240" w:lineRule="auto"/>
              <w:jc w:val="center"/>
              <w:rPr>
                <w:rFonts w:ascii="Century Gothic" w:eastAsia="Times New Roman" w:hAnsi="Century Gothic" w:cs="Calibri"/>
                <w:color w:val="000000"/>
                <w:sz w:val="17"/>
                <w:szCs w:val="17"/>
                <w:lang w:eastAsia="es-MX"/>
              </w:rPr>
            </w:pPr>
            <w:r>
              <w:rPr>
                <w:rFonts w:ascii="Century Gothic" w:hAnsi="Century Gothic" w:cs="Calibri"/>
                <w:color w:val="000000"/>
                <w:sz w:val="17"/>
                <w:szCs w:val="17"/>
              </w:rPr>
              <w:t>0</w:t>
            </w:r>
          </w:p>
        </w:tc>
        <w:tc>
          <w:tcPr>
            <w:tcW w:w="472" w:type="pct"/>
            <w:tcBorders>
              <w:top w:val="nil"/>
              <w:left w:val="nil"/>
              <w:bottom w:val="single" w:sz="8" w:space="0" w:color="FFFFFF"/>
              <w:right w:val="single" w:sz="8" w:space="0" w:color="FFFFFF"/>
            </w:tcBorders>
            <w:shd w:val="clear" w:color="000000" w:fill="FFE599"/>
            <w:vAlign w:val="center"/>
            <w:hideMark/>
          </w:tcPr>
          <w:p w14:paraId="4CEE9B30" w14:textId="77777777" w:rsidR="00F560FD" w:rsidRPr="00880BCA" w:rsidRDefault="00F560FD" w:rsidP="006A0658">
            <w:pPr>
              <w:spacing w:before="40" w:after="40" w:line="240" w:lineRule="auto"/>
              <w:jc w:val="center"/>
              <w:rPr>
                <w:rFonts w:ascii="Century Gothic" w:eastAsia="Times New Roman" w:hAnsi="Century Gothic" w:cs="Calibri"/>
                <w:color w:val="000000"/>
                <w:sz w:val="17"/>
                <w:szCs w:val="17"/>
                <w:lang w:eastAsia="es-MX"/>
              </w:rPr>
            </w:pPr>
            <w:r>
              <w:rPr>
                <w:rFonts w:ascii="Century Gothic" w:hAnsi="Century Gothic" w:cs="Calibri"/>
                <w:color w:val="000000"/>
                <w:sz w:val="17"/>
                <w:szCs w:val="17"/>
              </w:rPr>
              <w:t>0</w:t>
            </w:r>
          </w:p>
        </w:tc>
        <w:tc>
          <w:tcPr>
            <w:tcW w:w="233" w:type="pct"/>
            <w:vMerge w:val="restart"/>
            <w:tcBorders>
              <w:top w:val="nil"/>
              <w:left w:val="single" w:sz="8" w:space="0" w:color="FFFFFF"/>
              <w:bottom w:val="single" w:sz="8" w:space="0" w:color="FFFFFF"/>
              <w:right w:val="single" w:sz="8" w:space="0" w:color="FFFFFF"/>
            </w:tcBorders>
            <w:shd w:val="clear" w:color="000000" w:fill="FFE599"/>
            <w:vAlign w:val="center"/>
            <w:hideMark/>
          </w:tcPr>
          <w:p w14:paraId="78C45E18" w14:textId="77777777" w:rsidR="00F560FD" w:rsidRPr="00880BCA" w:rsidRDefault="00F560FD" w:rsidP="006A0658">
            <w:pPr>
              <w:spacing w:before="40" w:after="40" w:line="240" w:lineRule="auto"/>
              <w:jc w:val="center"/>
              <w:rPr>
                <w:rFonts w:ascii="Century Gothic" w:eastAsia="Times New Roman" w:hAnsi="Century Gothic" w:cs="Calibri"/>
                <w:color w:val="000000"/>
                <w:sz w:val="17"/>
                <w:szCs w:val="17"/>
                <w:lang w:eastAsia="es-MX"/>
              </w:rPr>
            </w:pPr>
            <w:r>
              <w:rPr>
                <w:rFonts w:ascii="Century Gothic" w:hAnsi="Century Gothic" w:cs="Calibri"/>
                <w:color w:val="000000"/>
                <w:sz w:val="17"/>
                <w:szCs w:val="17"/>
              </w:rPr>
              <w:t>0</w:t>
            </w:r>
          </w:p>
        </w:tc>
      </w:tr>
      <w:tr w:rsidR="00F560FD" w:rsidRPr="00880BCA" w14:paraId="51191157" w14:textId="77777777" w:rsidTr="006A0658">
        <w:trPr>
          <w:trHeight w:val="315"/>
          <w:jc w:val="center"/>
        </w:trPr>
        <w:tc>
          <w:tcPr>
            <w:tcW w:w="2067" w:type="pct"/>
            <w:vMerge/>
            <w:tcBorders>
              <w:top w:val="nil"/>
              <w:left w:val="single" w:sz="8" w:space="0" w:color="FFFFFF"/>
              <w:bottom w:val="single" w:sz="8" w:space="0" w:color="FFFFFF"/>
              <w:right w:val="single" w:sz="8" w:space="0" w:color="FFFFFF"/>
            </w:tcBorders>
            <w:vAlign w:val="center"/>
            <w:hideMark/>
          </w:tcPr>
          <w:p w14:paraId="54A5F21E" w14:textId="77777777" w:rsidR="00F560FD" w:rsidRPr="00880BCA" w:rsidRDefault="00F560FD" w:rsidP="006A0658">
            <w:pPr>
              <w:spacing w:before="40" w:after="40" w:line="240" w:lineRule="auto"/>
              <w:rPr>
                <w:rFonts w:ascii="Century Gothic" w:eastAsia="Times New Roman" w:hAnsi="Century Gothic" w:cs="Calibri"/>
                <w:color w:val="000000"/>
                <w:sz w:val="17"/>
                <w:szCs w:val="17"/>
                <w:lang w:eastAsia="es-MX"/>
              </w:rPr>
            </w:pPr>
          </w:p>
        </w:tc>
        <w:tc>
          <w:tcPr>
            <w:tcW w:w="345" w:type="pct"/>
            <w:vMerge/>
            <w:tcBorders>
              <w:top w:val="nil"/>
              <w:left w:val="single" w:sz="8" w:space="0" w:color="FFFFFF"/>
              <w:bottom w:val="single" w:sz="8" w:space="0" w:color="FFFFFF"/>
              <w:right w:val="single" w:sz="8" w:space="0" w:color="FFFFFF"/>
            </w:tcBorders>
            <w:vAlign w:val="center"/>
            <w:hideMark/>
          </w:tcPr>
          <w:p w14:paraId="7D465132" w14:textId="77777777" w:rsidR="00F560FD" w:rsidRPr="00880BCA" w:rsidRDefault="00F560FD" w:rsidP="006A0658">
            <w:pPr>
              <w:spacing w:before="40" w:after="40" w:line="240" w:lineRule="auto"/>
              <w:rPr>
                <w:rFonts w:ascii="Century Gothic" w:eastAsia="Times New Roman" w:hAnsi="Century Gothic" w:cs="Calibri"/>
                <w:color w:val="000000"/>
                <w:sz w:val="17"/>
                <w:szCs w:val="17"/>
                <w:lang w:eastAsia="es-MX"/>
              </w:rPr>
            </w:pPr>
          </w:p>
        </w:tc>
        <w:tc>
          <w:tcPr>
            <w:tcW w:w="247" w:type="pct"/>
            <w:vMerge/>
            <w:tcBorders>
              <w:top w:val="nil"/>
              <w:left w:val="single" w:sz="8" w:space="0" w:color="FFFFFF"/>
              <w:bottom w:val="single" w:sz="8" w:space="0" w:color="FFFFFF"/>
              <w:right w:val="single" w:sz="8" w:space="0" w:color="FFFFFF"/>
            </w:tcBorders>
            <w:vAlign w:val="center"/>
            <w:hideMark/>
          </w:tcPr>
          <w:p w14:paraId="0DA5E560" w14:textId="77777777" w:rsidR="00F560FD" w:rsidRPr="00880BCA" w:rsidRDefault="00F560FD" w:rsidP="006A0658">
            <w:pPr>
              <w:spacing w:before="40" w:after="40" w:line="240" w:lineRule="auto"/>
              <w:rPr>
                <w:rFonts w:ascii="Century Gothic" w:eastAsia="Times New Roman" w:hAnsi="Century Gothic" w:cs="Calibri"/>
                <w:color w:val="000000"/>
                <w:sz w:val="17"/>
                <w:szCs w:val="17"/>
                <w:lang w:eastAsia="es-MX"/>
              </w:rPr>
            </w:pPr>
          </w:p>
        </w:tc>
        <w:tc>
          <w:tcPr>
            <w:tcW w:w="207" w:type="pct"/>
            <w:vMerge/>
            <w:tcBorders>
              <w:top w:val="nil"/>
              <w:left w:val="single" w:sz="8" w:space="0" w:color="FFFFFF"/>
              <w:bottom w:val="single" w:sz="8" w:space="0" w:color="FFFFFF"/>
              <w:right w:val="single" w:sz="8" w:space="0" w:color="FFFFFF"/>
            </w:tcBorders>
            <w:vAlign w:val="center"/>
            <w:hideMark/>
          </w:tcPr>
          <w:p w14:paraId="305D513E" w14:textId="77777777" w:rsidR="00F560FD" w:rsidRPr="00880BCA" w:rsidRDefault="00F560FD" w:rsidP="006A0658">
            <w:pPr>
              <w:spacing w:before="40" w:after="40" w:line="240" w:lineRule="auto"/>
              <w:rPr>
                <w:rFonts w:ascii="Century Gothic" w:eastAsia="Times New Roman" w:hAnsi="Century Gothic" w:cs="Calibri"/>
                <w:color w:val="000000"/>
                <w:sz w:val="17"/>
                <w:szCs w:val="17"/>
                <w:lang w:eastAsia="es-MX"/>
              </w:rPr>
            </w:pPr>
          </w:p>
        </w:tc>
        <w:tc>
          <w:tcPr>
            <w:tcW w:w="309" w:type="pct"/>
            <w:vMerge/>
            <w:tcBorders>
              <w:top w:val="nil"/>
              <w:left w:val="single" w:sz="8" w:space="0" w:color="FFFFFF"/>
              <w:bottom w:val="single" w:sz="8" w:space="0" w:color="FFFFFF"/>
              <w:right w:val="single" w:sz="8" w:space="0" w:color="FFFFFF"/>
            </w:tcBorders>
            <w:vAlign w:val="center"/>
            <w:hideMark/>
          </w:tcPr>
          <w:p w14:paraId="0702884D" w14:textId="77777777" w:rsidR="00F560FD" w:rsidRPr="00880BCA" w:rsidRDefault="00F560FD" w:rsidP="006A0658">
            <w:pPr>
              <w:spacing w:before="40" w:after="40" w:line="240" w:lineRule="auto"/>
              <w:rPr>
                <w:rFonts w:ascii="Century Gothic" w:eastAsia="Times New Roman" w:hAnsi="Century Gothic" w:cs="Calibri"/>
                <w:color w:val="000000"/>
                <w:sz w:val="17"/>
                <w:szCs w:val="17"/>
                <w:lang w:eastAsia="es-MX"/>
              </w:rPr>
            </w:pPr>
          </w:p>
        </w:tc>
        <w:tc>
          <w:tcPr>
            <w:tcW w:w="223" w:type="pct"/>
            <w:vMerge/>
            <w:tcBorders>
              <w:top w:val="nil"/>
              <w:left w:val="single" w:sz="8" w:space="0" w:color="FFFFFF"/>
              <w:bottom w:val="single" w:sz="8" w:space="0" w:color="FFFFFF"/>
              <w:right w:val="single" w:sz="8" w:space="0" w:color="FFFFFF"/>
            </w:tcBorders>
            <w:vAlign w:val="center"/>
            <w:hideMark/>
          </w:tcPr>
          <w:p w14:paraId="07339E1C" w14:textId="77777777" w:rsidR="00F560FD" w:rsidRPr="00880BCA" w:rsidRDefault="00F560FD" w:rsidP="006A0658">
            <w:pPr>
              <w:spacing w:before="40" w:after="40" w:line="240" w:lineRule="auto"/>
              <w:rPr>
                <w:rFonts w:ascii="Century Gothic" w:eastAsia="Times New Roman" w:hAnsi="Century Gothic" w:cs="Calibri"/>
                <w:color w:val="000000"/>
                <w:sz w:val="17"/>
                <w:szCs w:val="17"/>
                <w:lang w:eastAsia="es-MX"/>
              </w:rPr>
            </w:pPr>
          </w:p>
        </w:tc>
        <w:tc>
          <w:tcPr>
            <w:tcW w:w="444" w:type="pct"/>
            <w:tcBorders>
              <w:top w:val="nil"/>
              <w:left w:val="nil"/>
              <w:bottom w:val="single" w:sz="8" w:space="0" w:color="FFFFFF"/>
              <w:right w:val="single" w:sz="8" w:space="0" w:color="FFFFFF"/>
            </w:tcBorders>
            <w:shd w:val="clear" w:color="000000" w:fill="FFE599"/>
            <w:vAlign w:val="center"/>
            <w:hideMark/>
          </w:tcPr>
          <w:p w14:paraId="62454B1F" w14:textId="77777777" w:rsidR="00F560FD" w:rsidRPr="00880BCA" w:rsidRDefault="00F560FD" w:rsidP="006A0658">
            <w:pPr>
              <w:spacing w:before="40" w:after="40" w:line="240" w:lineRule="auto"/>
              <w:jc w:val="center"/>
              <w:rPr>
                <w:rFonts w:ascii="Century Gothic" w:eastAsia="Times New Roman" w:hAnsi="Century Gothic" w:cs="Calibri"/>
                <w:color w:val="000000"/>
                <w:sz w:val="17"/>
                <w:szCs w:val="17"/>
                <w:lang w:eastAsia="es-MX"/>
              </w:rPr>
            </w:pPr>
            <w:r>
              <w:rPr>
                <w:rFonts w:ascii="Century Gothic" w:hAnsi="Century Gothic" w:cs="Calibri"/>
                <w:color w:val="000000"/>
                <w:sz w:val="17"/>
                <w:szCs w:val="17"/>
              </w:rPr>
              <w:t>(2 anual) /</w:t>
            </w:r>
            <w:r>
              <w:rPr>
                <w:rFonts w:ascii="Century Gothic" w:hAnsi="Century Gothic" w:cs="Calibri"/>
                <w:color w:val="000000"/>
                <w:sz w:val="17"/>
                <w:szCs w:val="17"/>
                <w:vertAlign w:val="superscript"/>
              </w:rPr>
              <w:t>a</w:t>
            </w:r>
          </w:p>
        </w:tc>
        <w:tc>
          <w:tcPr>
            <w:tcW w:w="247" w:type="pct"/>
            <w:vMerge/>
            <w:tcBorders>
              <w:top w:val="nil"/>
              <w:left w:val="single" w:sz="8" w:space="0" w:color="FFFFFF"/>
              <w:bottom w:val="single" w:sz="8" w:space="0" w:color="FFFFFF"/>
              <w:right w:val="single" w:sz="8" w:space="0" w:color="FFFFFF"/>
            </w:tcBorders>
            <w:vAlign w:val="center"/>
            <w:hideMark/>
          </w:tcPr>
          <w:p w14:paraId="175FD1E2" w14:textId="77777777" w:rsidR="00F560FD" w:rsidRPr="00880BCA" w:rsidRDefault="00F560FD" w:rsidP="006A0658">
            <w:pPr>
              <w:spacing w:before="40" w:after="40" w:line="240" w:lineRule="auto"/>
              <w:rPr>
                <w:rFonts w:ascii="Century Gothic" w:eastAsia="Times New Roman" w:hAnsi="Century Gothic" w:cs="Calibri"/>
                <w:color w:val="000000"/>
                <w:sz w:val="17"/>
                <w:szCs w:val="17"/>
                <w:lang w:eastAsia="es-MX"/>
              </w:rPr>
            </w:pPr>
          </w:p>
        </w:tc>
        <w:tc>
          <w:tcPr>
            <w:tcW w:w="207" w:type="pct"/>
            <w:vMerge/>
            <w:tcBorders>
              <w:top w:val="nil"/>
              <w:left w:val="single" w:sz="8" w:space="0" w:color="FFFFFF"/>
              <w:bottom w:val="single" w:sz="8" w:space="0" w:color="FFFFFF"/>
              <w:right w:val="single" w:sz="8" w:space="0" w:color="FFFFFF"/>
            </w:tcBorders>
            <w:vAlign w:val="center"/>
            <w:hideMark/>
          </w:tcPr>
          <w:p w14:paraId="52039AF9" w14:textId="77777777" w:rsidR="00F560FD" w:rsidRPr="00880BCA" w:rsidRDefault="00F560FD" w:rsidP="006A0658">
            <w:pPr>
              <w:spacing w:before="40" w:after="40" w:line="240" w:lineRule="auto"/>
              <w:rPr>
                <w:rFonts w:ascii="Century Gothic" w:eastAsia="Times New Roman" w:hAnsi="Century Gothic" w:cs="Calibri"/>
                <w:color w:val="000000"/>
                <w:sz w:val="17"/>
                <w:szCs w:val="17"/>
                <w:lang w:eastAsia="es-MX"/>
              </w:rPr>
            </w:pPr>
          </w:p>
        </w:tc>
        <w:tc>
          <w:tcPr>
            <w:tcW w:w="472" w:type="pct"/>
            <w:tcBorders>
              <w:top w:val="nil"/>
              <w:left w:val="nil"/>
              <w:bottom w:val="single" w:sz="8" w:space="0" w:color="FFFFFF"/>
              <w:right w:val="single" w:sz="8" w:space="0" w:color="FFFFFF"/>
            </w:tcBorders>
            <w:shd w:val="clear" w:color="000000" w:fill="FFE599"/>
            <w:vAlign w:val="center"/>
            <w:hideMark/>
          </w:tcPr>
          <w:p w14:paraId="6F5D346C" w14:textId="77777777" w:rsidR="00F560FD" w:rsidRPr="00880BCA" w:rsidRDefault="00F560FD" w:rsidP="006A0658">
            <w:pPr>
              <w:spacing w:before="40" w:after="40" w:line="240" w:lineRule="auto"/>
              <w:jc w:val="center"/>
              <w:rPr>
                <w:rFonts w:ascii="Century Gothic" w:eastAsia="Times New Roman" w:hAnsi="Century Gothic" w:cs="Calibri"/>
                <w:color w:val="000000"/>
                <w:sz w:val="17"/>
                <w:szCs w:val="17"/>
                <w:lang w:eastAsia="es-MX"/>
              </w:rPr>
            </w:pPr>
            <w:r>
              <w:rPr>
                <w:rFonts w:ascii="Century Gothic" w:hAnsi="Century Gothic" w:cs="Calibri"/>
                <w:color w:val="000000"/>
                <w:sz w:val="17"/>
                <w:szCs w:val="17"/>
              </w:rPr>
              <w:t>(2 anual) /</w:t>
            </w:r>
            <w:r>
              <w:rPr>
                <w:rFonts w:ascii="Century Gothic" w:hAnsi="Century Gothic" w:cs="Calibri"/>
                <w:color w:val="000000"/>
                <w:sz w:val="17"/>
                <w:szCs w:val="17"/>
                <w:vertAlign w:val="superscript"/>
              </w:rPr>
              <w:t>a</w:t>
            </w:r>
          </w:p>
        </w:tc>
        <w:tc>
          <w:tcPr>
            <w:tcW w:w="233" w:type="pct"/>
            <w:vMerge/>
            <w:tcBorders>
              <w:top w:val="nil"/>
              <w:left w:val="single" w:sz="8" w:space="0" w:color="FFFFFF"/>
              <w:bottom w:val="single" w:sz="8" w:space="0" w:color="FFFFFF"/>
              <w:right w:val="single" w:sz="8" w:space="0" w:color="FFFFFF"/>
            </w:tcBorders>
            <w:vAlign w:val="center"/>
            <w:hideMark/>
          </w:tcPr>
          <w:p w14:paraId="65B0F7A3" w14:textId="77777777" w:rsidR="00F560FD" w:rsidRPr="00880BCA" w:rsidRDefault="00F560FD" w:rsidP="006A0658">
            <w:pPr>
              <w:spacing w:before="40" w:after="40" w:line="240" w:lineRule="auto"/>
              <w:rPr>
                <w:rFonts w:ascii="Century Gothic" w:eastAsia="Times New Roman" w:hAnsi="Century Gothic" w:cs="Calibri"/>
                <w:color w:val="000000"/>
                <w:sz w:val="17"/>
                <w:szCs w:val="17"/>
                <w:lang w:eastAsia="es-MX"/>
              </w:rPr>
            </w:pPr>
          </w:p>
        </w:tc>
      </w:tr>
      <w:tr w:rsidR="00F560FD" w:rsidRPr="00880BCA" w14:paraId="2DBAC1DE" w14:textId="77777777" w:rsidTr="006A0658">
        <w:trPr>
          <w:trHeight w:val="223"/>
          <w:jc w:val="center"/>
        </w:trPr>
        <w:tc>
          <w:tcPr>
            <w:tcW w:w="2067" w:type="pct"/>
            <w:vMerge w:val="restart"/>
            <w:tcBorders>
              <w:top w:val="nil"/>
              <w:left w:val="single" w:sz="8" w:space="0" w:color="FFFFFF"/>
              <w:bottom w:val="single" w:sz="8" w:space="0" w:color="FFFFFF"/>
              <w:right w:val="single" w:sz="8" w:space="0" w:color="FFFFFF"/>
            </w:tcBorders>
            <w:shd w:val="clear" w:color="000000" w:fill="D9D9D9"/>
            <w:vAlign w:val="center"/>
            <w:hideMark/>
          </w:tcPr>
          <w:p w14:paraId="49BB0A60" w14:textId="77777777" w:rsidR="00F560FD" w:rsidRPr="00880BCA" w:rsidRDefault="00F560FD" w:rsidP="006A0658">
            <w:pPr>
              <w:spacing w:before="40" w:after="40" w:line="240" w:lineRule="auto"/>
              <w:rPr>
                <w:rFonts w:ascii="Century Gothic" w:eastAsia="Times New Roman" w:hAnsi="Century Gothic" w:cs="Calibri"/>
                <w:color w:val="000000"/>
                <w:sz w:val="17"/>
                <w:szCs w:val="17"/>
                <w:lang w:eastAsia="es-MX"/>
              </w:rPr>
            </w:pPr>
            <w:r w:rsidRPr="00880BCA">
              <w:rPr>
                <w:rFonts w:ascii="Century Gothic" w:eastAsia="Times New Roman" w:hAnsi="Century Gothic" w:cs="Calibri"/>
                <w:color w:val="000000"/>
                <w:sz w:val="17"/>
                <w:szCs w:val="17"/>
                <w:lang w:eastAsia="es-MX"/>
              </w:rPr>
              <w:t>Sacrificio de Ganado en Rastros Municipales</w:t>
            </w:r>
          </w:p>
        </w:tc>
        <w:tc>
          <w:tcPr>
            <w:tcW w:w="345" w:type="pct"/>
            <w:vMerge w:val="restart"/>
            <w:tcBorders>
              <w:top w:val="nil"/>
              <w:left w:val="single" w:sz="8" w:space="0" w:color="FFFFFF"/>
              <w:bottom w:val="single" w:sz="8" w:space="0" w:color="FFFFFF"/>
              <w:right w:val="single" w:sz="8" w:space="0" w:color="FFFFFF"/>
            </w:tcBorders>
            <w:shd w:val="clear" w:color="000000" w:fill="D9D9D9"/>
            <w:vAlign w:val="center"/>
            <w:hideMark/>
          </w:tcPr>
          <w:p w14:paraId="2789E190" w14:textId="77777777" w:rsidR="00F560FD" w:rsidRPr="00880BCA" w:rsidRDefault="00F560FD" w:rsidP="006A0658">
            <w:pPr>
              <w:spacing w:before="40" w:after="40" w:line="240" w:lineRule="auto"/>
              <w:rPr>
                <w:rFonts w:ascii="Century Gothic" w:eastAsia="Times New Roman" w:hAnsi="Century Gothic" w:cs="Calibri"/>
                <w:color w:val="000000"/>
                <w:sz w:val="17"/>
                <w:szCs w:val="17"/>
                <w:lang w:eastAsia="es-MX"/>
              </w:rPr>
            </w:pPr>
            <w:r w:rsidRPr="00880BCA">
              <w:rPr>
                <w:rFonts w:ascii="Century Gothic" w:eastAsia="Times New Roman" w:hAnsi="Century Gothic" w:cs="Calibri"/>
                <w:color w:val="000000"/>
                <w:sz w:val="17"/>
                <w:szCs w:val="17"/>
                <w:lang w:eastAsia="es-MX"/>
              </w:rPr>
              <w:t>ESGRM</w:t>
            </w:r>
          </w:p>
        </w:tc>
        <w:tc>
          <w:tcPr>
            <w:tcW w:w="247" w:type="pct"/>
            <w:vMerge w:val="restart"/>
            <w:tcBorders>
              <w:top w:val="nil"/>
              <w:left w:val="single" w:sz="8" w:space="0" w:color="FFFFFF"/>
              <w:bottom w:val="single" w:sz="8" w:space="0" w:color="FFFFFF"/>
              <w:right w:val="single" w:sz="8" w:space="0" w:color="FFFFFF"/>
            </w:tcBorders>
            <w:shd w:val="clear" w:color="000000" w:fill="D9D9D9"/>
            <w:vAlign w:val="center"/>
            <w:hideMark/>
          </w:tcPr>
          <w:p w14:paraId="6F9F1F3C" w14:textId="77777777" w:rsidR="00F560FD" w:rsidRPr="00880BCA" w:rsidRDefault="00F560FD" w:rsidP="006A0658">
            <w:pPr>
              <w:spacing w:before="40" w:after="40" w:line="240" w:lineRule="auto"/>
              <w:jc w:val="center"/>
              <w:rPr>
                <w:rFonts w:ascii="Century Gothic" w:eastAsia="Times New Roman" w:hAnsi="Century Gothic" w:cs="Calibri"/>
                <w:color w:val="000000"/>
                <w:sz w:val="17"/>
                <w:szCs w:val="17"/>
                <w:lang w:eastAsia="es-MX"/>
              </w:rPr>
            </w:pPr>
            <w:r w:rsidRPr="00880BCA">
              <w:rPr>
                <w:rFonts w:ascii="Century Gothic" w:eastAsia="Times New Roman" w:hAnsi="Century Gothic" w:cs="Calibri"/>
                <w:color w:val="000000"/>
                <w:sz w:val="17"/>
                <w:szCs w:val="17"/>
                <w:lang w:eastAsia="es-MX"/>
              </w:rPr>
              <w:t>1</w:t>
            </w:r>
          </w:p>
        </w:tc>
        <w:tc>
          <w:tcPr>
            <w:tcW w:w="207" w:type="pct"/>
            <w:vMerge w:val="restart"/>
            <w:tcBorders>
              <w:top w:val="nil"/>
              <w:left w:val="single" w:sz="8" w:space="0" w:color="FFFFFF"/>
              <w:bottom w:val="single" w:sz="8" w:space="0" w:color="FFFFFF"/>
              <w:right w:val="single" w:sz="8" w:space="0" w:color="FFFFFF"/>
            </w:tcBorders>
            <w:shd w:val="clear" w:color="000000" w:fill="D9D9D9"/>
            <w:vAlign w:val="center"/>
            <w:hideMark/>
          </w:tcPr>
          <w:p w14:paraId="467E3D67" w14:textId="77777777" w:rsidR="00F560FD" w:rsidRPr="00880BCA" w:rsidRDefault="00F560FD" w:rsidP="006A0658">
            <w:pPr>
              <w:spacing w:before="40" w:after="40" w:line="240" w:lineRule="auto"/>
              <w:jc w:val="center"/>
              <w:rPr>
                <w:rFonts w:ascii="Century Gothic" w:eastAsia="Times New Roman" w:hAnsi="Century Gothic" w:cs="Calibri"/>
                <w:color w:val="000000"/>
                <w:sz w:val="17"/>
                <w:szCs w:val="17"/>
                <w:lang w:eastAsia="es-MX"/>
              </w:rPr>
            </w:pPr>
            <w:r w:rsidRPr="00880BCA">
              <w:rPr>
                <w:rFonts w:ascii="Century Gothic" w:eastAsia="Times New Roman" w:hAnsi="Century Gothic" w:cs="Calibri"/>
                <w:color w:val="000000"/>
                <w:sz w:val="17"/>
                <w:szCs w:val="17"/>
                <w:lang w:eastAsia="es-MX"/>
              </w:rPr>
              <w:t>1</w:t>
            </w:r>
          </w:p>
        </w:tc>
        <w:tc>
          <w:tcPr>
            <w:tcW w:w="309" w:type="pct"/>
            <w:vMerge w:val="restart"/>
            <w:tcBorders>
              <w:top w:val="nil"/>
              <w:left w:val="single" w:sz="8" w:space="0" w:color="FFFFFF"/>
              <w:bottom w:val="single" w:sz="8" w:space="0" w:color="FFFFFF"/>
              <w:right w:val="single" w:sz="8" w:space="0" w:color="FFFFFF"/>
            </w:tcBorders>
            <w:shd w:val="clear" w:color="000000" w:fill="D9D9D9"/>
            <w:vAlign w:val="center"/>
            <w:hideMark/>
          </w:tcPr>
          <w:p w14:paraId="740674F4" w14:textId="77777777" w:rsidR="00F560FD" w:rsidRPr="00880BCA" w:rsidRDefault="00F560FD" w:rsidP="006A0658">
            <w:pPr>
              <w:spacing w:before="40" w:after="40" w:line="240" w:lineRule="auto"/>
              <w:jc w:val="center"/>
              <w:rPr>
                <w:rFonts w:ascii="Century Gothic" w:eastAsia="Times New Roman" w:hAnsi="Century Gothic" w:cs="Calibri"/>
                <w:color w:val="000000"/>
                <w:sz w:val="17"/>
                <w:szCs w:val="17"/>
                <w:lang w:eastAsia="es-MX"/>
              </w:rPr>
            </w:pPr>
            <w:r w:rsidRPr="00880BCA">
              <w:rPr>
                <w:rFonts w:ascii="Century Gothic" w:eastAsia="Times New Roman" w:hAnsi="Century Gothic" w:cs="Calibri"/>
                <w:color w:val="000000"/>
                <w:sz w:val="17"/>
                <w:szCs w:val="17"/>
                <w:lang w:eastAsia="es-MX"/>
              </w:rPr>
              <w:t>1</w:t>
            </w:r>
          </w:p>
        </w:tc>
        <w:tc>
          <w:tcPr>
            <w:tcW w:w="223" w:type="pct"/>
            <w:vMerge w:val="restart"/>
            <w:tcBorders>
              <w:top w:val="nil"/>
              <w:left w:val="single" w:sz="8" w:space="0" w:color="FFFFFF"/>
              <w:bottom w:val="single" w:sz="8" w:space="0" w:color="FFFFFF"/>
              <w:right w:val="single" w:sz="8" w:space="0" w:color="FFFFFF"/>
            </w:tcBorders>
            <w:shd w:val="clear" w:color="000000" w:fill="FFE599"/>
            <w:vAlign w:val="center"/>
            <w:hideMark/>
          </w:tcPr>
          <w:p w14:paraId="36C19AFE" w14:textId="77777777" w:rsidR="00F560FD" w:rsidRPr="00880BCA" w:rsidRDefault="00F560FD" w:rsidP="006A0658">
            <w:pPr>
              <w:spacing w:before="40" w:after="40" w:line="240" w:lineRule="auto"/>
              <w:jc w:val="center"/>
              <w:rPr>
                <w:rFonts w:ascii="Century Gothic" w:eastAsia="Times New Roman" w:hAnsi="Century Gothic" w:cs="Calibri"/>
                <w:color w:val="000000"/>
                <w:sz w:val="17"/>
                <w:szCs w:val="17"/>
                <w:lang w:eastAsia="es-MX"/>
              </w:rPr>
            </w:pPr>
            <w:r>
              <w:rPr>
                <w:rFonts w:ascii="Century Gothic" w:hAnsi="Century Gothic" w:cs="Calibri"/>
                <w:color w:val="000000"/>
                <w:sz w:val="17"/>
                <w:szCs w:val="17"/>
              </w:rPr>
              <w:t>0</w:t>
            </w:r>
          </w:p>
        </w:tc>
        <w:tc>
          <w:tcPr>
            <w:tcW w:w="444" w:type="pct"/>
            <w:tcBorders>
              <w:top w:val="nil"/>
              <w:left w:val="nil"/>
              <w:bottom w:val="single" w:sz="8" w:space="0" w:color="FFFFFF"/>
              <w:right w:val="single" w:sz="8" w:space="0" w:color="FFFFFF"/>
            </w:tcBorders>
            <w:shd w:val="clear" w:color="000000" w:fill="FFE599"/>
            <w:vAlign w:val="center"/>
            <w:hideMark/>
          </w:tcPr>
          <w:p w14:paraId="3C63E0E9" w14:textId="77777777" w:rsidR="00F560FD" w:rsidRPr="00880BCA" w:rsidRDefault="00F560FD" w:rsidP="006A0658">
            <w:pPr>
              <w:spacing w:before="40" w:after="40" w:line="240" w:lineRule="auto"/>
              <w:jc w:val="center"/>
              <w:rPr>
                <w:rFonts w:ascii="Century Gothic" w:eastAsia="Times New Roman" w:hAnsi="Century Gothic" w:cs="Calibri"/>
                <w:color w:val="000000"/>
                <w:sz w:val="17"/>
                <w:szCs w:val="17"/>
                <w:lang w:eastAsia="es-MX"/>
              </w:rPr>
            </w:pPr>
            <w:r>
              <w:rPr>
                <w:rFonts w:ascii="Century Gothic" w:hAnsi="Century Gothic" w:cs="Calibri"/>
                <w:color w:val="000000"/>
                <w:sz w:val="17"/>
                <w:szCs w:val="17"/>
              </w:rPr>
              <w:t>0</w:t>
            </w:r>
          </w:p>
        </w:tc>
        <w:tc>
          <w:tcPr>
            <w:tcW w:w="247" w:type="pct"/>
            <w:vMerge w:val="restart"/>
            <w:tcBorders>
              <w:top w:val="nil"/>
              <w:left w:val="single" w:sz="8" w:space="0" w:color="FFFFFF"/>
              <w:bottom w:val="single" w:sz="8" w:space="0" w:color="FFFFFF"/>
              <w:right w:val="single" w:sz="8" w:space="0" w:color="FFFFFF"/>
            </w:tcBorders>
            <w:shd w:val="clear" w:color="000000" w:fill="FFE599"/>
            <w:vAlign w:val="center"/>
            <w:hideMark/>
          </w:tcPr>
          <w:p w14:paraId="5EB80DEE" w14:textId="77777777" w:rsidR="00F560FD" w:rsidRPr="00880BCA" w:rsidRDefault="00F560FD" w:rsidP="006A0658">
            <w:pPr>
              <w:spacing w:before="40" w:after="40" w:line="240" w:lineRule="auto"/>
              <w:jc w:val="center"/>
              <w:rPr>
                <w:rFonts w:ascii="Century Gothic" w:eastAsia="Times New Roman" w:hAnsi="Century Gothic" w:cs="Calibri"/>
                <w:color w:val="000000"/>
                <w:sz w:val="17"/>
                <w:szCs w:val="17"/>
                <w:lang w:eastAsia="es-MX"/>
              </w:rPr>
            </w:pPr>
            <w:r>
              <w:rPr>
                <w:rFonts w:ascii="Century Gothic" w:hAnsi="Century Gothic" w:cs="Calibri"/>
                <w:color w:val="000000"/>
                <w:sz w:val="17"/>
                <w:szCs w:val="17"/>
              </w:rPr>
              <w:t>0</w:t>
            </w:r>
          </w:p>
        </w:tc>
        <w:tc>
          <w:tcPr>
            <w:tcW w:w="207" w:type="pct"/>
            <w:vMerge w:val="restart"/>
            <w:tcBorders>
              <w:top w:val="nil"/>
              <w:left w:val="single" w:sz="8" w:space="0" w:color="FFFFFF"/>
              <w:bottom w:val="single" w:sz="8" w:space="0" w:color="FFFFFF"/>
              <w:right w:val="single" w:sz="8" w:space="0" w:color="FFFFFF"/>
            </w:tcBorders>
            <w:shd w:val="clear" w:color="000000" w:fill="FFE599"/>
            <w:vAlign w:val="center"/>
            <w:hideMark/>
          </w:tcPr>
          <w:p w14:paraId="55FB41A5" w14:textId="77777777" w:rsidR="00F560FD" w:rsidRPr="00880BCA" w:rsidRDefault="00F560FD" w:rsidP="006A0658">
            <w:pPr>
              <w:spacing w:before="40" w:after="40" w:line="240" w:lineRule="auto"/>
              <w:jc w:val="center"/>
              <w:rPr>
                <w:rFonts w:ascii="Century Gothic" w:eastAsia="Times New Roman" w:hAnsi="Century Gothic" w:cs="Calibri"/>
                <w:color w:val="000000"/>
                <w:sz w:val="17"/>
                <w:szCs w:val="17"/>
                <w:lang w:eastAsia="es-MX"/>
              </w:rPr>
            </w:pPr>
            <w:r>
              <w:rPr>
                <w:rFonts w:ascii="Century Gothic" w:hAnsi="Century Gothic" w:cs="Calibri"/>
                <w:color w:val="000000"/>
                <w:sz w:val="17"/>
                <w:szCs w:val="17"/>
              </w:rPr>
              <w:t>0</w:t>
            </w:r>
          </w:p>
        </w:tc>
        <w:tc>
          <w:tcPr>
            <w:tcW w:w="472" w:type="pct"/>
            <w:tcBorders>
              <w:top w:val="nil"/>
              <w:left w:val="nil"/>
              <w:bottom w:val="single" w:sz="8" w:space="0" w:color="FFFFFF"/>
              <w:right w:val="single" w:sz="8" w:space="0" w:color="FFFFFF"/>
            </w:tcBorders>
            <w:shd w:val="clear" w:color="000000" w:fill="FFE599"/>
            <w:vAlign w:val="center"/>
            <w:hideMark/>
          </w:tcPr>
          <w:p w14:paraId="23123D25" w14:textId="77777777" w:rsidR="00F560FD" w:rsidRPr="00880BCA" w:rsidRDefault="00F560FD" w:rsidP="006A0658">
            <w:pPr>
              <w:spacing w:before="40" w:after="40" w:line="240" w:lineRule="auto"/>
              <w:jc w:val="center"/>
              <w:rPr>
                <w:rFonts w:ascii="Century Gothic" w:eastAsia="Times New Roman" w:hAnsi="Century Gothic" w:cs="Calibri"/>
                <w:color w:val="000000"/>
                <w:sz w:val="17"/>
                <w:szCs w:val="17"/>
                <w:lang w:eastAsia="es-MX"/>
              </w:rPr>
            </w:pPr>
            <w:r>
              <w:rPr>
                <w:rFonts w:ascii="Century Gothic" w:hAnsi="Century Gothic" w:cs="Calibri"/>
                <w:color w:val="000000"/>
                <w:sz w:val="17"/>
                <w:szCs w:val="17"/>
              </w:rPr>
              <w:t>0</w:t>
            </w:r>
          </w:p>
        </w:tc>
        <w:tc>
          <w:tcPr>
            <w:tcW w:w="233" w:type="pct"/>
            <w:vMerge w:val="restart"/>
            <w:tcBorders>
              <w:top w:val="nil"/>
              <w:left w:val="single" w:sz="8" w:space="0" w:color="FFFFFF"/>
              <w:bottom w:val="single" w:sz="8" w:space="0" w:color="FFFFFF"/>
              <w:right w:val="single" w:sz="8" w:space="0" w:color="FFFFFF"/>
            </w:tcBorders>
            <w:shd w:val="clear" w:color="000000" w:fill="FFE599"/>
            <w:vAlign w:val="center"/>
            <w:hideMark/>
          </w:tcPr>
          <w:p w14:paraId="0DC084FE" w14:textId="77777777" w:rsidR="00F560FD" w:rsidRPr="00880BCA" w:rsidRDefault="00F560FD" w:rsidP="006A0658">
            <w:pPr>
              <w:spacing w:before="40" w:after="40" w:line="240" w:lineRule="auto"/>
              <w:jc w:val="center"/>
              <w:rPr>
                <w:rFonts w:ascii="Century Gothic" w:eastAsia="Times New Roman" w:hAnsi="Century Gothic" w:cs="Calibri"/>
                <w:color w:val="000000"/>
                <w:sz w:val="17"/>
                <w:szCs w:val="17"/>
                <w:lang w:eastAsia="es-MX"/>
              </w:rPr>
            </w:pPr>
            <w:r>
              <w:rPr>
                <w:rFonts w:ascii="Century Gothic" w:hAnsi="Century Gothic" w:cs="Calibri"/>
                <w:color w:val="000000"/>
                <w:sz w:val="17"/>
                <w:szCs w:val="17"/>
              </w:rPr>
              <w:t>0</w:t>
            </w:r>
          </w:p>
        </w:tc>
      </w:tr>
      <w:tr w:rsidR="00F560FD" w:rsidRPr="00880BCA" w14:paraId="0BFA0177" w14:textId="77777777" w:rsidTr="006A0658">
        <w:trPr>
          <w:trHeight w:val="31"/>
          <w:jc w:val="center"/>
        </w:trPr>
        <w:tc>
          <w:tcPr>
            <w:tcW w:w="2067" w:type="pct"/>
            <w:vMerge/>
            <w:tcBorders>
              <w:top w:val="nil"/>
              <w:left w:val="single" w:sz="8" w:space="0" w:color="FFFFFF"/>
              <w:bottom w:val="single" w:sz="8" w:space="0" w:color="FFFFFF"/>
              <w:right w:val="single" w:sz="8" w:space="0" w:color="FFFFFF"/>
            </w:tcBorders>
            <w:vAlign w:val="center"/>
            <w:hideMark/>
          </w:tcPr>
          <w:p w14:paraId="70AC20F6" w14:textId="77777777" w:rsidR="00F560FD" w:rsidRPr="00880BCA" w:rsidRDefault="00F560FD" w:rsidP="006A0658">
            <w:pPr>
              <w:spacing w:before="40" w:after="40" w:line="240" w:lineRule="auto"/>
              <w:rPr>
                <w:rFonts w:ascii="Century Gothic" w:eastAsia="Times New Roman" w:hAnsi="Century Gothic" w:cs="Calibri"/>
                <w:color w:val="000000"/>
                <w:sz w:val="17"/>
                <w:szCs w:val="17"/>
                <w:lang w:eastAsia="es-MX"/>
              </w:rPr>
            </w:pPr>
          </w:p>
        </w:tc>
        <w:tc>
          <w:tcPr>
            <w:tcW w:w="345" w:type="pct"/>
            <w:vMerge/>
            <w:tcBorders>
              <w:top w:val="nil"/>
              <w:left w:val="single" w:sz="8" w:space="0" w:color="FFFFFF"/>
              <w:bottom w:val="single" w:sz="8" w:space="0" w:color="FFFFFF"/>
              <w:right w:val="single" w:sz="8" w:space="0" w:color="FFFFFF"/>
            </w:tcBorders>
            <w:vAlign w:val="center"/>
            <w:hideMark/>
          </w:tcPr>
          <w:p w14:paraId="167969DE" w14:textId="77777777" w:rsidR="00F560FD" w:rsidRPr="00880BCA" w:rsidRDefault="00F560FD" w:rsidP="006A0658">
            <w:pPr>
              <w:spacing w:before="40" w:after="40" w:line="240" w:lineRule="auto"/>
              <w:rPr>
                <w:rFonts w:ascii="Century Gothic" w:eastAsia="Times New Roman" w:hAnsi="Century Gothic" w:cs="Calibri"/>
                <w:color w:val="000000"/>
                <w:sz w:val="17"/>
                <w:szCs w:val="17"/>
                <w:lang w:eastAsia="es-MX"/>
              </w:rPr>
            </w:pPr>
          </w:p>
        </w:tc>
        <w:tc>
          <w:tcPr>
            <w:tcW w:w="247" w:type="pct"/>
            <w:vMerge/>
            <w:tcBorders>
              <w:top w:val="nil"/>
              <w:left w:val="single" w:sz="8" w:space="0" w:color="FFFFFF"/>
              <w:bottom w:val="single" w:sz="8" w:space="0" w:color="FFFFFF"/>
              <w:right w:val="single" w:sz="8" w:space="0" w:color="FFFFFF"/>
            </w:tcBorders>
            <w:vAlign w:val="center"/>
            <w:hideMark/>
          </w:tcPr>
          <w:p w14:paraId="4ADF1DB9" w14:textId="77777777" w:rsidR="00F560FD" w:rsidRPr="00880BCA" w:rsidRDefault="00F560FD" w:rsidP="006A0658">
            <w:pPr>
              <w:spacing w:before="40" w:after="40" w:line="240" w:lineRule="auto"/>
              <w:rPr>
                <w:rFonts w:ascii="Century Gothic" w:eastAsia="Times New Roman" w:hAnsi="Century Gothic" w:cs="Calibri"/>
                <w:color w:val="000000"/>
                <w:sz w:val="17"/>
                <w:szCs w:val="17"/>
                <w:lang w:eastAsia="es-MX"/>
              </w:rPr>
            </w:pPr>
          </w:p>
        </w:tc>
        <w:tc>
          <w:tcPr>
            <w:tcW w:w="207" w:type="pct"/>
            <w:vMerge/>
            <w:tcBorders>
              <w:top w:val="nil"/>
              <w:left w:val="single" w:sz="8" w:space="0" w:color="FFFFFF"/>
              <w:bottom w:val="single" w:sz="8" w:space="0" w:color="FFFFFF"/>
              <w:right w:val="single" w:sz="8" w:space="0" w:color="FFFFFF"/>
            </w:tcBorders>
            <w:vAlign w:val="center"/>
            <w:hideMark/>
          </w:tcPr>
          <w:p w14:paraId="6C842543" w14:textId="77777777" w:rsidR="00F560FD" w:rsidRPr="00880BCA" w:rsidRDefault="00F560FD" w:rsidP="006A0658">
            <w:pPr>
              <w:spacing w:before="40" w:after="40" w:line="240" w:lineRule="auto"/>
              <w:rPr>
                <w:rFonts w:ascii="Century Gothic" w:eastAsia="Times New Roman" w:hAnsi="Century Gothic" w:cs="Calibri"/>
                <w:color w:val="000000"/>
                <w:sz w:val="17"/>
                <w:szCs w:val="17"/>
                <w:lang w:eastAsia="es-MX"/>
              </w:rPr>
            </w:pPr>
          </w:p>
        </w:tc>
        <w:tc>
          <w:tcPr>
            <w:tcW w:w="309" w:type="pct"/>
            <w:vMerge/>
            <w:tcBorders>
              <w:top w:val="nil"/>
              <w:left w:val="single" w:sz="8" w:space="0" w:color="FFFFFF"/>
              <w:bottom w:val="single" w:sz="8" w:space="0" w:color="FFFFFF"/>
              <w:right w:val="single" w:sz="8" w:space="0" w:color="FFFFFF"/>
            </w:tcBorders>
            <w:vAlign w:val="center"/>
            <w:hideMark/>
          </w:tcPr>
          <w:p w14:paraId="24965A20" w14:textId="77777777" w:rsidR="00F560FD" w:rsidRPr="00880BCA" w:rsidRDefault="00F560FD" w:rsidP="006A0658">
            <w:pPr>
              <w:spacing w:before="40" w:after="40" w:line="240" w:lineRule="auto"/>
              <w:rPr>
                <w:rFonts w:ascii="Century Gothic" w:eastAsia="Times New Roman" w:hAnsi="Century Gothic" w:cs="Calibri"/>
                <w:color w:val="000000"/>
                <w:sz w:val="17"/>
                <w:szCs w:val="17"/>
                <w:lang w:eastAsia="es-MX"/>
              </w:rPr>
            </w:pPr>
          </w:p>
        </w:tc>
        <w:tc>
          <w:tcPr>
            <w:tcW w:w="223" w:type="pct"/>
            <w:vMerge/>
            <w:tcBorders>
              <w:top w:val="nil"/>
              <w:left w:val="single" w:sz="8" w:space="0" w:color="FFFFFF"/>
              <w:bottom w:val="single" w:sz="8" w:space="0" w:color="FFFFFF"/>
              <w:right w:val="single" w:sz="8" w:space="0" w:color="FFFFFF"/>
            </w:tcBorders>
            <w:vAlign w:val="center"/>
            <w:hideMark/>
          </w:tcPr>
          <w:p w14:paraId="370C4EEC" w14:textId="77777777" w:rsidR="00F560FD" w:rsidRPr="00880BCA" w:rsidRDefault="00F560FD" w:rsidP="006A0658">
            <w:pPr>
              <w:spacing w:before="40" w:after="40" w:line="240" w:lineRule="auto"/>
              <w:rPr>
                <w:rFonts w:ascii="Century Gothic" w:eastAsia="Times New Roman" w:hAnsi="Century Gothic" w:cs="Calibri"/>
                <w:color w:val="000000"/>
                <w:sz w:val="17"/>
                <w:szCs w:val="17"/>
                <w:lang w:eastAsia="es-MX"/>
              </w:rPr>
            </w:pPr>
          </w:p>
        </w:tc>
        <w:tc>
          <w:tcPr>
            <w:tcW w:w="444" w:type="pct"/>
            <w:tcBorders>
              <w:top w:val="nil"/>
              <w:left w:val="nil"/>
              <w:bottom w:val="single" w:sz="8" w:space="0" w:color="FFFFFF"/>
              <w:right w:val="single" w:sz="8" w:space="0" w:color="FFFFFF"/>
            </w:tcBorders>
            <w:shd w:val="clear" w:color="000000" w:fill="FFE599"/>
            <w:vAlign w:val="center"/>
            <w:hideMark/>
          </w:tcPr>
          <w:p w14:paraId="6E3C90A5" w14:textId="77777777" w:rsidR="00F560FD" w:rsidRPr="00880BCA" w:rsidRDefault="00F560FD" w:rsidP="006A0658">
            <w:pPr>
              <w:spacing w:before="40" w:after="40" w:line="240" w:lineRule="auto"/>
              <w:jc w:val="center"/>
              <w:rPr>
                <w:rFonts w:ascii="Century Gothic" w:eastAsia="Times New Roman" w:hAnsi="Century Gothic" w:cs="Calibri"/>
                <w:color w:val="000000"/>
                <w:sz w:val="17"/>
                <w:szCs w:val="17"/>
                <w:lang w:eastAsia="es-MX"/>
              </w:rPr>
            </w:pPr>
            <w:r>
              <w:rPr>
                <w:rFonts w:ascii="Century Gothic" w:hAnsi="Century Gothic" w:cs="Calibri"/>
                <w:color w:val="000000"/>
                <w:sz w:val="17"/>
                <w:szCs w:val="17"/>
              </w:rPr>
              <w:t>(0 anual) /</w:t>
            </w:r>
            <w:r>
              <w:rPr>
                <w:rFonts w:ascii="Century Gothic" w:hAnsi="Century Gothic" w:cs="Calibri"/>
                <w:color w:val="000000"/>
                <w:sz w:val="17"/>
                <w:szCs w:val="17"/>
                <w:vertAlign w:val="superscript"/>
              </w:rPr>
              <w:t>a</w:t>
            </w:r>
          </w:p>
        </w:tc>
        <w:tc>
          <w:tcPr>
            <w:tcW w:w="247" w:type="pct"/>
            <w:vMerge/>
            <w:tcBorders>
              <w:top w:val="nil"/>
              <w:left w:val="single" w:sz="8" w:space="0" w:color="FFFFFF"/>
              <w:bottom w:val="single" w:sz="8" w:space="0" w:color="FFFFFF"/>
              <w:right w:val="single" w:sz="8" w:space="0" w:color="FFFFFF"/>
            </w:tcBorders>
            <w:vAlign w:val="center"/>
            <w:hideMark/>
          </w:tcPr>
          <w:p w14:paraId="2485ECC6" w14:textId="77777777" w:rsidR="00F560FD" w:rsidRPr="00880BCA" w:rsidRDefault="00F560FD" w:rsidP="006A0658">
            <w:pPr>
              <w:spacing w:before="40" w:after="40" w:line="240" w:lineRule="auto"/>
              <w:rPr>
                <w:rFonts w:ascii="Century Gothic" w:eastAsia="Times New Roman" w:hAnsi="Century Gothic" w:cs="Calibri"/>
                <w:color w:val="000000"/>
                <w:sz w:val="17"/>
                <w:szCs w:val="17"/>
                <w:lang w:eastAsia="es-MX"/>
              </w:rPr>
            </w:pPr>
          </w:p>
        </w:tc>
        <w:tc>
          <w:tcPr>
            <w:tcW w:w="207" w:type="pct"/>
            <w:vMerge/>
            <w:tcBorders>
              <w:top w:val="nil"/>
              <w:left w:val="single" w:sz="8" w:space="0" w:color="FFFFFF"/>
              <w:bottom w:val="single" w:sz="8" w:space="0" w:color="FFFFFF"/>
              <w:right w:val="single" w:sz="8" w:space="0" w:color="FFFFFF"/>
            </w:tcBorders>
            <w:vAlign w:val="center"/>
            <w:hideMark/>
          </w:tcPr>
          <w:p w14:paraId="40D931E2" w14:textId="77777777" w:rsidR="00F560FD" w:rsidRPr="00880BCA" w:rsidRDefault="00F560FD" w:rsidP="006A0658">
            <w:pPr>
              <w:spacing w:before="40" w:after="40" w:line="240" w:lineRule="auto"/>
              <w:rPr>
                <w:rFonts w:ascii="Century Gothic" w:eastAsia="Times New Roman" w:hAnsi="Century Gothic" w:cs="Calibri"/>
                <w:color w:val="000000"/>
                <w:sz w:val="17"/>
                <w:szCs w:val="17"/>
                <w:lang w:eastAsia="es-MX"/>
              </w:rPr>
            </w:pPr>
          </w:p>
        </w:tc>
        <w:tc>
          <w:tcPr>
            <w:tcW w:w="472" w:type="pct"/>
            <w:tcBorders>
              <w:top w:val="nil"/>
              <w:left w:val="nil"/>
              <w:bottom w:val="single" w:sz="8" w:space="0" w:color="FFFFFF"/>
              <w:right w:val="single" w:sz="8" w:space="0" w:color="FFFFFF"/>
            </w:tcBorders>
            <w:shd w:val="clear" w:color="000000" w:fill="FFE599"/>
            <w:vAlign w:val="center"/>
            <w:hideMark/>
          </w:tcPr>
          <w:p w14:paraId="675B8FA7" w14:textId="77777777" w:rsidR="00F560FD" w:rsidRPr="00880BCA" w:rsidRDefault="00F560FD" w:rsidP="006A0658">
            <w:pPr>
              <w:spacing w:before="40" w:after="40" w:line="240" w:lineRule="auto"/>
              <w:jc w:val="center"/>
              <w:rPr>
                <w:rFonts w:ascii="Century Gothic" w:eastAsia="Times New Roman" w:hAnsi="Century Gothic" w:cs="Calibri"/>
                <w:color w:val="000000"/>
                <w:sz w:val="17"/>
                <w:szCs w:val="17"/>
                <w:lang w:eastAsia="es-MX"/>
              </w:rPr>
            </w:pPr>
            <w:r>
              <w:rPr>
                <w:rFonts w:ascii="Century Gothic" w:hAnsi="Century Gothic" w:cs="Calibri"/>
                <w:color w:val="000000"/>
                <w:sz w:val="17"/>
                <w:szCs w:val="17"/>
              </w:rPr>
              <w:t>(0 anual) /</w:t>
            </w:r>
            <w:r>
              <w:rPr>
                <w:rFonts w:ascii="Century Gothic" w:hAnsi="Century Gothic" w:cs="Calibri"/>
                <w:color w:val="000000"/>
                <w:sz w:val="17"/>
                <w:szCs w:val="17"/>
                <w:vertAlign w:val="superscript"/>
              </w:rPr>
              <w:t>a</w:t>
            </w:r>
          </w:p>
        </w:tc>
        <w:tc>
          <w:tcPr>
            <w:tcW w:w="233" w:type="pct"/>
            <w:vMerge/>
            <w:tcBorders>
              <w:top w:val="nil"/>
              <w:left w:val="single" w:sz="8" w:space="0" w:color="FFFFFF"/>
              <w:bottom w:val="single" w:sz="8" w:space="0" w:color="FFFFFF"/>
              <w:right w:val="single" w:sz="8" w:space="0" w:color="FFFFFF"/>
            </w:tcBorders>
            <w:vAlign w:val="center"/>
            <w:hideMark/>
          </w:tcPr>
          <w:p w14:paraId="3EA2F0BB" w14:textId="77777777" w:rsidR="00F560FD" w:rsidRPr="00880BCA" w:rsidRDefault="00F560FD" w:rsidP="006A0658">
            <w:pPr>
              <w:spacing w:before="40" w:after="40" w:line="240" w:lineRule="auto"/>
              <w:rPr>
                <w:rFonts w:ascii="Century Gothic" w:eastAsia="Times New Roman" w:hAnsi="Century Gothic" w:cs="Calibri"/>
                <w:color w:val="000000"/>
                <w:sz w:val="17"/>
                <w:szCs w:val="17"/>
                <w:lang w:eastAsia="es-MX"/>
              </w:rPr>
            </w:pPr>
          </w:p>
        </w:tc>
      </w:tr>
      <w:tr w:rsidR="00F560FD" w:rsidRPr="00880BCA" w14:paraId="76F524E4" w14:textId="77777777" w:rsidTr="006A0658">
        <w:trPr>
          <w:trHeight w:val="189"/>
          <w:jc w:val="center"/>
        </w:trPr>
        <w:tc>
          <w:tcPr>
            <w:tcW w:w="2067" w:type="pct"/>
            <w:tcBorders>
              <w:top w:val="nil"/>
              <w:left w:val="nil"/>
              <w:bottom w:val="single" w:sz="8" w:space="0" w:color="FFFFFF"/>
              <w:right w:val="single" w:sz="8" w:space="0" w:color="FFFFFF"/>
            </w:tcBorders>
            <w:shd w:val="clear" w:color="000000" w:fill="D9D9D9"/>
            <w:vAlign w:val="center"/>
            <w:hideMark/>
          </w:tcPr>
          <w:p w14:paraId="1116E94E" w14:textId="77777777" w:rsidR="00F560FD" w:rsidRPr="00880BCA" w:rsidRDefault="00F560FD" w:rsidP="006A0658">
            <w:pPr>
              <w:spacing w:before="40" w:after="40" w:line="240" w:lineRule="auto"/>
              <w:rPr>
                <w:rFonts w:ascii="Century Gothic" w:eastAsia="Times New Roman" w:hAnsi="Century Gothic" w:cs="Calibri"/>
                <w:color w:val="000000"/>
                <w:sz w:val="17"/>
                <w:szCs w:val="17"/>
                <w:lang w:eastAsia="es-MX"/>
              </w:rPr>
            </w:pPr>
            <w:r w:rsidRPr="00880BCA">
              <w:rPr>
                <w:rFonts w:ascii="Century Gothic" w:eastAsia="Times New Roman" w:hAnsi="Century Gothic" w:cs="Calibri"/>
                <w:color w:val="000000"/>
                <w:sz w:val="17"/>
                <w:szCs w:val="17"/>
                <w:lang w:eastAsia="es-MX"/>
              </w:rPr>
              <w:t>Estadísticas de Defunciones Registrados</w:t>
            </w:r>
          </w:p>
        </w:tc>
        <w:tc>
          <w:tcPr>
            <w:tcW w:w="345" w:type="pct"/>
            <w:tcBorders>
              <w:top w:val="nil"/>
              <w:left w:val="nil"/>
              <w:bottom w:val="single" w:sz="8" w:space="0" w:color="FFFFFF"/>
              <w:right w:val="single" w:sz="8" w:space="0" w:color="FFFFFF"/>
            </w:tcBorders>
            <w:shd w:val="clear" w:color="000000" w:fill="D9D9D9"/>
            <w:vAlign w:val="center"/>
            <w:hideMark/>
          </w:tcPr>
          <w:p w14:paraId="37011C38" w14:textId="77777777" w:rsidR="00F560FD" w:rsidRPr="00880BCA" w:rsidRDefault="00F560FD" w:rsidP="006A0658">
            <w:pPr>
              <w:spacing w:before="40" w:after="40" w:line="240" w:lineRule="auto"/>
              <w:rPr>
                <w:rFonts w:ascii="Century Gothic" w:eastAsia="Times New Roman" w:hAnsi="Century Gothic" w:cs="Calibri"/>
                <w:color w:val="000000"/>
                <w:sz w:val="17"/>
                <w:szCs w:val="17"/>
                <w:lang w:eastAsia="es-MX"/>
              </w:rPr>
            </w:pPr>
            <w:r w:rsidRPr="00880BCA">
              <w:rPr>
                <w:rFonts w:ascii="Century Gothic" w:eastAsia="Times New Roman" w:hAnsi="Century Gothic" w:cs="Calibri"/>
                <w:color w:val="000000"/>
                <w:sz w:val="17"/>
                <w:szCs w:val="17"/>
                <w:lang w:eastAsia="es-MX"/>
              </w:rPr>
              <w:t>EDR</w:t>
            </w:r>
          </w:p>
        </w:tc>
        <w:tc>
          <w:tcPr>
            <w:tcW w:w="247" w:type="pct"/>
            <w:tcBorders>
              <w:top w:val="nil"/>
              <w:left w:val="nil"/>
              <w:bottom w:val="single" w:sz="8" w:space="0" w:color="FFFFFF"/>
              <w:right w:val="single" w:sz="8" w:space="0" w:color="FFFFFF"/>
            </w:tcBorders>
            <w:shd w:val="clear" w:color="000000" w:fill="D9D9D9"/>
            <w:vAlign w:val="center"/>
            <w:hideMark/>
          </w:tcPr>
          <w:p w14:paraId="40A463BD" w14:textId="77777777" w:rsidR="00F560FD" w:rsidRPr="00880BCA" w:rsidRDefault="00F560FD" w:rsidP="006A0658">
            <w:pPr>
              <w:spacing w:before="40" w:after="40" w:line="240" w:lineRule="auto"/>
              <w:jc w:val="center"/>
              <w:rPr>
                <w:rFonts w:ascii="Century Gothic" w:eastAsia="Times New Roman" w:hAnsi="Century Gothic" w:cs="Calibri"/>
                <w:color w:val="000000"/>
                <w:sz w:val="17"/>
                <w:szCs w:val="17"/>
                <w:lang w:eastAsia="es-MX"/>
              </w:rPr>
            </w:pPr>
            <w:r w:rsidRPr="00880BCA">
              <w:rPr>
                <w:rFonts w:ascii="Century Gothic" w:eastAsia="Times New Roman" w:hAnsi="Century Gothic" w:cs="Calibri"/>
                <w:color w:val="000000"/>
                <w:sz w:val="17"/>
                <w:szCs w:val="17"/>
                <w:lang w:eastAsia="es-MX"/>
              </w:rPr>
              <w:t>39</w:t>
            </w:r>
          </w:p>
        </w:tc>
        <w:tc>
          <w:tcPr>
            <w:tcW w:w="207" w:type="pct"/>
            <w:tcBorders>
              <w:top w:val="nil"/>
              <w:left w:val="nil"/>
              <w:bottom w:val="single" w:sz="8" w:space="0" w:color="FFFFFF"/>
              <w:right w:val="single" w:sz="8" w:space="0" w:color="FFFFFF"/>
            </w:tcBorders>
            <w:shd w:val="clear" w:color="000000" w:fill="D9D9D9"/>
            <w:vAlign w:val="center"/>
            <w:hideMark/>
          </w:tcPr>
          <w:p w14:paraId="7D9329DD" w14:textId="77777777" w:rsidR="00F560FD" w:rsidRPr="00880BCA" w:rsidRDefault="00F560FD" w:rsidP="006A0658">
            <w:pPr>
              <w:spacing w:before="40" w:after="40" w:line="240" w:lineRule="auto"/>
              <w:jc w:val="center"/>
              <w:rPr>
                <w:rFonts w:ascii="Century Gothic" w:eastAsia="Times New Roman" w:hAnsi="Century Gothic" w:cs="Calibri"/>
                <w:color w:val="000000"/>
                <w:sz w:val="17"/>
                <w:szCs w:val="17"/>
                <w:lang w:eastAsia="es-MX"/>
              </w:rPr>
            </w:pPr>
            <w:r w:rsidRPr="00880BCA">
              <w:rPr>
                <w:rFonts w:ascii="Century Gothic" w:eastAsia="Times New Roman" w:hAnsi="Century Gothic" w:cs="Calibri"/>
                <w:color w:val="000000"/>
                <w:sz w:val="17"/>
                <w:szCs w:val="17"/>
                <w:lang w:eastAsia="es-MX"/>
              </w:rPr>
              <w:t>39</w:t>
            </w:r>
          </w:p>
        </w:tc>
        <w:tc>
          <w:tcPr>
            <w:tcW w:w="309" w:type="pct"/>
            <w:tcBorders>
              <w:top w:val="nil"/>
              <w:left w:val="nil"/>
              <w:bottom w:val="single" w:sz="8" w:space="0" w:color="FFFFFF"/>
              <w:right w:val="single" w:sz="8" w:space="0" w:color="FFFFFF"/>
            </w:tcBorders>
            <w:shd w:val="clear" w:color="000000" w:fill="D9D9D9"/>
            <w:vAlign w:val="center"/>
            <w:hideMark/>
          </w:tcPr>
          <w:p w14:paraId="11BA0C2F" w14:textId="77777777" w:rsidR="00F560FD" w:rsidRPr="00880BCA" w:rsidRDefault="00F560FD" w:rsidP="006A0658">
            <w:pPr>
              <w:spacing w:before="40" w:after="40" w:line="240" w:lineRule="auto"/>
              <w:jc w:val="center"/>
              <w:rPr>
                <w:rFonts w:ascii="Century Gothic" w:eastAsia="Times New Roman" w:hAnsi="Century Gothic" w:cs="Calibri"/>
                <w:color w:val="000000"/>
                <w:sz w:val="17"/>
                <w:szCs w:val="17"/>
                <w:lang w:eastAsia="es-MX"/>
              </w:rPr>
            </w:pPr>
            <w:r w:rsidRPr="00880BCA">
              <w:rPr>
                <w:rFonts w:ascii="Century Gothic" w:eastAsia="Times New Roman" w:hAnsi="Century Gothic" w:cs="Calibri"/>
                <w:color w:val="000000"/>
                <w:sz w:val="17"/>
                <w:szCs w:val="17"/>
                <w:lang w:eastAsia="es-MX"/>
              </w:rPr>
              <w:t>39</w:t>
            </w:r>
          </w:p>
        </w:tc>
        <w:tc>
          <w:tcPr>
            <w:tcW w:w="223" w:type="pct"/>
            <w:tcBorders>
              <w:top w:val="nil"/>
              <w:left w:val="nil"/>
              <w:bottom w:val="single" w:sz="8" w:space="0" w:color="FFFFFF"/>
              <w:right w:val="single" w:sz="8" w:space="0" w:color="FFFFFF"/>
            </w:tcBorders>
            <w:shd w:val="clear" w:color="000000" w:fill="FFE599"/>
            <w:vAlign w:val="center"/>
            <w:hideMark/>
          </w:tcPr>
          <w:p w14:paraId="29721528" w14:textId="77777777" w:rsidR="00F560FD" w:rsidRPr="00880BCA" w:rsidRDefault="00F560FD" w:rsidP="006A0658">
            <w:pPr>
              <w:spacing w:before="40" w:after="40" w:line="240" w:lineRule="auto"/>
              <w:jc w:val="center"/>
              <w:rPr>
                <w:rFonts w:ascii="Century Gothic" w:eastAsia="Times New Roman" w:hAnsi="Century Gothic" w:cs="Calibri"/>
                <w:color w:val="000000"/>
                <w:sz w:val="17"/>
                <w:szCs w:val="17"/>
                <w:lang w:eastAsia="es-MX"/>
              </w:rPr>
            </w:pPr>
            <w:r>
              <w:rPr>
                <w:rFonts w:ascii="Century Gothic" w:hAnsi="Century Gothic" w:cs="Calibri"/>
                <w:color w:val="000000"/>
                <w:sz w:val="17"/>
                <w:szCs w:val="17"/>
              </w:rPr>
              <w:t>4</w:t>
            </w:r>
          </w:p>
        </w:tc>
        <w:tc>
          <w:tcPr>
            <w:tcW w:w="444" w:type="pct"/>
            <w:tcBorders>
              <w:top w:val="nil"/>
              <w:left w:val="nil"/>
              <w:bottom w:val="single" w:sz="8" w:space="0" w:color="FFFFFF"/>
              <w:right w:val="single" w:sz="8" w:space="0" w:color="FFFFFF"/>
            </w:tcBorders>
            <w:shd w:val="clear" w:color="000000" w:fill="FFE599"/>
            <w:vAlign w:val="center"/>
            <w:hideMark/>
          </w:tcPr>
          <w:p w14:paraId="18A26E35" w14:textId="77777777" w:rsidR="00F560FD" w:rsidRPr="00880BCA" w:rsidRDefault="00F560FD" w:rsidP="006A0658">
            <w:pPr>
              <w:spacing w:before="40" w:after="40" w:line="240" w:lineRule="auto"/>
              <w:jc w:val="center"/>
              <w:rPr>
                <w:rFonts w:ascii="Century Gothic" w:eastAsia="Times New Roman" w:hAnsi="Century Gothic" w:cs="Calibri"/>
                <w:color w:val="000000"/>
                <w:sz w:val="17"/>
                <w:szCs w:val="17"/>
                <w:lang w:eastAsia="es-MX"/>
              </w:rPr>
            </w:pPr>
            <w:r>
              <w:rPr>
                <w:rFonts w:ascii="Century Gothic" w:hAnsi="Century Gothic" w:cs="Calibri"/>
                <w:color w:val="000000"/>
                <w:sz w:val="17"/>
                <w:szCs w:val="17"/>
              </w:rPr>
              <w:t>6</w:t>
            </w:r>
          </w:p>
        </w:tc>
        <w:tc>
          <w:tcPr>
            <w:tcW w:w="247" w:type="pct"/>
            <w:tcBorders>
              <w:top w:val="nil"/>
              <w:left w:val="nil"/>
              <w:bottom w:val="single" w:sz="8" w:space="0" w:color="FFFFFF"/>
              <w:right w:val="single" w:sz="8" w:space="0" w:color="FFFFFF"/>
            </w:tcBorders>
            <w:shd w:val="clear" w:color="000000" w:fill="FFE599"/>
            <w:vAlign w:val="center"/>
            <w:hideMark/>
          </w:tcPr>
          <w:p w14:paraId="2A6AB674" w14:textId="77777777" w:rsidR="00F560FD" w:rsidRPr="00880BCA" w:rsidRDefault="00F560FD" w:rsidP="006A0658">
            <w:pPr>
              <w:spacing w:before="40" w:after="40" w:line="240" w:lineRule="auto"/>
              <w:jc w:val="center"/>
              <w:rPr>
                <w:rFonts w:ascii="Century Gothic" w:eastAsia="Times New Roman" w:hAnsi="Century Gothic" w:cs="Calibri"/>
                <w:b/>
                <w:bCs/>
                <w:color w:val="548235"/>
                <w:sz w:val="17"/>
                <w:szCs w:val="17"/>
                <w:lang w:eastAsia="es-MX"/>
              </w:rPr>
            </w:pPr>
            <w:r>
              <w:rPr>
                <w:rFonts w:ascii="Century Gothic" w:hAnsi="Century Gothic" w:cs="Calibri"/>
                <w:b/>
                <w:bCs/>
                <w:color w:val="548235"/>
                <w:sz w:val="17"/>
                <w:szCs w:val="17"/>
              </w:rPr>
              <w:t>3</w:t>
            </w:r>
          </w:p>
        </w:tc>
        <w:tc>
          <w:tcPr>
            <w:tcW w:w="207" w:type="pct"/>
            <w:tcBorders>
              <w:top w:val="nil"/>
              <w:left w:val="nil"/>
              <w:bottom w:val="single" w:sz="8" w:space="0" w:color="FFFFFF"/>
              <w:right w:val="single" w:sz="8" w:space="0" w:color="FFFFFF"/>
            </w:tcBorders>
            <w:shd w:val="clear" w:color="000000" w:fill="FFE599"/>
            <w:vAlign w:val="center"/>
            <w:hideMark/>
          </w:tcPr>
          <w:p w14:paraId="5AE659C1" w14:textId="77777777" w:rsidR="00F560FD" w:rsidRPr="00880BCA" w:rsidRDefault="00F560FD" w:rsidP="006A0658">
            <w:pPr>
              <w:spacing w:before="40" w:after="40" w:line="240" w:lineRule="auto"/>
              <w:jc w:val="center"/>
              <w:rPr>
                <w:rFonts w:ascii="Century Gothic" w:eastAsia="Times New Roman" w:hAnsi="Century Gothic" w:cs="Calibri"/>
                <w:color w:val="000000"/>
                <w:sz w:val="17"/>
                <w:szCs w:val="17"/>
                <w:lang w:eastAsia="es-MX"/>
              </w:rPr>
            </w:pPr>
            <w:r>
              <w:rPr>
                <w:rFonts w:ascii="Century Gothic" w:hAnsi="Century Gothic" w:cs="Calibri"/>
                <w:color w:val="000000"/>
                <w:sz w:val="17"/>
                <w:szCs w:val="17"/>
              </w:rPr>
              <w:t>13</w:t>
            </w:r>
          </w:p>
        </w:tc>
        <w:tc>
          <w:tcPr>
            <w:tcW w:w="472" w:type="pct"/>
            <w:tcBorders>
              <w:top w:val="nil"/>
              <w:left w:val="nil"/>
              <w:bottom w:val="single" w:sz="8" w:space="0" w:color="FFFFFF"/>
              <w:right w:val="single" w:sz="8" w:space="0" w:color="FFFFFF"/>
            </w:tcBorders>
            <w:shd w:val="clear" w:color="000000" w:fill="FFE599"/>
            <w:vAlign w:val="center"/>
            <w:hideMark/>
          </w:tcPr>
          <w:p w14:paraId="520E243E" w14:textId="77777777" w:rsidR="00F560FD" w:rsidRPr="00880BCA" w:rsidRDefault="00F560FD" w:rsidP="006A0658">
            <w:pPr>
              <w:spacing w:before="40" w:after="40" w:line="240" w:lineRule="auto"/>
              <w:jc w:val="center"/>
              <w:rPr>
                <w:rFonts w:ascii="Century Gothic" w:eastAsia="Times New Roman" w:hAnsi="Century Gothic" w:cs="Calibri"/>
                <w:color w:val="000000"/>
                <w:sz w:val="17"/>
                <w:szCs w:val="17"/>
                <w:lang w:eastAsia="es-MX"/>
              </w:rPr>
            </w:pPr>
            <w:r>
              <w:rPr>
                <w:rFonts w:ascii="Century Gothic" w:hAnsi="Century Gothic" w:cs="Calibri"/>
                <w:color w:val="000000"/>
                <w:sz w:val="17"/>
                <w:szCs w:val="17"/>
              </w:rPr>
              <w:t>100</w:t>
            </w:r>
          </w:p>
        </w:tc>
        <w:tc>
          <w:tcPr>
            <w:tcW w:w="233" w:type="pct"/>
            <w:tcBorders>
              <w:top w:val="nil"/>
              <w:left w:val="nil"/>
              <w:bottom w:val="single" w:sz="8" w:space="0" w:color="FFFFFF"/>
              <w:right w:val="single" w:sz="8" w:space="0" w:color="FFFFFF"/>
            </w:tcBorders>
            <w:shd w:val="clear" w:color="000000" w:fill="FFE599"/>
            <w:vAlign w:val="center"/>
            <w:hideMark/>
          </w:tcPr>
          <w:p w14:paraId="03914448" w14:textId="77777777" w:rsidR="00F560FD" w:rsidRPr="00880BCA" w:rsidRDefault="00F560FD" w:rsidP="006A0658">
            <w:pPr>
              <w:spacing w:before="40" w:after="40" w:line="240" w:lineRule="auto"/>
              <w:jc w:val="center"/>
              <w:rPr>
                <w:rFonts w:ascii="Century Gothic" w:eastAsia="Times New Roman" w:hAnsi="Century Gothic" w:cs="Calibri"/>
                <w:color w:val="000000"/>
                <w:sz w:val="17"/>
                <w:szCs w:val="17"/>
                <w:lang w:eastAsia="es-MX"/>
              </w:rPr>
            </w:pPr>
            <w:r>
              <w:rPr>
                <w:rFonts w:ascii="Century Gothic" w:hAnsi="Century Gothic" w:cs="Calibri"/>
                <w:color w:val="000000"/>
                <w:sz w:val="17"/>
                <w:szCs w:val="17"/>
              </w:rPr>
              <w:t>38</w:t>
            </w:r>
          </w:p>
        </w:tc>
      </w:tr>
      <w:tr w:rsidR="00F560FD" w:rsidRPr="00880BCA" w14:paraId="74AF3977" w14:textId="77777777" w:rsidTr="006A0658">
        <w:trPr>
          <w:trHeight w:val="164"/>
          <w:jc w:val="center"/>
        </w:trPr>
        <w:tc>
          <w:tcPr>
            <w:tcW w:w="2067" w:type="pct"/>
            <w:tcBorders>
              <w:top w:val="nil"/>
              <w:left w:val="nil"/>
              <w:bottom w:val="single" w:sz="8" w:space="0" w:color="FFFFFF"/>
              <w:right w:val="single" w:sz="8" w:space="0" w:color="FFFFFF"/>
            </w:tcBorders>
            <w:shd w:val="clear" w:color="000000" w:fill="F2F2F2"/>
            <w:vAlign w:val="center"/>
            <w:hideMark/>
          </w:tcPr>
          <w:p w14:paraId="35953B82" w14:textId="77777777" w:rsidR="00F560FD" w:rsidRPr="00880BCA" w:rsidRDefault="00F560FD" w:rsidP="006A0658">
            <w:pPr>
              <w:spacing w:before="40" w:after="40" w:line="240" w:lineRule="auto"/>
              <w:rPr>
                <w:rFonts w:ascii="Century Gothic" w:eastAsia="Times New Roman" w:hAnsi="Century Gothic" w:cs="Calibri"/>
                <w:color w:val="000000"/>
                <w:sz w:val="17"/>
                <w:szCs w:val="17"/>
                <w:lang w:eastAsia="es-MX"/>
              </w:rPr>
            </w:pPr>
            <w:r w:rsidRPr="00880BCA">
              <w:rPr>
                <w:rFonts w:ascii="Century Gothic" w:eastAsia="Times New Roman" w:hAnsi="Century Gothic" w:cs="Calibri"/>
                <w:color w:val="000000"/>
                <w:sz w:val="17"/>
                <w:szCs w:val="17"/>
                <w:lang w:eastAsia="es-MX"/>
              </w:rPr>
              <w:t>Estadísticas de Defunciones Fetales</w:t>
            </w:r>
          </w:p>
        </w:tc>
        <w:tc>
          <w:tcPr>
            <w:tcW w:w="345" w:type="pct"/>
            <w:tcBorders>
              <w:top w:val="nil"/>
              <w:left w:val="nil"/>
              <w:bottom w:val="single" w:sz="8" w:space="0" w:color="FFFFFF"/>
              <w:right w:val="single" w:sz="8" w:space="0" w:color="FFFFFF"/>
            </w:tcBorders>
            <w:shd w:val="clear" w:color="000000" w:fill="F2F2F2"/>
            <w:vAlign w:val="center"/>
            <w:hideMark/>
          </w:tcPr>
          <w:p w14:paraId="3918CDA8" w14:textId="77777777" w:rsidR="00F560FD" w:rsidRPr="00880BCA" w:rsidRDefault="00F560FD" w:rsidP="006A0658">
            <w:pPr>
              <w:spacing w:before="40" w:after="40" w:line="240" w:lineRule="auto"/>
              <w:rPr>
                <w:rFonts w:ascii="Century Gothic" w:eastAsia="Times New Roman" w:hAnsi="Century Gothic" w:cs="Calibri"/>
                <w:color w:val="000000"/>
                <w:sz w:val="17"/>
                <w:szCs w:val="17"/>
                <w:lang w:eastAsia="es-MX"/>
              </w:rPr>
            </w:pPr>
            <w:r w:rsidRPr="00880BCA">
              <w:rPr>
                <w:rFonts w:ascii="Century Gothic" w:eastAsia="Times New Roman" w:hAnsi="Century Gothic" w:cs="Calibri"/>
                <w:color w:val="000000"/>
                <w:sz w:val="17"/>
                <w:szCs w:val="17"/>
                <w:lang w:eastAsia="es-MX"/>
              </w:rPr>
              <w:t>EDF</w:t>
            </w:r>
          </w:p>
        </w:tc>
        <w:tc>
          <w:tcPr>
            <w:tcW w:w="247" w:type="pct"/>
            <w:tcBorders>
              <w:top w:val="nil"/>
              <w:left w:val="nil"/>
              <w:bottom w:val="single" w:sz="8" w:space="0" w:color="FFFFFF"/>
              <w:right w:val="single" w:sz="8" w:space="0" w:color="FFFFFF"/>
            </w:tcBorders>
            <w:shd w:val="clear" w:color="000000" w:fill="F2F2F2"/>
            <w:vAlign w:val="center"/>
            <w:hideMark/>
          </w:tcPr>
          <w:p w14:paraId="0796814C" w14:textId="77777777" w:rsidR="00F560FD" w:rsidRPr="00880BCA" w:rsidRDefault="00F560FD" w:rsidP="006A0658">
            <w:pPr>
              <w:spacing w:before="40" w:after="40" w:line="240" w:lineRule="auto"/>
              <w:jc w:val="center"/>
              <w:rPr>
                <w:rFonts w:ascii="Century Gothic" w:eastAsia="Times New Roman" w:hAnsi="Century Gothic" w:cs="Calibri"/>
                <w:color w:val="000000"/>
                <w:sz w:val="17"/>
                <w:szCs w:val="17"/>
                <w:lang w:eastAsia="es-MX"/>
              </w:rPr>
            </w:pPr>
            <w:r w:rsidRPr="00880BCA">
              <w:rPr>
                <w:rFonts w:ascii="Century Gothic" w:eastAsia="Times New Roman" w:hAnsi="Century Gothic" w:cs="Calibri"/>
                <w:color w:val="000000"/>
                <w:sz w:val="17"/>
                <w:szCs w:val="17"/>
                <w:lang w:eastAsia="es-MX"/>
              </w:rPr>
              <w:t>45</w:t>
            </w:r>
          </w:p>
        </w:tc>
        <w:tc>
          <w:tcPr>
            <w:tcW w:w="207" w:type="pct"/>
            <w:tcBorders>
              <w:top w:val="nil"/>
              <w:left w:val="nil"/>
              <w:bottom w:val="single" w:sz="8" w:space="0" w:color="FFFFFF"/>
              <w:right w:val="single" w:sz="8" w:space="0" w:color="FFFFFF"/>
            </w:tcBorders>
            <w:shd w:val="clear" w:color="000000" w:fill="F2F2F2"/>
            <w:vAlign w:val="center"/>
            <w:hideMark/>
          </w:tcPr>
          <w:p w14:paraId="33EAFD3A" w14:textId="77777777" w:rsidR="00F560FD" w:rsidRPr="00880BCA" w:rsidRDefault="00F560FD" w:rsidP="006A0658">
            <w:pPr>
              <w:spacing w:before="40" w:after="40" w:line="240" w:lineRule="auto"/>
              <w:jc w:val="center"/>
              <w:rPr>
                <w:rFonts w:ascii="Century Gothic" w:eastAsia="Times New Roman" w:hAnsi="Century Gothic" w:cs="Calibri"/>
                <w:color w:val="000000"/>
                <w:sz w:val="17"/>
                <w:szCs w:val="17"/>
                <w:lang w:eastAsia="es-MX"/>
              </w:rPr>
            </w:pPr>
            <w:r w:rsidRPr="00880BCA">
              <w:rPr>
                <w:rFonts w:ascii="Century Gothic" w:eastAsia="Times New Roman" w:hAnsi="Century Gothic" w:cs="Calibri"/>
                <w:color w:val="000000"/>
                <w:sz w:val="17"/>
                <w:szCs w:val="17"/>
                <w:lang w:eastAsia="es-MX"/>
              </w:rPr>
              <w:t>-</w:t>
            </w:r>
          </w:p>
        </w:tc>
        <w:tc>
          <w:tcPr>
            <w:tcW w:w="309" w:type="pct"/>
            <w:tcBorders>
              <w:top w:val="nil"/>
              <w:left w:val="nil"/>
              <w:bottom w:val="single" w:sz="8" w:space="0" w:color="FFFFFF"/>
              <w:right w:val="single" w:sz="8" w:space="0" w:color="FFFFFF"/>
            </w:tcBorders>
            <w:shd w:val="clear" w:color="000000" w:fill="F2F2F2"/>
            <w:vAlign w:val="center"/>
            <w:hideMark/>
          </w:tcPr>
          <w:p w14:paraId="590171E3" w14:textId="77777777" w:rsidR="00F560FD" w:rsidRPr="00880BCA" w:rsidRDefault="00F560FD" w:rsidP="006A0658">
            <w:pPr>
              <w:spacing w:before="40" w:after="40" w:line="240" w:lineRule="auto"/>
              <w:jc w:val="center"/>
              <w:rPr>
                <w:rFonts w:ascii="Century Gothic" w:eastAsia="Times New Roman" w:hAnsi="Century Gothic" w:cs="Calibri"/>
                <w:color w:val="000000"/>
                <w:sz w:val="17"/>
                <w:szCs w:val="17"/>
                <w:lang w:eastAsia="es-MX"/>
              </w:rPr>
            </w:pPr>
            <w:r w:rsidRPr="00880BCA">
              <w:rPr>
                <w:rFonts w:ascii="Century Gothic" w:eastAsia="Times New Roman" w:hAnsi="Century Gothic" w:cs="Calibri"/>
                <w:color w:val="000000"/>
                <w:sz w:val="17"/>
                <w:szCs w:val="17"/>
                <w:lang w:eastAsia="es-MX"/>
              </w:rPr>
              <w:t>45</w:t>
            </w:r>
          </w:p>
        </w:tc>
        <w:tc>
          <w:tcPr>
            <w:tcW w:w="223" w:type="pct"/>
            <w:tcBorders>
              <w:top w:val="nil"/>
              <w:left w:val="nil"/>
              <w:bottom w:val="single" w:sz="8" w:space="0" w:color="FFFFFF"/>
              <w:right w:val="single" w:sz="8" w:space="0" w:color="FFFFFF"/>
            </w:tcBorders>
            <w:shd w:val="clear" w:color="000000" w:fill="FFF2CC"/>
            <w:vAlign w:val="center"/>
            <w:hideMark/>
          </w:tcPr>
          <w:p w14:paraId="277AE6CF" w14:textId="77777777" w:rsidR="00F560FD" w:rsidRPr="00880BCA" w:rsidRDefault="00F560FD" w:rsidP="006A0658">
            <w:pPr>
              <w:spacing w:before="40" w:after="40" w:line="240" w:lineRule="auto"/>
              <w:jc w:val="center"/>
              <w:rPr>
                <w:rFonts w:ascii="Century Gothic" w:eastAsia="Times New Roman" w:hAnsi="Century Gothic" w:cs="Calibri"/>
                <w:color w:val="000000"/>
                <w:sz w:val="17"/>
                <w:szCs w:val="17"/>
                <w:lang w:eastAsia="es-MX"/>
              </w:rPr>
            </w:pPr>
            <w:r>
              <w:rPr>
                <w:rFonts w:ascii="Century Gothic" w:hAnsi="Century Gothic" w:cs="Calibri"/>
                <w:color w:val="000000"/>
                <w:sz w:val="17"/>
                <w:szCs w:val="17"/>
              </w:rPr>
              <w:t>8</w:t>
            </w:r>
          </w:p>
        </w:tc>
        <w:tc>
          <w:tcPr>
            <w:tcW w:w="444" w:type="pct"/>
            <w:tcBorders>
              <w:top w:val="nil"/>
              <w:left w:val="nil"/>
              <w:bottom w:val="single" w:sz="8" w:space="0" w:color="FFFFFF"/>
              <w:right w:val="single" w:sz="8" w:space="0" w:color="FFFFFF"/>
            </w:tcBorders>
            <w:shd w:val="clear" w:color="000000" w:fill="FFF2CC"/>
            <w:vAlign w:val="center"/>
            <w:hideMark/>
          </w:tcPr>
          <w:p w14:paraId="30F568C5" w14:textId="77777777" w:rsidR="00F560FD" w:rsidRPr="00880BCA" w:rsidRDefault="00F560FD" w:rsidP="006A0658">
            <w:pPr>
              <w:spacing w:before="40" w:after="40" w:line="240" w:lineRule="auto"/>
              <w:jc w:val="center"/>
              <w:rPr>
                <w:rFonts w:ascii="Century Gothic" w:eastAsia="Times New Roman" w:hAnsi="Century Gothic" w:cs="Calibri"/>
                <w:color w:val="000000"/>
                <w:sz w:val="17"/>
                <w:szCs w:val="17"/>
                <w:lang w:eastAsia="es-MX"/>
              </w:rPr>
            </w:pPr>
            <w:r>
              <w:rPr>
                <w:rFonts w:ascii="Century Gothic" w:hAnsi="Century Gothic" w:cs="Calibri"/>
                <w:color w:val="000000"/>
                <w:sz w:val="17"/>
                <w:szCs w:val="17"/>
              </w:rPr>
              <w:t>-</w:t>
            </w:r>
          </w:p>
        </w:tc>
        <w:tc>
          <w:tcPr>
            <w:tcW w:w="247" w:type="pct"/>
            <w:tcBorders>
              <w:top w:val="nil"/>
              <w:left w:val="nil"/>
              <w:bottom w:val="single" w:sz="8" w:space="0" w:color="FFFFFF"/>
              <w:right w:val="single" w:sz="8" w:space="0" w:color="FFFFFF"/>
            </w:tcBorders>
            <w:shd w:val="clear" w:color="000000" w:fill="FFF2CC"/>
            <w:vAlign w:val="center"/>
            <w:hideMark/>
          </w:tcPr>
          <w:p w14:paraId="51C111AD" w14:textId="77777777" w:rsidR="00F560FD" w:rsidRPr="00880BCA" w:rsidRDefault="00F560FD" w:rsidP="006A0658">
            <w:pPr>
              <w:spacing w:before="40" w:after="40" w:line="240" w:lineRule="auto"/>
              <w:jc w:val="center"/>
              <w:rPr>
                <w:rFonts w:ascii="Century Gothic" w:eastAsia="Times New Roman" w:hAnsi="Century Gothic" w:cs="Calibri"/>
                <w:color w:val="000000"/>
                <w:sz w:val="17"/>
                <w:szCs w:val="17"/>
                <w:lang w:eastAsia="es-MX"/>
              </w:rPr>
            </w:pPr>
            <w:r>
              <w:rPr>
                <w:rFonts w:ascii="Century Gothic" w:hAnsi="Century Gothic" w:cs="Calibri"/>
                <w:color w:val="000000"/>
                <w:sz w:val="17"/>
                <w:szCs w:val="17"/>
              </w:rPr>
              <w:t>5</w:t>
            </w:r>
          </w:p>
        </w:tc>
        <w:tc>
          <w:tcPr>
            <w:tcW w:w="207" w:type="pct"/>
            <w:tcBorders>
              <w:top w:val="nil"/>
              <w:left w:val="nil"/>
              <w:bottom w:val="single" w:sz="8" w:space="0" w:color="FFFFFF"/>
              <w:right w:val="single" w:sz="8" w:space="0" w:color="FFFFFF"/>
            </w:tcBorders>
            <w:shd w:val="clear" w:color="000000" w:fill="FFF2CC"/>
            <w:vAlign w:val="center"/>
            <w:hideMark/>
          </w:tcPr>
          <w:p w14:paraId="76CFF7F4" w14:textId="77777777" w:rsidR="00F560FD" w:rsidRPr="00880BCA" w:rsidRDefault="00F560FD" w:rsidP="006A0658">
            <w:pPr>
              <w:spacing w:before="40" w:after="40" w:line="240" w:lineRule="auto"/>
              <w:jc w:val="center"/>
              <w:rPr>
                <w:rFonts w:ascii="Century Gothic" w:eastAsia="Times New Roman" w:hAnsi="Century Gothic" w:cs="Calibri"/>
                <w:color w:val="000000"/>
                <w:sz w:val="17"/>
                <w:szCs w:val="17"/>
                <w:lang w:eastAsia="es-MX"/>
              </w:rPr>
            </w:pPr>
            <w:r>
              <w:rPr>
                <w:rFonts w:ascii="Century Gothic" w:hAnsi="Century Gothic" w:cs="Calibri"/>
                <w:color w:val="000000"/>
                <w:sz w:val="17"/>
                <w:szCs w:val="17"/>
              </w:rPr>
              <w:t>70</w:t>
            </w:r>
          </w:p>
        </w:tc>
        <w:tc>
          <w:tcPr>
            <w:tcW w:w="472" w:type="pct"/>
            <w:tcBorders>
              <w:top w:val="nil"/>
              <w:left w:val="nil"/>
              <w:bottom w:val="single" w:sz="8" w:space="0" w:color="FFFFFF"/>
              <w:right w:val="single" w:sz="8" w:space="0" w:color="FFFFFF"/>
            </w:tcBorders>
            <w:shd w:val="clear" w:color="000000" w:fill="FFF2CC"/>
            <w:vAlign w:val="center"/>
            <w:hideMark/>
          </w:tcPr>
          <w:p w14:paraId="2368513D" w14:textId="77777777" w:rsidR="00F560FD" w:rsidRPr="00880BCA" w:rsidRDefault="00F560FD" w:rsidP="006A0658">
            <w:pPr>
              <w:spacing w:before="40" w:after="40" w:line="240" w:lineRule="auto"/>
              <w:jc w:val="center"/>
              <w:rPr>
                <w:rFonts w:ascii="Century Gothic" w:eastAsia="Times New Roman" w:hAnsi="Century Gothic" w:cs="Calibri"/>
                <w:color w:val="000000"/>
                <w:sz w:val="17"/>
                <w:szCs w:val="17"/>
                <w:lang w:eastAsia="es-MX"/>
              </w:rPr>
            </w:pPr>
            <w:r>
              <w:rPr>
                <w:rFonts w:ascii="Century Gothic" w:hAnsi="Century Gothic" w:cs="Calibri"/>
                <w:color w:val="000000"/>
                <w:sz w:val="17"/>
                <w:szCs w:val="17"/>
              </w:rPr>
              <w:t>-</w:t>
            </w:r>
          </w:p>
        </w:tc>
        <w:tc>
          <w:tcPr>
            <w:tcW w:w="233" w:type="pct"/>
            <w:tcBorders>
              <w:top w:val="nil"/>
              <w:left w:val="nil"/>
              <w:bottom w:val="single" w:sz="8" w:space="0" w:color="FFFFFF"/>
              <w:right w:val="single" w:sz="8" w:space="0" w:color="FFFFFF"/>
            </w:tcBorders>
            <w:shd w:val="clear" w:color="000000" w:fill="FFF2CC"/>
            <w:vAlign w:val="center"/>
            <w:hideMark/>
          </w:tcPr>
          <w:p w14:paraId="740165E7" w14:textId="77777777" w:rsidR="00F560FD" w:rsidRPr="00880BCA" w:rsidRDefault="00F560FD" w:rsidP="006A0658">
            <w:pPr>
              <w:spacing w:before="40" w:after="40" w:line="240" w:lineRule="auto"/>
              <w:jc w:val="center"/>
              <w:rPr>
                <w:rFonts w:ascii="Century Gothic" w:eastAsia="Times New Roman" w:hAnsi="Century Gothic" w:cs="Calibri"/>
                <w:color w:val="000000"/>
                <w:sz w:val="17"/>
                <w:szCs w:val="17"/>
                <w:lang w:eastAsia="es-MX"/>
              </w:rPr>
            </w:pPr>
            <w:r>
              <w:rPr>
                <w:rFonts w:ascii="Century Gothic" w:hAnsi="Century Gothic" w:cs="Calibri"/>
                <w:color w:val="000000"/>
                <w:sz w:val="17"/>
                <w:szCs w:val="17"/>
              </w:rPr>
              <w:t>86</w:t>
            </w:r>
          </w:p>
        </w:tc>
      </w:tr>
      <w:tr w:rsidR="00F560FD" w:rsidRPr="00880BCA" w14:paraId="25BAFF43" w14:textId="77777777" w:rsidTr="006A0658">
        <w:trPr>
          <w:trHeight w:val="282"/>
          <w:jc w:val="center"/>
        </w:trPr>
        <w:tc>
          <w:tcPr>
            <w:tcW w:w="2067" w:type="pct"/>
            <w:tcBorders>
              <w:top w:val="nil"/>
              <w:left w:val="nil"/>
              <w:bottom w:val="single" w:sz="8" w:space="0" w:color="FFFFFF"/>
              <w:right w:val="single" w:sz="8" w:space="0" w:color="FFFFFF"/>
            </w:tcBorders>
            <w:shd w:val="clear" w:color="000000" w:fill="F2F2F2"/>
            <w:vAlign w:val="center"/>
            <w:hideMark/>
          </w:tcPr>
          <w:p w14:paraId="013C6F76" w14:textId="77777777" w:rsidR="00F560FD" w:rsidRPr="00880BCA" w:rsidRDefault="00F560FD" w:rsidP="006A0658">
            <w:pPr>
              <w:spacing w:before="40" w:after="40" w:line="240" w:lineRule="auto"/>
              <w:rPr>
                <w:rFonts w:ascii="Century Gothic" w:eastAsia="Times New Roman" w:hAnsi="Century Gothic" w:cs="Calibri"/>
                <w:color w:val="000000"/>
                <w:sz w:val="17"/>
                <w:szCs w:val="17"/>
                <w:lang w:eastAsia="es-MX"/>
              </w:rPr>
            </w:pPr>
            <w:r w:rsidRPr="00880BCA">
              <w:rPr>
                <w:rFonts w:ascii="Century Gothic" w:eastAsia="Times New Roman" w:hAnsi="Century Gothic" w:cs="Calibri"/>
                <w:color w:val="000000"/>
                <w:sz w:val="17"/>
                <w:szCs w:val="17"/>
                <w:lang w:eastAsia="es-MX"/>
              </w:rPr>
              <w:t>Estadísticas de Nacimientos Registrados</w:t>
            </w:r>
          </w:p>
        </w:tc>
        <w:tc>
          <w:tcPr>
            <w:tcW w:w="345" w:type="pct"/>
            <w:tcBorders>
              <w:top w:val="nil"/>
              <w:left w:val="nil"/>
              <w:bottom w:val="single" w:sz="8" w:space="0" w:color="FFFFFF"/>
              <w:right w:val="single" w:sz="8" w:space="0" w:color="FFFFFF"/>
            </w:tcBorders>
            <w:shd w:val="clear" w:color="000000" w:fill="F2F2F2"/>
            <w:vAlign w:val="center"/>
            <w:hideMark/>
          </w:tcPr>
          <w:p w14:paraId="068CC4A2" w14:textId="77777777" w:rsidR="00F560FD" w:rsidRPr="00880BCA" w:rsidRDefault="00F560FD" w:rsidP="006A0658">
            <w:pPr>
              <w:spacing w:before="40" w:after="40" w:line="240" w:lineRule="auto"/>
              <w:rPr>
                <w:rFonts w:ascii="Century Gothic" w:eastAsia="Times New Roman" w:hAnsi="Century Gothic" w:cs="Calibri"/>
                <w:color w:val="000000"/>
                <w:sz w:val="17"/>
                <w:szCs w:val="17"/>
                <w:lang w:eastAsia="es-MX"/>
              </w:rPr>
            </w:pPr>
            <w:r w:rsidRPr="00880BCA">
              <w:rPr>
                <w:rFonts w:ascii="Century Gothic" w:eastAsia="Times New Roman" w:hAnsi="Century Gothic" w:cs="Calibri"/>
                <w:color w:val="000000"/>
                <w:sz w:val="17"/>
                <w:szCs w:val="17"/>
                <w:lang w:eastAsia="es-MX"/>
              </w:rPr>
              <w:t>ENR</w:t>
            </w:r>
          </w:p>
        </w:tc>
        <w:tc>
          <w:tcPr>
            <w:tcW w:w="247" w:type="pct"/>
            <w:tcBorders>
              <w:top w:val="nil"/>
              <w:left w:val="nil"/>
              <w:bottom w:val="single" w:sz="8" w:space="0" w:color="FFFFFF"/>
              <w:right w:val="single" w:sz="8" w:space="0" w:color="FFFFFF"/>
            </w:tcBorders>
            <w:shd w:val="clear" w:color="000000" w:fill="F2F2F2"/>
            <w:vAlign w:val="center"/>
            <w:hideMark/>
          </w:tcPr>
          <w:p w14:paraId="61602842" w14:textId="77777777" w:rsidR="00F560FD" w:rsidRPr="00880BCA" w:rsidRDefault="00F560FD" w:rsidP="006A0658">
            <w:pPr>
              <w:spacing w:before="40" w:after="40" w:line="240" w:lineRule="auto"/>
              <w:jc w:val="center"/>
              <w:rPr>
                <w:rFonts w:ascii="Century Gothic" w:eastAsia="Times New Roman" w:hAnsi="Century Gothic" w:cs="Calibri"/>
                <w:color w:val="000000"/>
                <w:sz w:val="17"/>
                <w:szCs w:val="17"/>
                <w:lang w:eastAsia="es-MX"/>
              </w:rPr>
            </w:pPr>
            <w:r w:rsidRPr="00880BCA">
              <w:rPr>
                <w:rFonts w:ascii="Century Gothic" w:eastAsia="Times New Roman" w:hAnsi="Century Gothic" w:cs="Calibri"/>
                <w:color w:val="000000"/>
                <w:sz w:val="17"/>
                <w:szCs w:val="17"/>
                <w:lang w:eastAsia="es-MX"/>
              </w:rPr>
              <w:t>34</w:t>
            </w:r>
          </w:p>
        </w:tc>
        <w:tc>
          <w:tcPr>
            <w:tcW w:w="207" w:type="pct"/>
            <w:tcBorders>
              <w:top w:val="nil"/>
              <w:left w:val="nil"/>
              <w:bottom w:val="single" w:sz="8" w:space="0" w:color="FFFFFF"/>
              <w:right w:val="single" w:sz="8" w:space="0" w:color="FFFFFF"/>
            </w:tcBorders>
            <w:shd w:val="clear" w:color="000000" w:fill="F2F2F2"/>
            <w:vAlign w:val="center"/>
            <w:hideMark/>
          </w:tcPr>
          <w:p w14:paraId="40F55429" w14:textId="77777777" w:rsidR="00F560FD" w:rsidRPr="00880BCA" w:rsidRDefault="00F560FD" w:rsidP="006A0658">
            <w:pPr>
              <w:spacing w:before="40" w:after="40" w:line="240" w:lineRule="auto"/>
              <w:jc w:val="center"/>
              <w:rPr>
                <w:rFonts w:ascii="Century Gothic" w:eastAsia="Times New Roman" w:hAnsi="Century Gothic" w:cs="Calibri"/>
                <w:color w:val="000000"/>
                <w:sz w:val="17"/>
                <w:szCs w:val="17"/>
                <w:lang w:eastAsia="es-MX"/>
              </w:rPr>
            </w:pPr>
            <w:r w:rsidRPr="00880BCA">
              <w:rPr>
                <w:rFonts w:ascii="Century Gothic" w:eastAsia="Times New Roman" w:hAnsi="Century Gothic" w:cs="Calibri"/>
                <w:color w:val="000000"/>
                <w:sz w:val="17"/>
                <w:szCs w:val="17"/>
                <w:lang w:eastAsia="es-MX"/>
              </w:rPr>
              <w:t>-</w:t>
            </w:r>
          </w:p>
        </w:tc>
        <w:tc>
          <w:tcPr>
            <w:tcW w:w="309" w:type="pct"/>
            <w:tcBorders>
              <w:top w:val="nil"/>
              <w:left w:val="nil"/>
              <w:bottom w:val="single" w:sz="8" w:space="0" w:color="FFFFFF"/>
              <w:right w:val="single" w:sz="8" w:space="0" w:color="FFFFFF"/>
            </w:tcBorders>
            <w:shd w:val="clear" w:color="000000" w:fill="F2F2F2"/>
            <w:vAlign w:val="center"/>
            <w:hideMark/>
          </w:tcPr>
          <w:p w14:paraId="1EAA7DDE" w14:textId="77777777" w:rsidR="00F560FD" w:rsidRPr="00880BCA" w:rsidRDefault="00F560FD" w:rsidP="006A0658">
            <w:pPr>
              <w:spacing w:before="40" w:after="40" w:line="240" w:lineRule="auto"/>
              <w:jc w:val="center"/>
              <w:rPr>
                <w:rFonts w:ascii="Century Gothic" w:eastAsia="Times New Roman" w:hAnsi="Century Gothic" w:cs="Calibri"/>
                <w:color w:val="000000"/>
                <w:sz w:val="17"/>
                <w:szCs w:val="17"/>
                <w:lang w:eastAsia="es-MX"/>
              </w:rPr>
            </w:pPr>
            <w:r w:rsidRPr="00880BCA">
              <w:rPr>
                <w:rFonts w:ascii="Century Gothic" w:eastAsia="Times New Roman" w:hAnsi="Century Gothic" w:cs="Calibri"/>
                <w:color w:val="000000"/>
                <w:sz w:val="17"/>
                <w:szCs w:val="17"/>
                <w:lang w:eastAsia="es-MX"/>
              </w:rPr>
              <w:t>33</w:t>
            </w:r>
          </w:p>
        </w:tc>
        <w:tc>
          <w:tcPr>
            <w:tcW w:w="223" w:type="pct"/>
            <w:tcBorders>
              <w:top w:val="nil"/>
              <w:left w:val="nil"/>
              <w:bottom w:val="single" w:sz="8" w:space="0" w:color="FFFFFF"/>
              <w:right w:val="single" w:sz="8" w:space="0" w:color="FFFFFF"/>
            </w:tcBorders>
            <w:shd w:val="clear" w:color="000000" w:fill="FFF2CC"/>
            <w:vAlign w:val="center"/>
            <w:hideMark/>
          </w:tcPr>
          <w:p w14:paraId="0DAB6061" w14:textId="77777777" w:rsidR="00F560FD" w:rsidRPr="00880BCA" w:rsidRDefault="00F560FD" w:rsidP="006A0658">
            <w:pPr>
              <w:spacing w:before="40" w:after="40" w:line="240" w:lineRule="auto"/>
              <w:jc w:val="center"/>
              <w:rPr>
                <w:rFonts w:ascii="Century Gothic" w:eastAsia="Times New Roman" w:hAnsi="Century Gothic" w:cs="Calibri"/>
                <w:color w:val="000000"/>
                <w:sz w:val="17"/>
                <w:szCs w:val="17"/>
                <w:lang w:eastAsia="es-MX"/>
              </w:rPr>
            </w:pPr>
            <w:r>
              <w:rPr>
                <w:rFonts w:ascii="Century Gothic" w:hAnsi="Century Gothic" w:cs="Calibri"/>
                <w:color w:val="000000"/>
                <w:sz w:val="17"/>
                <w:szCs w:val="17"/>
              </w:rPr>
              <w:t>7</w:t>
            </w:r>
          </w:p>
        </w:tc>
        <w:tc>
          <w:tcPr>
            <w:tcW w:w="444" w:type="pct"/>
            <w:tcBorders>
              <w:top w:val="nil"/>
              <w:left w:val="nil"/>
              <w:bottom w:val="single" w:sz="8" w:space="0" w:color="FFFFFF"/>
              <w:right w:val="single" w:sz="8" w:space="0" w:color="FFFFFF"/>
            </w:tcBorders>
            <w:shd w:val="clear" w:color="000000" w:fill="FFF2CC"/>
            <w:vAlign w:val="center"/>
            <w:hideMark/>
          </w:tcPr>
          <w:p w14:paraId="029D1B98" w14:textId="77777777" w:rsidR="00F560FD" w:rsidRPr="00880BCA" w:rsidRDefault="00F560FD" w:rsidP="006A0658">
            <w:pPr>
              <w:spacing w:before="40" w:after="40" w:line="240" w:lineRule="auto"/>
              <w:jc w:val="center"/>
              <w:rPr>
                <w:rFonts w:ascii="Century Gothic" w:eastAsia="Times New Roman" w:hAnsi="Century Gothic" w:cs="Calibri"/>
                <w:color w:val="000000"/>
                <w:sz w:val="17"/>
                <w:szCs w:val="17"/>
                <w:lang w:eastAsia="es-MX"/>
              </w:rPr>
            </w:pPr>
            <w:r>
              <w:rPr>
                <w:rFonts w:ascii="Century Gothic" w:hAnsi="Century Gothic" w:cs="Calibri"/>
                <w:color w:val="000000"/>
                <w:sz w:val="17"/>
                <w:szCs w:val="17"/>
              </w:rPr>
              <w:t>-</w:t>
            </w:r>
          </w:p>
        </w:tc>
        <w:tc>
          <w:tcPr>
            <w:tcW w:w="247" w:type="pct"/>
            <w:tcBorders>
              <w:top w:val="nil"/>
              <w:left w:val="nil"/>
              <w:bottom w:val="single" w:sz="8" w:space="0" w:color="FFFFFF"/>
              <w:right w:val="single" w:sz="8" w:space="0" w:color="FFFFFF"/>
            </w:tcBorders>
            <w:shd w:val="clear" w:color="000000" w:fill="FFF2CC"/>
            <w:vAlign w:val="center"/>
            <w:hideMark/>
          </w:tcPr>
          <w:p w14:paraId="60384C17" w14:textId="77777777" w:rsidR="00F560FD" w:rsidRPr="00880BCA" w:rsidRDefault="00F560FD" w:rsidP="006A0658">
            <w:pPr>
              <w:spacing w:before="40" w:after="40" w:line="240" w:lineRule="auto"/>
              <w:jc w:val="center"/>
              <w:rPr>
                <w:rFonts w:ascii="Century Gothic" w:eastAsia="Times New Roman" w:hAnsi="Century Gothic" w:cs="Calibri"/>
                <w:color w:val="000000"/>
                <w:sz w:val="17"/>
                <w:szCs w:val="17"/>
                <w:lang w:eastAsia="es-MX"/>
              </w:rPr>
            </w:pPr>
            <w:r>
              <w:rPr>
                <w:rFonts w:ascii="Century Gothic" w:hAnsi="Century Gothic" w:cs="Calibri"/>
                <w:color w:val="000000"/>
                <w:sz w:val="17"/>
                <w:szCs w:val="17"/>
              </w:rPr>
              <w:t>7</w:t>
            </w:r>
          </w:p>
        </w:tc>
        <w:tc>
          <w:tcPr>
            <w:tcW w:w="207" w:type="pct"/>
            <w:tcBorders>
              <w:top w:val="nil"/>
              <w:left w:val="nil"/>
              <w:bottom w:val="single" w:sz="8" w:space="0" w:color="FFFFFF"/>
              <w:right w:val="single" w:sz="8" w:space="0" w:color="FFFFFF"/>
            </w:tcBorders>
            <w:shd w:val="clear" w:color="000000" w:fill="FFF2CC"/>
            <w:vAlign w:val="center"/>
            <w:hideMark/>
          </w:tcPr>
          <w:p w14:paraId="6ACBFF33" w14:textId="77777777" w:rsidR="00F560FD" w:rsidRPr="00880BCA" w:rsidRDefault="00F560FD" w:rsidP="006A0658">
            <w:pPr>
              <w:spacing w:before="40" w:after="40" w:line="240" w:lineRule="auto"/>
              <w:jc w:val="center"/>
              <w:rPr>
                <w:rFonts w:ascii="Century Gothic" w:eastAsia="Times New Roman" w:hAnsi="Century Gothic" w:cs="Calibri"/>
                <w:color w:val="000000"/>
                <w:sz w:val="17"/>
                <w:szCs w:val="17"/>
                <w:lang w:eastAsia="es-MX"/>
              </w:rPr>
            </w:pPr>
            <w:r>
              <w:rPr>
                <w:rFonts w:ascii="Century Gothic" w:hAnsi="Century Gothic" w:cs="Calibri"/>
                <w:color w:val="000000"/>
                <w:sz w:val="17"/>
                <w:szCs w:val="17"/>
              </w:rPr>
              <w:t>78</w:t>
            </w:r>
          </w:p>
        </w:tc>
        <w:tc>
          <w:tcPr>
            <w:tcW w:w="472" w:type="pct"/>
            <w:tcBorders>
              <w:top w:val="nil"/>
              <w:left w:val="nil"/>
              <w:bottom w:val="single" w:sz="8" w:space="0" w:color="FFFFFF"/>
              <w:right w:val="single" w:sz="8" w:space="0" w:color="FFFFFF"/>
            </w:tcBorders>
            <w:shd w:val="clear" w:color="000000" w:fill="FFF2CC"/>
            <w:vAlign w:val="center"/>
            <w:hideMark/>
          </w:tcPr>
          <w:p w14:paraId="2F0A2723" w14:textId="77777777" w:rsidR="00F560FD" w:rsidRPr="00880BCA" w:rsidRDefault="00F560FD" w:rsidP="006A0658">
            <w:pPr>
              <w:spacing w:before="40" w:after="40" w:line="240" w:lineRule="auto"/>
              <w:jc w:val="center"/>
              <w:rPr>
                <w:rFonts w:ascii="Century Gothic" w:eastAsia="Times New Roman" w:hAnsi="Century Gothic" w:cs="Calibri"/>
                <w:color w:val="000000"/>
                <w:sz w:val="17"/>
                <w:szCs w:val="17"/>
                <w:lang w:eastAsia="es-MX"/>
              </w:rPr>
            </w:pPr>
            <w:r>
              <w:rPr>
                <w:rFonts w:ascii="Century Gothic" w:hAnsi="Century Gothic" w:cs="Calibri"/>
                <w:color w:val="000000"/>
                <w:sz w:val="17"/>
                <w:szCs w:val="17"/>
              </w:rPr>
              <w:t>-</w:t>
            </w:r>
          </w:p>
        </w:tc>
        <w:tc>
          <w:tcPr>
            <w:tcW w:w="233" w:type="pct"/>
            <w:tcBorders>
              <w:top w:val="nil"/>
              <w:left w:val="nil"/>
              <w:bottom w:val="single" w:sz="8" w:space="0" w:color="FFFFFF"/>
              <w:right w:val="single" w:sz="8" w:space="0" w:color="FFFFFF"/>
            </w:tcBorders>
            <w:shd w:val="clear" w:color="000000" w:fill="FFF2CC"/>
            <w:vAlign w:val="center"/>
            <w:hideMark/>
          </w:tcPr>
          <w:p w14:paraId="338C3ADD" w14:textId="77777777" w:rsidR="00F560FD" w:rsidRPr="00880BCA" w:rsidRDefault="00F560FD" w:rsidP="006A0658">
            <w:pPr>
              <w:spacing w:before="40" w:after="40" w:line="240" w:lineRule="auto"/>
              <w:jc w:val="center"/>
              <w:rPr>
                <w:rFonts w:ascii="Century Gothic" w:eastAsia="Times New Roman" w:hAnsi="Century Gothic" w:cs="Calibri"/>
                <w:color w:val="000000"/>
                <w:sz w:val="17"/>
                <w:szCs w:val="17"/>
                <w:lang w:eastAsia="es-MX"/>
              </w:rPr>
            </w:pPr>
            <w:r>
              <w:rPr>
                <w:rFonts w:ascii="Century Gothic" w:hAnsi="Century Gothic" w:cs="Calibri"/>
                <w:color w:val="000000"/>
                <w:sz w:val="17"/>
                <w:szCs w:val="17"/>
              </w:rPr>
              <w:t>92</w:t>
            </w:r>
          </w:p>
        </w:tc>
      </w:tr>
      <w:tr w:rsidR="00F560FD" w:rsidRPr="00880BCA" w14:paraId="3948E1E6" w14:textId="77777777" w:rsidTr="006A0658">
        <w:trPr>
          <w:trHeight w:val="315"/>
          <w:jc w:val="center"/>
        </w:trPr>
        <w:tc>
          <w:tcPr>
            <w:tcW w:w="2067" w:type="pct"/>
            <w:tcBorders>
              <w:top w:val="nil"/>
              <w:left w:val="nil"/>
              <w:bottom w:val="single" w:sz="8" w:space="0" w:color="FFFFFF"/>
              <w:right w:val="single" w:sz="8" w:space="0" w:color="FFFFFF"/>
            </w:tcBorders>
            <w:shd w:val="clear" w:color="000000" w:fill="F2F2F2"/>
            <w:vAlign w:val="center"/>
            <w:hideMark/>
          </w:tcPr>
          <w:p w14:paraId="11DF720D" w14:textId="77777777" w:rsidR="00F560FD" w:rsidRPr="00880BCA" w:rsidRDefault="00F560FD" w:rsidP="006A0658">
            <w:pPr>
              <w:spacing w:before="40" w:after="40" w:line="240" w:lineRule="auto"/>
              <w:rPr>
                <w:rFonts w:ascii="Century Gothic" w:eastAsia="Times New Roman" w:hAnsi="Century Gothic" w:cs="Calibri"/>
                <w:color w:val="000000"/>
                <w:sz w:val="17"/>
                <w:szCs w:val="17"/>
                <w:lang w:eastAsia="es-MX"/>
              </w:rPr>
            </w:pPr>
            <w:r w:rsidRPr="00880BCA">
              <w:rPr>
                <w:rFonts w:ascii="Century Gothic" w:eastAsia="Times New Roman" w:hAnsi="Century Gothic" w:cs="Calibri"/>
                <w:color w:val="000000"/>
                <w:sz w:val="17"/>
                <w:szCs w:val="17"/>
                <w:lang w:eastAsia="es-MX"/>
              </w:rPr>
              <w:t>Estadística de Matrimonios</w:t>
            </w:r>
          </w:p>
        </w:tc>
        <w:tc>
          <w:tcPr>
            <w:tcW w:w="345" w:type="pct"/>
            <w:tcBorders>
              <w:top w:val="nil"/>
              <w:left w:val="nil"/>
              <w:bottom w:val="single" w:sz="8" w:space="0" w:color="FFFFFF"/>
              <w:right w:val="single" w:sz="8" w:space="0" w:color="FFFFFF"/>
            </w:tcBorders>
            <w:shd w:val="clear" w:color="000000" w:fill="F2F2F2"/>
            <w:vAlign w:val="center"/>
            <w:hideMark/>
          </w:tcPr>
          <w:p w14:paraId="442725DA" w14:textId="77777777" w:rsidR="00F560FD" w:rsidRPr="00880BCA" w:rsidRDefault="00F560FD" w:rsidP="006A0658">
            <w:pPr>
              <w:spacing w:before="40" w:after="40" w:line="240" w:lineRule="auto"/>
              <w:rPr>
                <w:rFonts w:ascii="Century Gothic" w:eastAsia="Times New Roman" w:hAnsi="Century Gothic" w:cs="Calibri"/>
                <w:color w:val="000000"/>
                <w:sz w:val="17"/>
                <w:szCs w:val="17"/>
                <w:lang w:eastAsia="es-MX"/>
              </w:rPr>
            </w:pPr>
            <w:r w:rsidRPr="00880BCA">
              <w:rPr>
                <w:rFonts w:ascii="Century Gothic" w:eastAsia="Times New Roman" w:hAnsi="Century Gothic" w:cs="Calibri"/>
                <w:color w:val="000000"/>
                <w:sz w:val="17"/>
                <w:szCs w:val="17"/>
                <w:lang w:eastAsia="es-MX"/>
              </w:rPr>
              <w:t>EMAT</w:t>
            </w:r>
          </w:p>
        </w:tc>
        <w:tc>
          <w:tcPr>
            <w:tcW w:w="247" w:type="pct"/>
            <w:tcBorders>
              <w:top w:val="nil"/>
              <w:left w:val="nil"/>
              <w:bottom w:val="single" w:sz="8" w:space="0" w:color="FFFFFF"/>
              <w:right w:val="single" w:sz="8" w:space="0" w:color="FFFFFF"/>
            </w:tcBorders>
            <w:shd w:val="clear" w:color="000000" w:fill="F2F2F2"/>
            <w:vAlign w:val="center"/>
            <w:hideMark/>
          </w:tcPr>
          <w:p w14:paraId="2CE400D3" w14:textId="77777777" w:rsidR="00F560FD" w:rsidRPr="00880BCA" w:rsidRDefault="00F560FD" w:rsidP="006A0658">
            <w:pPr>
              <w:spacing w:before="40" w:after="40" w:line="240" w:lineRule="auto"/>
              <w:jc w:val="center"/>
              <w:rPr>
                <w:rFonts w:ascii="Century Gothic" w:eastAsia="Times New Roman" w:hAnsi="Century Gothic" w:cs="Calibri"/>
                <w:color w:val="000000"/>
                <w:sz w:val="17"/>
                <w:szCs w:val="17"/>
                <w:lang w:eastAsia="es-MX"/>
              </w:rPr>
            </w:pPr>
            <w:r w:rsidRPr="00880BCA">
              <w:rPr>
                <w:rFonts w:ascii="Century Gothic" w:eastAsia="Times New Roman" w:hAnsi="Century Gothic" w:cs="Calibri"/>
                <w:color w:val="000000"/>
                <w:sz w:val="17"/>
                <w:szCs w:val="17"/>
                <w:lang w:eastAsia="es-MX"/>
              </w:rPr>
              <w:t>18</w:t>
            </w:r>
          </w:p>
        </w:tc>
        <w:tc>
          <w:tcPr>
            <w:tcW w:w="207" w:type="pct"/>
            <w:tcBorders>
              <w:top w:val="nil"/>
              <w:left w:val="nil"/>
              <w:bottom w:val="single" w:sz="8" w:space="0" w:color="FFFFFF"/>
              <w:right w:val="single" w:sz="8" w:space="0" w:color="FFFFFF"/>
            </w:tcBorders>
            <w:shd w:val="clear" w:color="000000" w:fill="F2F2F2"/>
            <w:vAlign w:val="center"/>
            <w:hideMark/>
          </w:tcPr>
          <w:p w14:paraId="42007652" w14:textId="77777777" w:rsidR="00F560FD" w:rsidRPr="00880BCA" w:rsidRDefault="00F560FD" w:rsidP="006A0658">
            <w:pPr>
              <w:spacing w:before="40" w:after="40" w:line="240" w:lineRule="auto"/>
              <w:jc w:val="center"/>
              <w:rPr>
                <w:rFonts w:ascii="Century Gothic" w:eastAsia="Times New Roman" w:hAnsi="Century Gothic" w:cs="Calibri"/>
                <w:color w:val="000000"/>
                <w:sz w:val="17"/>
                <w:szCs w:val="17"/>
                <w:lang w:eastAsia="es-MX"/>
              </w:rPr>
            </w:pPr>
            <w:r w:rsidRPr="00880BCA">
              <w:rPr>
                <w:rFonts w:ascii="Century Gothic" w:eastAsia="Times New Roman" w:hAnsi="Century Gothic" w:cs="Calibri"/>
                <w:color w:val="000000"/>
                <w:sz w:val="17"/>
                <w:szCs w:val="17"/>
                <w:lang w:eastAsia="es-MX"/>
              </w:rPr>
              <w:t>18</w:t>
            </w:r>
          </w:p>
        </w:tc>
        <w:tc>
          <w:tcPr>
            <w:tcW w:w="309" w:type="pct"/>
            <w:tcBorders>
              <w:top w:val="nil"/>
              <w:left w:val="nil"/>
              <w:bottom w:val="single" w:sz="8" w:space="0" w:color="FFFFFF"/>
              <w:right w:val="single" w:sz="8" w:space="0" w:color="FFFFFF"/>
            </w:tcBorders>
            <w:shd w:val="clear" w:color="000000" w:fill="F2F2F2"/>
            <w:vAlign w:val="center"/>
            <w:hideMark/>
          </w:tcPr>
          <w:p w14:paraId="26C7EF33" w14:textId="77777777" w:rsidR="00F560FD" w:rsidRPr="00880BCA" w:rsidRDefault="00F560FD" w:rsidP="006A0658">
            <w:pPr>
              <w:spacing w:before="40" w:after="40" w:line="240" w:lineRule="auto"/>
              <w:jc w:val="center"/>
              <w:rPr>
                <w:rFonts w:ascii="Century Gothic" w:eastAsia="Times New Roman" w:hAnsi="Century Gothic" w:cs="Calibri"/>
                <w:color w:val="000000"/>
                <w:sz w:val="17"/>
                <w:szCs w:val="17"/>
                <w:lang w:eastAsia="es-MX"/>
              </w:rPr>
            </w:pPr>
            <w:r w:rsidRPr="00880BCA">
              <w:rPr>
                <w:rFonts w:ascii="Century Gothic" w:eastAsia="Times New Roman" w:hAnsi="Century Gothic" w:cs="Calibri"/>
                <w:color w:val="000000"/>
                <w:sz w:val="17"/>
                <w:szCs w:val="17"/>
                <w:lang w:eastAsia="es-MX"/>
              </w:rPr>
              <w:t>18</w:t>
            </w:r>
          </w:p>
        </w:tc>
        <w:tc>
          <w:tcPr>
            <w:tcW w:w="223" w:type="pct"/>
            <w:tcBorders>
              <w:top w:val="nil"/>
              <w:left w:val="nil"/>
              <w:bottom w:val="single" w:sz="8" w:space="0" w:color="FFFFFF"/>
              <w:right w:val="single" w:sz="8" w:space="0" w:color="FFFFFF"/>
            </w:tcBorders>
            <w:shd w:val="clear" w:color="000000" w:fill="FFF2CC"/>
            <w:vAlign w:val="center"/>
            <w:hideMark/>
          </w:tcPr>
          <w:p w14:paraId="5F302EF9" w14:textId="77777777" w:rsidR="00F560FD" w:rsidRPr="00880BCA" w:rsidRDefault="00F560FD" w:rsidP="006A0658">
            <w:pPr>
              <w:spacing w:before="40" w:after="40" w:line="240" w:lineRule="auto"/>
              <w:jc w:val="center"/>
              <w:rPr>
                <w:rFonts w:ascii="Century Gothic" w:eastAsia="Times New Roman" w:hAnsi="Century Gothic" w:cs="Calibri"/>
                <w:color w:val="000000"/>
                <w:sz w:val="17"/>
                <w:szCs w:val="17"/>
                <w:lang w:eastAsia="es-MX"/>
              </w:rPr>
            </w:pPr>
            <w:r>
              <w:rPr>
                <w:rFonts w:ascii="Century Gothic" w:hAnsi="Century Gothic" w:cs="Calibri"/>
                <w:color w:val="000000"/>
                <w:sz w:val="17"/>
                <w:szCs w:val="17"/>
              </w:rPr>
              <w:t>7</w:t>
            </w:r>
          </w:p>
        </w:tc>
        <w:tc>
          <w:tcPr>
            <w:tcW w:w="444" w:type="pct"/>
            <w:tcBorders>
              <w:top w:val="nil"/>
              <w:left w:val="nil"/>
              <w:bottom w:val="single" w:sz="8" w:space="0" w:color="FFFFFF"/>
              <w:right w:val="single" w:sz="8" w:space="0" w:color="FFFFFF"/>
            </w:tcBorders>
            <w:shd w:val="clear" w:color="000000" w:fill="FFF2CC"/>
            <w:vAlign w:val="center"/>
            <w:hideMark/>
          </w:tcPr>
          <w:p w14:paraId="5686F02E" w14:textId="77777777" w:rsidR="00F560FD" w:rsidRPr="00880BCA" w:rsidRDefault="00F560FD" w:rsidP="006A0658">
            <w:pPr>
              <w:spacing w:before="40" w:after="40" w:line="240" w:lineRule="auto"/>
              <w:jc w:val="center"/>
              <w:rPr>
                <w:rFonts w:ascii="Century Gothic" w:eastAsia="Times New Roman" w:hAnsi="Century Gothic" w:cs="Calibri"/>
                <w:color w:val="000000"/>
                <w:sz w:val="17"/>
                <w:szCs w:val="17"/>
                <w:lang w:eastAsia="es-MX"/>
              </w:rPr>
            </w:pPr>
            <w:r>
              <w:rPr>
                <w:rFonts w:ascii="Century Gothic" w:hAnsi="Century Gothic" w:cs="Calibri"/>
                <w:color w:val="000000"/>
                <w:sz w:val="17"/>
                <w:szCs w:val="17"/>
              </w:rPr>
              <w:t>7</w:t>
            </w:r>
          </w:p>
        </w:tc>
        <w:tc>
          <w:tcPr>
            <w:tcW w:w="247" w:type="pct"/>
            <w:tcBorders>
              <w:top w:val="nil"/>
              <w:left w:val="nil"/>
              <w:bottom w:val="single" w:sz="8" w:space="0" w:color="FFFFFF"/>
              <w:right w:val="single" w:sz="8" w:space="0" w:color="FFFFFF"/>
            </w:tcBorders>
            <w:shd w:val="clear" w:color="000000" w:fill="FFF2CC"/>
            <w:vAlign w:val="center"/>
            <w:hideMark/>
          </w:tcPr>
          <w:p w14:paraId="11B8F9DE" w14:textId="77777777" w:rsidR="00F560FD" w:rsidRPr="00880BCA" w:rsidRDefault="00F560FD" w:rsidP="006A0658">
            <w:pPr>
              <w:spacing w:before="40" w:after="40" w:line="240" w:lineRule="auto"/>
              <w:jc w:val="center"/>
              <w:rPr>
                <w:rFonts w:ascii="Century Gothic" w:eastAsia="Times New Roman" w:hAnsi="Century Gothic" w:cs="Calibri"/>
                <w:b/>
                <w:bCs/>
                <w:color w:val="C00000"/>
                <w:sz w:val="17"/>
                <w:szCs w:val="17"/>
                <w:lang w:eastAsia="es-MX"/>
              </w:rPr>
            </w:pPr>
            <w:r>
              <w:rPr>
                <w:rFonts w:ascii="Century Gothic" w:hAnsi="Century Gothic" w:cs="Calibri"/>
                <w:b/>
                <w:bCs/>
                <w:color w:val="C00000"/>
                <w:sz w:val="17"/>
                <w:szCs w:val="17"/>
              </w:rPr>
              <w:t>8</w:t>
            </w:r>
          </w:p>
        </w:tc>
        <w:tc>
          <w:tcPr>
            <w:tcW w:w="207" w:type="pct"/>
            <w:tcBorders>
              <w:top w:val="nil"/>
              <w:left w:val="nil"/>
              <w:bottom w:val="single" w:sz="8" w:space="0" w:color="FFFFFF"/>
              <w:right w:val="single" w:sz="8" w:space="0" w:color="FFFFFF"/>
            </w:tcBorders>
            <w:shd w:val="clear" w:color="000000" w:fill="FFF2CC"/>
            <w:vAlign w:val="center"/>
            <w:hideMark/>
          </w:tcPr>
          <w:p w14:paraId="0056755F" w14:textId="77777777" w:rsidR="00F560FD" w:rsidRPr="00880BCA" w:rsidRDefault="00F560FD" w:rsidP="006A0658">
            <w:pPr>
              <w:spacing w:before="40" w:after="40" w:line="240" w:lineRule="auto"/>
              <w:jc w:val="center"/>
              <w:rPr>
                <w:rFonts w:ascii="Century Gothic" w:eastAsia="Times New Roman" w:hAnsi="Century Gothic" w:cs="Calibri"/>
                <w:color w:val="000000"/>
                <w:sz w:val="17"/>
                <w:szCs w:val="17"/>
                <w:lang w:eastAsia="es-MX"/>
              </w:rPr>
            </w:pPr>
            <w:r>
              <w:rPr>
                <w:rFonts w:ascii="Century Gothic" w:hAnsi="Century Gothic" w:cs="Calibri"/>
                <w:color w:val="000000"/>
                <w:sz w:val="17"/>
                <w:szCs w:val="17"/>
              </w:rPr>
              <w:t>56</w:t>
            </w:r>
          </w:p>
        </w:tc>
        <w:tc>
          <w:tcPr>
            <w:tcW w:w="472" w:type="pct"/>
            <w:tcBorders>
              <w:top w:val="nil"/>
              <w:left w:val="nil"/>
              <w:bottom w:val="single" w:sz="8" w:space="0" w:color="FFFFFF"/>
              <w:right w:val="single" w:sz="8" w:space="0" w:color="FFFFFF"/>
            </w:tcBorders>
            <w:shd w:val="clear" w:color="000000" w:fill="FFF2CC"/>
            <w:vAlign w:val="center"/>
            <w:hideMark/>
          </w:tcPr>
          <w:p w14:paraId="0FE16813" w14:textId="77777777" w:rsidR="00F560FD" w:rsidRPr="00880BCA" w:rsidRDefault="00F560FD" w:rsidP="006A0658">
            <w:pPr>
              <w:spacing w:before="40" w:after="40" w:line="240" w:lineRule="auto"/>
              <w:jc w:val="center"/>
              <w:rPr>
                <w:rFonts w:ascii="Century Gothic" w:eastAsia="Times New Roman" w:hAnsi="Century Gothic" w:cs="Calibri"/>
                <w:color w:val="000000"/>
                <w:sz w:val="17"/>
                <w:szCs w:val="17"/>
                <w:lang w:eastAsia="es-MX"/>
              </w:rPr>
            </w:pPr>
            <w:r>
              <w:rPr>
                <w:rFonts w:ascii="Century Gothic" w:hAnsi="Century Gothic" w:cs="Calibri"/>
                <w:color w:val="000000"/>
                <w:sz w:val="17"/>
                <w:szCs w:val="17"/>
              </w:rPr>
              <w:t>100</w:t>
            </w:r>
          </w:p>
        </w:tc>
        <w:tc>
          <w:tcPr>
            <w:tcW w:w="233" w:type="pct"/>
            <w:tcBorders>
              <w:top w:val="nil"/>
              <w:left w:val="nil"/>
              <w:bottom w:val="single" w:sz="8" w:space="0" w:color="FFFFFF"/>
              <w:right w:val="single" w:sz="8" w:space="0" w:color="FFFFFF"/>
            </w:tcBorders>
            <w:shd w:val="clear" w:color="000000" w:fill="FFF2CC"/>
            <w:vAlign w:val="center"/>
            <w:hideMark/>
          </w:tcPr>
          <w:p w14:paraId="55625AF9" w14:textId="77777777" w:rsidR="00F560FD" w:rsidRPr="00880BCA" w:rsidRDefault="00F560FD" w:rsidP="006A0658">
            <w:pPr>
              <w:spacing w:before="40" w:after="40" w:line="240" w:lineRule="auto"/>
              <w:jc w:val="center"/>
              <w:rPr>
                <w:rFonts w:ascii="Century Gothic" w:eastAsia="Times New Roman" w:hAnsi="Century Gothic" w:cs="Calibri"/>
                <w:color w:val="000000"/>
                <w:sz w:val="17"/>
                <w:szCs w:val="17"/>
                <w:lang w:eastAsia="es-MX"/>
              </w:rPr>
            </w:pPr>
            <w:r>
              <w:rPr>
                <w:rFonts w:ascii="Century Gothic" w:hAnsi="Century Gothic" w:cs="Calibri"/>
                <w:color w:val="000000"/>
                <w:sz w:val="17"/>
                <w:szCs w:val="17"/>
              </w:rPr>
              <w:t>76</w:t>
            </w:r>
          </w:p>
        </w:tc>
      </w:tr>
      <w:tr w:rsidR="00F560FD" w:rsidRPr="00880BCA" w14:paraId="6FA1B01C" w14:textId="77777777" w:rsidTr="006A0658">
        <w:trPr>
          <w:trHeight w:val="315"/>
          <w:jc w:val="center"/>
        </w:trPr>
        <w:tc>
          <w:tcPr>
            <w:tcW w:w="2067" w:type="pct"/>
            <w:tcBorders>
              <w:top w:val="nil"/>
              <w:left w:val="nil"/>
              <w:bottom w:val="single" w:sz="8" w:space="0" w:color="FFFFFF"/>
              <w:right w:val="single" w:sz="8" w:space="0" w:color="FFFFFF"/>
            </w:tcBorders>
            <w:shd w:val="clear" w:color="000000" w:fill="D9D9D9"/>
            <w:vAlign w:val="center"/>
            <w:hideMark/>
          </w:tcPr>
          <w:p w14:paraId="3C0EFFA2" w14:textId="77777777" w:rsidR="00F560FD" w:rsidRPr="00880BCA" w:rsidRDefault="00F560FD" w:rsidP="006A0658">
            <w:pPr>
              <w:spacing w:before="40" w:after="40" w:line="240" w:lineRule="auto"/>
              <w:rPr>
                <w:rFonts w:ascii="Century Gothic" w:eastAsia="Times New Roman" w:hAnsi="Century Gothic" w:cs="Calibri"/>
                <w:color w:val="000000"/>
                <w:sz w:val="17"/>
                <w:szCs w:val="17"/>
                <w:lang w:eastAsia="es-MX"/>
              </w:rPr>
            </w:pPr>
            <w:r w:rsidRPr="00880BCA">
              <w:rPr>
                <w:rFonts w:ascii="Century Gothic" w:eastAsia="Times New Roman" w:hAnsi="Century Gothic" w:cs="Calibri"/>
                <w:color w:val="000000"/>
                <w:sz w:val="17"/>
                <w:szCs w:val="17"/>
                <w:lang w:eastAsia="es-MX"/>
              </w:rPr>
              <w:t>Estadística de Divorcios</w:t>
            </w:r>
          </w:p>
        </w:tc>
        <w:tc>
          <w:tcPr>
            <w:tcW w:w="345" w:type="pct"/>
            <w:tcBorders>
              <w:top w:val="nil"/>
              <w:left w:val="nil"/>
              <w:bottom w:val="single" w:sz="8" w:space="0" w:color="FFFFFF"/>
              <w:right w:val="single" w:sz="8" w:space="0" w:color="FFFFFF"/>
            </w:tcBorders>
            <w:shd w:val="clear" w:color="000000" w:fill="D9D9D9"/>
            <w:vAlign w:val="center"/>
            <w:hideMark/>
          </w:tcPr>
          <w:p w14:paraId="2671C3D8" w14:textId="77777777" w:rsidR="00F560FD" w:rsidRPr="00880BCA" w:rsidRDefault="00F560FD" w:rsidP="006A0658">
            <w:pPr>
              <w:spacing w:before="40" w:after="40" w:line="240" w:lineRule="auto"/>
              <w:rPr>
                <w:rFonts w:ascii="Century Gothic" w:eastAsia="Times New Roman" w:hAnsi="Century Gothic" w:cs="Calibri"/>
                <w:color w:val="000000"/>
                <w:sz w:val="17"/>
                <w:szCs w:val="17"/>
                <w:lang w:eastAsia="es-MX"/>
              </w:rPr>
            </w:pPr>
            <w:r w:rsidRPr="00880BCA">
              <w:rPr>
                <w:rFonts w:ascii="Century Gothic" w:eastAsia="Times New Roman" w:hAnsi="Century Gothic" w:cs="Calibri"/>
                <w:color w:val="000000"/>
                <w:sz w:val="17"/>
                <w:szCs w:val="17"/>
                <w:lang w:eastAsia="es-MX"/>
              </w:rPr>
              <w:t>ED</w:t>
            </w:r>
          </w:p>
        </w:tc>
        <w:tc>
          <w:tcPr>
            <w:tcW w:w="247" w:type="pct"/>
            <w:tcBorders>
              <w:top w:val="nil"/>
              <w:left w:val="nil"/>
              <w:bottom w:val="single" w:sz="8" w:space="0" w:color="FFFFFF"/>
              <w:right w:val="single" w:sz="8" w:space="0" w:color="FFFFFF"/>
            </w:tcBorders>
            <w:shd w:val="clear" w:color="000000" w:fill="D9D9D9"/>
            <w:vAlign w:val="center"/>
            <w:hideMark/>
          </w:tcPr>
          <w:p w14:paraId="7572EEB6" w14:textId="77777777" w:rsidR="00F560FD" w:rsidRPr="00880BCA" w:rsidRDefault="00F560FD" w:rsidP="006A0658">
            <w:pPr>
              <w:spacing w:before="40" w:after="40" w:line="240" w:lineRule="auto"/>
              <w:jc w:val="center"/>
              <w:rPr>
                <w:rFonts w:ascii="Century Gothic" w:eastAsia="Times New Roman" w:hAnsi="Century Gothic" w:cs="Calibri"/>
                <w:color w:val="000000"/>
                <w:sz w:val="17"/>
                <w:szCs w:val="17"/>
                <w:lang w:eastAsia="es-MX"/>
              </w:rPr>
            </w:pPr>
            <w:r w:rsidRPr="00880BCA">
              <w:rPr>
                <w:rFonts w:ascii="Century Gothic" w:eastAsia="Times New Roman" w:hAnsi="Century Gothic" w:cs="Calibri"/>
                <w:color w:val="000000"/>
                <w:sz w:val="17"/>
                <w:szCs w:val="17"/>
                <w:lang w:eastAsia="es-MX"/>
              </w:rPr>
              <w:t>54</w:t>
            </w:r>
          </w:p>
        </w:tc>
        <w:tc>
          <w:tcPr>
            <w:tcW w:w="207" w:type="pct"/>
            <w:tcBorders>
              <w:top w:val="nil"/>
              <w:left w:val="nil"/>
              <w:bottom w:val="single" w:sz="8" w:space="0" w:color="FFFFFF"/>
              <w:right w:val="single" w:sz="8" w:space="0" w:color="FFFFFF"/>
            </w:tcBorders>
            <w:shd w:val="clear" w:color="000000" w:fill="D9D9D9"/>
            <w:vAlign w:val="center"/>
            <w:hideMark/>
          </w:tcPr>
          <w:p w14:paraId="553CB3A0" w14:textId="77777777" w:rsidR="00F560FD" w:rsidRPr="00880BCA" w:rsidRDefault="00F560FD" w:rsidP="006A0658">
            <w:pPr>
              <w:spacing w:before="40" w:after="40" w:line="240" w:lineRule="auto"/>
              <w:jc w:val="center"/>
              <w:rPr>
                <w:rFonts w:ascii="Century Gothic" w:eastAsia="Times New Roman" w:hAnsi="Century Gothic" w:cs="Calibri"/>
                <w:color w:val="000000"/>
                <w:sz w:val="17"/>
                <w:szCs w:val="17"/>
                <w:lang w:eastAsia="es-MX"/>
              </w:rPr>
            </w:pPr>
            <w:r w:rsidRPr="00880BCA">
              <w:rPr>
                <w:rFonts w:ascii="Century Gothic" w:eastAsia="Times New Roman" w:hAnsi="Century Gothic" w:cs="Calibri"/>
                <w:color w:val="000000"/>
                <w:sz w:val="17"/>
                <w:szCs w:val="17"/>
                <w:lang w:eastAsia="es-MX"/>
              </w:rPr>
              <w:t>54</w:t>
            </w:r>
          </w:p>
        </w:tc>
        <w:tc>
          <w:tcPr>
            <w:tcW w:w="309" w:type="pct"/>
            <w:tcBorders>
              <w:top w:val="nil"/>
              <w:left w:val="nil"/>
              <w:bottom w:val="single" w:sz="8" w:space="0" w:color="FFFFFF"/>
              <w:right w:val="single" w:sz="8" w:space="0" w:color="FFFFFF"/>
            </w:tcBorders>
            <w:shd w:val="clear" w:color="000000" w:fill="D9D9D9"/>
            <w:vAlign w:val="center"/>
            <w:hideMark/>
          </w:tcPr>
          <w:p w14:paraId="14C3F68A" w14:textId="77777777" w:rsidR="00F560FD" w:rsidRPr="00880BCA" w:rsidRDefault="00F560FD" w:rsidP="006A0658">
            <w:pPr>
              <w:spacing w:before="40" w:after="40" w:line="240" w:lineRule="auto"/>
              <w:jc w:val="center"/>
              <w:rPr>
                <w:rFonts w:ascii="Century Gothic" w:eastAsia="Times New Roman" w:hAnsi="Century Gothic" w:cs="Calibri"/>
                <w:color w:val="000000"/>
                <w:sz w:val="17"/>
                <w:szCs w:val="17"/>
                <w:lang w:eastAsia="es-MX"/>
              </w:rPr>
            </w:pPr>
            <w:r w:rsidRPr="00880BCA">
              <w:rPr>
                <w:rFonts w:ascii="Century Gothic" w:eastAsia="Times New Roman" w:hAnsi="Century Gothic" w:cs="Calibri"/>
                <w:color w:val="000000"/>
                <w:sz w:val="17"/>
                <w:szCs w:val="17"/>
                <w:lang w:eastAsia="es-MX"/>
              </w:rPr>
              <w:t>54</w:t>
            </w:r>
          </w:p>
        </w:tc>
        <w:tc>
          <w:tcPr>
            <w:tcW w:w="223" w:type="pct"/>
            <w:tcBorders>
              <w:top w:val="nil"/>
              <w:left w:val="nil"/>
              <w:bottom w:val="single" w:sz="8" w:space="0" w:color="FFFFFF"/>
              <w:right w:val="single" w:sz="8" w:space="0" w:color="FFFFFF"/>
            </w:tcBorders>
            <w:shd w:val="clear" w:color="000000" w:fill="FFE599"/>
            <w:vAlign w:val="center"/>
            <w:hideMark/>
          </w:tcPr>
          <w:p w14:paraId="3CD5D7D0" w14:textId="77777777" w:rsidR="00F560FD" w:rsidRPr="00880BCA" w:rsidRDefault="00F560FD" w:rsidP="006A0658">
            <w:pPr>
              <w:spacing w:before="40" w:after="40" w:line="240" w:lineRule="auto"/>
              <w:jc w:val="center"/>
              <w:rPr>
                <w:rFonts w:ascii="Century Gothic" w:eastAsia="Times New Roman" w:hAnsi="Century Gothic" w:cs="Calibri"/>
                <w:color w:val="000000"/>
                <w:sz w:val="17"/>
                <w:szCs w:val="17"/>
                <w:lang w:eastAsia="es-MX"/>
              </w:rPr>
            </w:pPr>
            <w:r>
              <w:rPr>
                <w:rFonts w:ascii="Century Gothic" w:hAnsi="Century Gothic" w:cs="Calibri"/>
                <w:color w:val="000000"/>
                <w:sz w:val="17"/>
                <w:szCs w:val="17"/>
              </w:rPr>
              <w:t>7</w:t>
            </w:r>
          </w:p>
        </w:tc>
        <w:tc>
          <w:tcPr>
            <w:tcW w:w="444" w:type="pct"/>
            <w:tcBorders>
              <w:top w:val="nil"/>
              <w:left w:val="nil"/>
              <w:bottom w:val="single" w:sz="8" w:space="0" w:color="FFFFFF"/>
              <w:right w:val="single" w:sz="8" w:space="0" w:color="FFFFFF"/>
            </w:tcBorders>
            <w:shd w:val="clear" w:color="000000" w:fill="FFE599"/>
            <w:vAlign w:val="center"/>
            <w:hideMark/>
          </w:tcPr>
          <w:p w14:paraId="72C50B92" w14:textId="77777777" w:rsidR="00F560FD" w:rsidRPr="00880BCA" w:rsidRDefault="00F560FD" w:rsidP="006A0658">
            <w:pPr>
              <w:spacing w:before="40" w:after="40" w:line="240" w:lineRule="auto"/>
              <w:jc w:val="center"/>
              <w:rPr>
                <w:rFonts w:ascii="Century Gothic" w:eastAsia="Times New Roman" w:hAnsi="Century Gothic" w:cs="Calibri"/>
                <w:color w:val="000000"/>
                <w:sz w:val="17"/>
                <w:szCs w:val="17"/>
                <w:lang w:eastAsia="es-MX"/>
              </w:rPr>
            </w:pPr>
            <w:r>
              <w:rPr>
                <w:rFonts w:ascii="Century Gothic" w:hAnsi="Century Gothic" w:cs="Calibri"/>
                <w:color w:val="000000"/>
                <w:sz w:val="17"/>
                <w:szCs w:val="17"/>
              </w:rPr>
              <w:t>8</w:t>
            </w:r>
          </w:p>
        </w:tc>
        <w:tc>
          <w:tcPr>
            <w:tcW w:w="247" w:type="pct"/>
            <w:tcBorders>
              <w:top w:val="nil"/>
              <w:left w:val="nil"/>
              <w:bottom w:val="single" w:sz="8" w:space="0" w:color="FFFFFF"/>
              <w:right w:val="single" w:sz="8" w:space="0" w:color="FFFFFF"/>
            </w:tcBorders>
            <w:shd w:val="clear" w:color="000000" w:fill="FFE599"/>
            <w:vAlign w:val="center"/>
            <w:hideMark/>
          </w:tcPr>
          <w:p w14:paraId="0C59C50C" w14:textId="77777777" w:rsidR="00F560FD" w:rsidRPr="00880BCA" w:rsidRDefault="00F560FD" w:rsidP="006A0658">
            <w:pPr>
              <w:spacing w:before="40" w:after="40" w:line="240" w:lineRule="auto"/>
              <w:jc w:val="center"/>
              <w:rPr>
                <w:rFonts w:ascii="Century Gothic" w:eastAsia="Times New Roman" w:hAnsi="Century Gothic" w:cs="Calibri"/>
                <w:color w:val="000000"/>
                <w:sz w:val="17"/>
                <w:szCs w:val="17"/>
                <w:lang w:eastAsia="es-MX"/>
              </w:rPr>
            </w:pPr>
            <w:r>
              <w:rPr>
                <w:rFonts w:ascii="Century Gothic" w:hAnsi="Century Gothic" w:cs="Calibri"/>
                <w:color w:val="000000"/>
                <w:sz w:val="17"/>
                <w:szCs w:val="17"/>
              </w:rPr>
              <w:t>8</w:t>
            </w:r>
          </w:p>
        </w:tc>
        <w:tc>
          <w:tcPr>
            <w:tcW w:w="207" w:type="pct"/>
            <w:tcBorders>
              <w:top w:val="nil"/>
              <w:left w:val="nil"/>
              <w:bottom w:val="single" w:sz="8" w:space="0" w:color="FFFFFF"/>
              <w:right w:val="single" w:sz="8" w:space="0" w:color="FFFFFF"/>
            </w:tcBorders>
            <w:shd w:val="clear" w:color="000000" w:fill="FFE599"/>
            <w:vAlign w:val="center"/>
            <w:hideMark/>
          </w:tcPr>
          <w:p w14:paraId="6AE90B23" w14:textId="77777777" w:rsidR="00F560FD" w:rsidRPr="00880BCA" w:rsidRDefault="00F560FD" w:rsidP="006A0658">
            <w:pPr>
              <w:spacing w:before="40" w:after="40" w:line="240" w:lineRule="auto"/>
              <w:jc w:val="center"/>
              <w:rPr>
                <w:rFonts w:ascii="Century Gothic" w:eastAsia="Times New Roman" w:hAnsi="Century Gothic" w:cs="Calibri"/>
                <w:color w:val="000000"/>
                <w:sz w:val="17"/>
                <w:szCs w:val="17"/>
                <w:lang w:eastAsia="es-MX"/>
              </w:rPr>
            </w:pPr>
            <w:r>
              <w:rPr>
                <w:rFonts w:ascii="Century Gothic" w:hAnsi="Century Gothic" w:cs="Calibri"/>
                <w:color w:val="000000"/>
                <w:sz w:val="17"/>
                <w:szCs w:val="17"/>
              </w:rPr>
              <w:t>44</w:t>
            </w:r>
          </w:p>
        </w:tc>
        <w:tc>
          <w:tcPr>
            <w:tcW w:w="472" w:type="pct"/>
            <w:tcBorders>
              <w:top w:val="nil"/>
              <w:left w:val="nil"/>
              <w:bottom w:val="single" w:sz="8" w:space="0" w:color="FFFFFF"/>
              <w:right w:val="single" w:sz="8" w:space="0" w:color="FFFFFF"/>
            </w:tcBorders>
            <w:shd w:val="clear" w:color="000000" w:fill="FFE599"/>
            <w:vAlign w:val="center"/>
            <w:hideMark/>
          </w:tcPr>
          <w:p w14:paraId="095D3D3F" w14:textId="77777777" w:rsidR="00F560FD" w:rsidRPr="00880BCA" w:rsidRDefault="00F560FD" w:rsidP="006A0658">
            <w:pPr>
              <w:spacing w:before="40" w:after="40" w:line="240" w:lineRule="auto"/>
              <w:jc w:val="center"/>
              <w:rPr>
                <w:rFonts w:ascii="Century Gothic" w:eastAsia="Times New Roman" w:hAnsi="Century Gothic" w:cs="Calibri"/>
                <w:color w:val="000000"/>
                <w:sz w:val="17"/>
                <w:szCs w:val="17"/>
                <w:lang w:eastAsia="es-MX"/>
              </w:rPr>
            </w:pPr>
            <w:r>
              <w:rPr>
                <w:rFonts w:ascii="Century Gothic" w:hAnsi="Century Gothic" w:cs="Calibri"/>
                <w:color w:val="000000"/>
                <w:sz w:val="17"/>
                <w:szCs w:val="17"/>
              </w:rPr>
              <w:t>90</w:t>
            </w:r>
          </w:p>
        </w:tc>
        <w:tc>
          <w:tcPr>
            <w:tcW w:w="233" w:type="pct"/>
            <w:tcBorders>
              <w:top w:val="nil"/>
              <w:left w:val="nil"/>
              <w:bottom w:val="single" w:sz="8" w:space="0" w:color="FFFFFF"/>
              <w:right w:val="single" w:sz="8" w:space="0" w:color="FFFFFF"/>
            </w:tcBorders>
            <w:shd w:val="clear" w:color="000000" w:fill="FFE599"/>
            <w:vAlign w:val="center"/>
            <w:hideMark/>
          </w:tcPr>
          <w:p w14:paraId="5903535B" w14:textId="77777777" w:rsidR="00F560FD" w:rsidRPr="00880BCA" w:rsidRDefault="00F560FD" w:rsidP="006A0658">
            <w:pPr>
              <w:spacing w:before="40" w:after="40" w:line="240" w:lineRule="auto"/>
              <w:jc w:val="center"/>
              <w:rPr>
                <w:rFonts w:ascii="Century Gothic" w:eastAsia="Times New Roman" w:hAnsi="Century Gothic" w:cs="Calibri"/>
                <w:color w:val="000000"/>
                <w:sz w:val="17"/>
                <w:szCs w:val="17"/>
                <w:lang w:eastAsia="es-MX"/>
              </w:rPr>
            </w:pPr>
            <w:r>
              <w:rPr>
                <w:rFonts w:ascii="Century Gothic" w:hAnsi="Century Gothic" w:cs="Calibri"/>
                <w:color w:val="000000"/>
                <w:sz w:val="17"/>
                <w:szCs w:val="17"/>
              </w:rPr>
              <w:t>91</w:t>
            </w:r>
          </w:p>
        </w:tc>
      </w:tr>
      <w:tr w:rsidR="00F560FD" w:rsidRPr="00880BCA" w14:paraId="041EAC10" w14:textId="77777777" w:rsidTr="006A0658">
        <w:trPr>
          <w:trHeight w:val="141"/>
          <w:jc w:val="center"/>
        </w:trPr>
        <w:tc>
          <w:tcPr>
            <w:tcW w:w="2067" w:type="pct"/>
            <w:tcBorders>
              <w:top w:val="nil"/>
              <w:left w:val="nil"/>
              <w:bottom w:val="single" w:sz="8" w:space="0" w:color="FFFFFF"/>
              <w:right w:val="single" w:sz="8" w:space="0" w:color="FFFFFF"/>
            </w:tcBorders>
            <w:shd w:val="clear" w:color="000000" w:fill="D9D9D9"/>
            <w:vAlign w:val="center"/>
            <w:hideMark/>
          </w:tcPr>
          <w:p w14:paraId="28EE0B26" w14:textId="77777777" w:rsidR="00F560FD" w:rsidRPr="00880BCA" w:rsidRDefault="00F560FD" w:rsidP="006A0658">
            <w:pPr>
              <w:spacing w:before="40" w:after="40" w:line="240" w:lineRule="auto"/>
              <w:rPr>
                <w:rFonts w:ascii="Century Gothic" w:eastAsia="Times New Roman" w:hAnsi="Century Gothic" w:cs="Calibri"/>
                <w:color w:val="000000"/>
                <w:sz w:val="17"/>
                <w:szCs w:val="17"/>
                <w:lang w:eastAsia="es-MX"/>
              </w:rPr>
            </w:pPr>
            <w:r w:rsidRPr="00880BCA">
              <w:rPr>
                <w:rFonts w:ascii="Century Gothic" w:eastAsia="Times New Roman" w:hAnsi="Century Gothic" w:cs="Calibri"/>
                <w:color w:val="000000"/>
                <w:sz w:val="17"/>
                <w:szCs w:val="17"/>
                <w:lang w:eastAsia="es-MX"/>
              </w:rPr>
              <w:t>Estadísticas de Salud en Establecimientos Particulares</w:t>
            </w:r>
          </w:p>
        </w:tc>
        <w:tc>
          <w:tcPr>
            <w:tcW w:w="345" w:type="pct"/>
            <w:tcBorders>
              <w:top w:val="nil"/>
              <w:left w:val="nil"/>
              <w:bottom w:val="single" w:sz="8" w:space="0" w:color="FFFFFF"/>
              <w:right w:val="single" w:sz="8" w:space="0" w:color="FFFFFF"/>
            </w:tcBorders>
            <w:shd w:val="clear" w:color="000000" w:fill="D9D9D9"/>
            <w:vAlign w:val="center"/>
            <w:hideMark/>
          </w:tcPr>
          <w:p w14:paraId="4F2E76B6" w14:textId="77777777" w:rsidR="00F560FD" w:rsidRPr="00880BCA" w:rsidRDefault="00F560FD" w:rsidP="006A0658">
            <w:pPr>
              <w:spacing w:before="40" w:after="40" w:line="240" w:lineRule="auto"/>
              <w:rPr>
                <w:rFonts w:ascii="Century Gothic" w:eastAsia="Times New Roman" w:hAnsi="Century Gothic" w:cs="Calibri"/>
                <w:color w:val="000000"/>
                <w:sz w:val="17"/>
                <w:szCs w:val="17"/>
                <w:lang w:eastAsia="es-MX"/>
              </w:rPr>
            </w:pPr>
            <w:r w:rsidRPr="00880BCA">
              <w:rPr>
                <w:rFonts w:ascii="Century Gothic" w:eastAsia="Times New Roman" w:hAnsi="Century Gothic" w:cs="Calibri"/>
                <w:color w:val="000000"/>
                <w:sz w:val="17"/>
                <w:szCs w:val="17"/>
                <w:lang w:eastAsia="es-MX"/>
              </w:rPr>
              <w:t>ESEP</w:t>
            </w:r>
          </w:p>
        </w:tc>
        <w:tc>
          <w:tcPr>
            <w:tcW w:w="247" w:type="pct"/>
            <w:tcBorders>
              <w:top w:val="nil"/>
              <w:left w:val="nil"/>
              <w:bottom w:val="single" w:sz="8" w:space="0" w:color="FFFFFF"/>
              <w:right w:val="single" w:sz="8" w:space="0" w:color="FFFFFF"/>
            </w:tcBorders>
            <w:shd w:val="clear" w:color="000000" w:fill="D9D9D9"/>
            <w:vAlign w:val="center"/>
            <w:hideMark/>
          </w:tcPr>
          <w:p w14:paraId="448D1004" w14:textId="77777777" w:rsidR="00F560FD" w:rsidRPr="00880BCA" w:rsidRDefault="00F560FD" w:rsidP="006A0658">
            <w:pPr>
              <w:spacing w:before="40" w:after="40" w:line="240" w:lineRule="auto"/>
              <w:jc w:val="center"/>
              <w:rPr>
                <w:rFonts w:ascii="Century Gothic" w:eastAsia="Times New Roman" w:hAnsi="Century Gothic" w:cs="Calibri"/>
                <w:color w:val="000000"/>
                <w:sz w:val="17"/>
                <w:szCs w:val="17"/>
                <w:lang w:eastAsia="es-MX"/>
              </w:rPr>
            </w:pPr>
            <w:r w:rsidRPr="00880BCA">
              <w:rPr>
                <w:rFonts w:ascii="Century Gothic" w:eastAsia="Times New Roman" w:hAnsi="Century Gothic" w:cs="Calibri"/>
                <w:color w:val="000000"/>
                <w:sz w:val="17"/>
                <w:szCs w:val="17"/>
                <w:lang w:eastAsia="es-MX"/>
              </w:rPr>
              <w:t>-</w:t>
            </w:r>
          </w:p>
        </w:tc>
        <w:tc>
          <w:tcPr>
            <w:tcW w:w="207" w:type="pct"/>
            <w:tcBorders>
              <w:top w:val="nil"/>
              <w:left w:val="nil"/>
              <w:bottom w:val="single" w:sz="8" w:space="0" w:color="FFFFFF"/>
              <w:right w:val="single" w:sz="8" w:space="0" w:color="FFFFFF"/>
            </w:tcBorders>
            <w:shd w:val="clear" w:color="000000" w:fill="D9D9D9"/>
            <w:vAlign w:val="center"/>
            <w:hideMark/>
          </w:tcPr>
          <w:p w14:paraId="72AC3281" w14:textId="77777777" w:rsidR="00F560FD" w:rsidRPr="00880BCA" w:rsidRDefault="00F560FD" w:rsidP="006A0658">
            <w:pPr>
              <w:spacing w:before="40" w:after="40" w:line="240" w:lineRule="auto"/>
              <w:jc w:val="center"/>
              <w:rPr>
                <w:rFonts w:ascii="Century Gothic" w:eastAsia="Times New Roman" w:hAnsi="Century Gothic" w:cs="Calibri"/>
                <w:color w:val="000000"/>
                <w:sz w:val="17"/>
                <w:szCs w:val="17"/>
                <w:lang w:eastAsia="es-MX"/>
              </w:rPr>
            </w:pPr>
            <w:r w:rsidRPr="00880BCA">
              <w:rPr>
                <w:rFonts w:ascii="Century Gothic" w:eastAsia="Times New Roman" w:hAnsi="Century Gothic" w:cs="Calibri"/>
                <w:color w:val="000000"/>
                <w:sz w:val="17"/>
                <w:szCs w:val="17"/>
                <w:lang w:eastAsia="es-MX"/>
              </w:rPr>
              <w:t>-</w:t>
            </w:r>
          </w:p>
        </w:tc>
        <w:tc>
          <w:tcPr>
            <w:tcW w:w="309" w:type="pct"/>
            <w:tcBorders>
              <w:top w:val="nil"/>
              <w:left w:val="nil"/>
              <w:bottom w:val="single" w:sz="8" w:space="0" w:color="FFFFFF"/>
              <w:right w:val="single" w:sz="8" w:space="0" w:color="FFFFFF"/>
            </w:tcBorders>
            <w:shd w:val="clear" w:color="000000" w:fill="D9D9D9"/>
            <w:vAlign w:val="center"/>
            <w:hideMark/>
          </w:tcPr>
          <w:p w14:paraId="531A82E3" w14:textId="77777777" w:rsidR="00F560FD" w:rsidRPr="00880BCA" w:rsidRDefault="00F560FD" w:rsidP="006A0658">
            <w:pPr>
              <w:spacing w:before="40" w:after="40" w:line="240" w:lineRule="auto"/>
              <w:jc w:val="center"/>
              <w:rPr>
                <w:rFonts w:ascii="Century Gothic" w:eastAsia="Times New Roman" w:hAnsi="Century Gothic" w:cs="Calibri"/>
                <w:color w:val="000000"/>
                <w:sz w:val="17"/>
                <w:szCs w:val="17"/>
                <w:lang w:eastAsia="es-MX"/>
              </w:rPr>
            </w:pPr>
            <w:r w:rsidRPr="00880BCA">
              <w:rPr>
                <w:rFonts w:ascii="Century Gothic" w:eastAsia="Times New Roman" w:hAnsi="Century Gothic" w:cs="Calibri"/>
                <w:color w:val="000000"/>
                <w:sz w:val="17"/>
                <w:szCs w:val="17"/>
                <w:lang w:eastAsia="es-MX"/>
              </w:rPr>
              <w:t>1</w:t>
            </w:r>
          </w:p>
        </w:tc>
        <w:tc>
          <w:tcPr>
            <w:tcW w:w="223" w:type="pct"/>
            <w:tcBorders>
              <w:top w:val="nil"/>
              <w:left w:val="nil"/>
              <w:bottom w:val="single" w:sz="8" w:space="0" w:color="FFFFFF"/>
              <w:right w:val="single" w:sz="8" w:space="0" w:color="FFFFFF"/>
            </w:tcBorders>
            <w:shd w:val="clear" w:color="000000" w:fill="FFE599"/>
            <w:vAlign w:val="center"/>
            <w:hideMark/>
          </w:tcPr>
          <w:p w14:paraId="3B1C1A67" w14:textId="77777777" w:rsidR="00F560FD" w:rsidRPr="00880BCA" w:rsidRDefault="00F560FD" w:rsidP="006A0658">
            <w:pPr>
              <w:spacing w:before="40" w:after="40" w:line="240" w:lineRule="auto"/>
              <w:jc w:val="center"/>
              <w:rPr>
                <w:rFonts w:ascii="Century Gothic" w:eastAsia="Times New Roman" w:hAnsi="Century Gothic" w:cs="Calibri"/>
                <w:color w:val="000000"/>
                <w:sz w:val="17"/>
                <w:szCs w:val="17"/>
                <w:lang w:eastAsia="es-MX"/>
              </w:rPr>
            </w:pPr>
            <w:r>
              <w:rPr>
                <w:rFonts w:ascii="Century Gothic" w:hAnsi="Century Gothic" w:cs="Calibri"/>
                <w:color w:val="000000"/>
                <w:sz w:val="17"/>
                <w:szCs w:val="17"/>
              </w:rPr>
              <w:t>-</w:t>
            </w:r>
          </w:p>
        </w:tc>
        <w:tc>
          <w:tcPr>
            <w:tcW w:w="444" w:type="pct"/>
            <w:tcBorders>
              <w:top w:val="nil"/>
              <w:left w:val="nil"/>
              <w:bottom w:val="single" w:sz="8" w:space="0" w:color="FFFFFF"/>
              <w:right w:val="single" w:sz="8" w:space="0" w:color="FFFFFF"/>
            </w:tcBorders>
            <w:shd w:val="clear" w:color="000000" w:fill="FFE599"/>
            <w:vAlign w:val="center"/>
            <w:hideMark/>
          </w:tcPr>
          <w:p w14:paraId="402DB663" w14:textId="77777777" w:rsidR="00F560FD" w:rsidRPr="00880BCA" w:rsidRDefault="00F560FD" w:rsidP="006A0658">
            <w:pPr>
              <w:spacing w:before="40" w:after="40" w:line="240" w:lineRule="auto"/>
              <w:jc w:val="center"/>
              <w:rPr>
                <w:rFonts w:ascii="Century Gothic" w:eastAsia="Times New Roman" w:hAnsi="Century Gothic" w:cs="Calibri"/>
                <w:color w:val="000000"/>
                <w:sz w:val="17"/>
                <w:szCs w:val="17"/>
                <w:lang w:eastAsia="es-MX"/>
              </w:rPr>
            </w:pPr>
            <w:r>
              <w:rPr>
                <w:rFonts w:ascii="Century Gothic" w:hAnsi="Century Gothic" w:cs="Calibri"/>
                <w:color w:val="000000"/>
                <w:sz w:val="17"/>
                <w:szCs w:val="17"/>
              </w:rPr>
              <w:t>0</w:t>
            </w:r>
          </w:p>
        </w:tc>
        <w:tc>
          <w:tcPr>
            <w:tcW w:w="247" w:type="pct"/>
            <w:tcBorders>
              <w:top w:val="nil"/>
              <w:left w:val="nil"/>
              <w:bottom w:val="single" w:sz="8" w:space="0" w:color="FFFFFF"/>
              <w:right w:val="single" w:sz="8" w:space="0" w:color="FFFFFF"/>
            </w:tcBorders>
            <w:shd w:val="clear" w:color="000000" w:fill="FFE599"/>
            <w:vAlign w:val="center"/>
            <w:hideMark/>
          </w:tcPr>
          <w:p w14:paraId="34BACD0E" w14:textId="77777777" w:rsidR="00F560FD" w:rsidRPr="00880BCA" w:rsidRDefault="00F560FD" w:rsidP="006A0658">
            <w:pPr>
              <w:spacing w:before="40" w:after="40" w:line="240" w:lineRule="auto"/>
              <w:jc w:val="center"/>
              <w:rPr>
                <w:rFonts w:ascii="Century Gothic" w:eastAsia="Times New Roman" w:hAnsi="Century Gothic" w:cs="Calibri"/>
                <w:color w:val="000000"/>
                <w:sz w:val="17"/>
                <w:szCs w:val="17"/>
                <w:lang w:eastAsia="es-MX"/>
              </w:rPr>
            </w:pPr>
            <w:r>
              <w:rPr>
                <w:rFonts w:ascii="Century Gothic" w:hAnsi="Century Gothic" w:cs="Calibri"/>
                <w:color w:val="000000"/>
                <w:sz w:val="17"/>
                <w:szCs w:val="17"/>
              </w:rPr>
              <w:t>0</w:t>
            </w:r>
          </w:p>
        </w:tc>
        <w:tc>
          <w:tcPr>
            <w:tcW w:w="207" w:type="pct"/>
            <w:tcBorders>
              <w:top w:val="nil"/>
              <w:left w:val="nil"/>
              <w:bottom w:val="single" w:sz="8" w:space="0" w:color="FFFFFF"/>
              <w:right w:val="single" w:sz="8" w:space="0" w:color="FFFFFF"/>
            </w:tcBorders>
            <w:shd w:val="clear" w:color="000000" w:fill="FFE599"/>
            <w:vAlign w:val="center"/>
            <w:hideMark/>
          </w:tcPr>
          <w:p w14:paraId="7D596ACC" w14:textId="77777777" w:rsidR="00F560FD" w:rsidRPr="00880BCA" w:rsidRDefault="00F560FD" w:rsidP="006A0658">
            <w:pPr>
              <w:spacing w:before="40" w:after="40" w:line="240" w:lineRule="auto"/>
              <w:jc w:val="center"/>
              <w:rPr>
                <w:rFonts w:ascii="Century Gothic" w:eastAsia="Times New Roman" w:hAnsi="Century Gothic" w:cs="Calibri"/>
                <w:color w:val="000000"/>
                <w:sz w:val="17"/>
                <w:szCs w:val="17"/>
                <w:lang w:eastAsia="es-MX"/>
              </w:rPr>
            </w:pPr>
            <w:r>
              <w:rPr>
                <w:rFonts w:ascii="Century Gothic" w:hAnsi="Century Gothic" w:cs="Calibri"/>
                <w:color w:val="000000"/>
                <w:sz w:val="17"/>
                <w:szCs w:val="17"/>
              </w:rPr>
              <w:t>-</w:t>
            </w:r>
          </w:p>
        </w:tc>
        <w:tc>
          <w:tcPr>
            <w:tcW w:w="472" w:type="pct"/>
            <w:tcBorders>
              <w:top w:val="nil"/>
              <w:left w:val="nil"/>
              <w:bottom w:val="single" w:sz="8" w:space="0" w:color="FFFFFF"/>
              <w:right w:val="single" w:sz="8" w:space="0" w:color="FFFFFF"/>
            </w:tcBorders>
            <w:shd w:val="clear" w:color="000000" w:fill="FFE599"/>
            <w:vAlign w:val="center"/>
            <w:hideMark/>
          </w:tcPr>
          <w:p w14:paraId="6A6316B5" w14:textId="77777777" w:rsidR="00F560FD" w:rsidRPr="00880BCA" w:rsidRDefault="00F560FD" w:rsidP="006A0658">
            <w:pPr>
              <w:spacing w:before="40" w:after="40" w:line="240" w:lineRule="auto"/>
              <w:jc w:val="center"/>
              <w:rPr>
                <w:rFonts w:ascii="Century Gothic" w:eastAsia="Times New Roman" w:hAnsi="Century Gothic" w:cs="Calibri"/>
                <w:color w:val="000000"/>
                <w:sz w:val="17"/>
                <w:szCs w:val="17"/>
                <w:lang w:eastAsia="es-MX"/>
              </w:rPr>
            </w:pPr>
            <w:r>
              <w:rPr>
                <w:rFonts w:ascii="Century Gothic" w:hAnsi="Century Gothic" w:cs="Calibri"/>
                <w:color w:val="000000"/>
                <w:sz w:val="17"/>
                <w:szCs w:val="17"/>
              </w:rPr>
              <w:t>0</w:t>
            </w:r>
          </w:p>
        </w:tc>
        <w:tc>
          <w:tcPr>
            <w:tcW w:w="233" w:type="pct"/>
            <w:tcBorders>
              <w:top w:val="nil"/>
              <w:left w:val="nil"/>
              <w:bottom w:val="single" w:sz="8" w:space="0" w:color="FFFFFF"/>
              <w:right w:val="single" w:sz="8" w:space="0" w:color="FFFFFF"/>
            </w:tcBorders>
            <w:shd w:val="clear" w:color="000000" w:fill="FFE599"/>
            <w:vAlign w:val="center"/>
            <w:hideMark/>
          </w:tcPr>
          <w:p w14:paraId="766B0EAB" w14:textId="77777777" w:rsidR="00F560FD" w:rsidRPr="00880BCA" w:rsidRDefault="00F560FD" w:rsidP="006A0658">
            <w:pPr>
              <w:spacing w:before="40" w:after="40" w:line="240" w:lineRule="auto"/>
              <w:jc w:val="center"/>
              <w:rPr>
                <w:rFonts w:ascii="Century Gothic" w:eastAsia="Times New Roman" w:hAnsi="Century Gothic" w:cs="Calibri"/>
                <w:color w:val="000000"/>
                <w:sz w:val="17"/>
                <w:szCs w:val="17"/>
                <w:lang w:eastAsia="es-MX"/>
              </w:rPr>
            </w:pPr>
            <w:r>
              <w:rPr>
                <w:rFonts w:ascii="Century Gothic" w:hAnsi="Century Gothic" w:cs="Calibri"/>
                <w:color w:val="000000"/>
                <w:sz w:val="17"/>
                <w:szCs w:val="17"/>
              </w:rPr>
              <w:t>0</w:t>
            </w:r>
          </w:p>
        </w:tc>
      </w:tr>
      <w:tr w:rsidR="00F560FD" w:rsidRPr="00880BCA" w14:paraId="3E894F94" w14:textId="77777777" w:rsidTr="006A0658">
        <w:trPr>
          <w:trHeight w:val="315"/>
          <w:jc w:val="center"/>
        </w:trPr>
        <w:tc>
          <w:tcPr>
            <w:tcW w:w="2067" w:type="pct"/>
            <w:tcBorders>
              <w:top w:val="nil"/>
              <w:left w:val="nil"/>
              <w:bottom w:val="single" w:sz="8" w:space="0" w:color="FFFFFF"/>
              <w:right w:val="single" w:sz="8" w:space="0" w:color="FFFFFF"/>
            </w:tcBorders>
            <w:shd w:val="clear" w:color="000000" w:fill="D9D9D9"/>
            <w:vAlign w:val="center"/>
            <w:hideMark/>
          </w:tcPr>
          <w:p w14:paraId="27BB91B2" w14:textId="77777777" w:rsidR="00F560FD" w:rsidRPr="00880BCA" w:rsidRDefault="00F560FD" w:rsidP="006A0658">
            <w:pPr>
              <w:spacing w:before="40" w:after="40" w:line="240" w:lineRule="auto"/>
              <w:rPr>
                <w:rFonts w:ascii="Century Gothic" w:eastAsia="Times New Roman" w:hAnsi="Century Gothic" w:cs="Calibri"/>
                <w:color w:val="000000"/>
                <w:sz w:val="17"/>
                <w:szCs w:val="17"/>
                <w:lang w:eastAsia="es-MX"/>
              </w:rPr>
            </w:pPr>
            <w:r w:rsidRPr="00880BCA">
              <w:rPr>
                <w:rFonts w:ascii="Century Gothic" w:eastAsia="Times New Roman" w:hAnsi="Century Gothic" w:cs="Calibri"/>
                <w:color w:val="000000"/>
                <w:sz w:val="17"/>
                <w:szCs w:val="17"/>
                <w:lang w:eastAsia="es-MX"/>
              </w:rPr>
              <w:t>Estadística de Museos</w:t>
            </w:r>
          </w:p>
        </w:tc>
        <w:tc>
          <w:tcPr>
            <w:tcW w:w="345" w:type="pct"/>
            <w:tcBorders>
              <w:top w:val="nil"/>
              <w:left w:val="nil"/>
              <w:bottom w:val="single" w:sz="8" w:space="0" w:color="FFFFFF"/>
              <w:right w:val="single" w:sz="8" w:space="0" w:color="FFFFFF"/>
            </w:tcBorders>
            <w:shd w:val="clear" w:color="000000" w:fill="D9D9D9"/>
            <w:vAlign w:val="center"/>
            <w:hideMark/>
          </w:tcPr>
          <w:p w14:paraId="61D10FC3" w14:textId="77777777" w:rsidR="00F560FD" w:rsidRPr="00880BCA" w:rsidRDefault="00F560FD" w:rsidP="006A0658">
            <w:pPr>
              <w:spacing w:before="40" w:after="40" w:line="240" w:lineRule="auto"/>
              <w:rPr>
                <w:rFonts w:ascii="Century Gothic" w:eastAsia="Times New Roman" w:hAnsi="Century Gothic" w:cs="Calibri"/>
                <w:color w:val="000000"/>
                <w:sz w:val="17"/>
                <w:szCs w:val="17"/>
                <w:lang w:eastAsia="es-MX"/>
              </w:rPr>
            </w:pPr>
            <w:r w:rsidRPr="00880BCA">
              <w:rPr>
                <w:rFonts w:ascii="Century Gothic" w:eastAsia="Times New Roman" w:hAnsi="Century Gothic" w:cs="Calibri"/>
                <w:color w:val="000000"/>
                <w:sz w:val="17"/>
                <w:szCs w:val="17"/>
                <w:lang w:eastAsia="es-MX"/>
              </w:rPr>
              <w:t>EM</w:t>
            </w:r>
          </w:p>
        </w:tc>
        <w:tc>
          <w:tcPr>
            <w:tcW w:w="247" w:type="pct"/>
            <w:tcBorders>
              <w:top w:val="nil"/>
              <w:left w:val="nil"/>
              <w:bottom w:val="single" w:sz="8" w:space="0" w:color="FFFFFF"/>
              <w:right w:val="single" w:sz="8" w:space="0" w:color="FFFFFF"/>
            </w:tcBorders>
            <w:shd w:val="clear" w:color="000000" w:fill="D9D9D9"/>
            <w:vAlign w:val="center"/>
            <w:hideMark/>
          </w:tcPr>
          <w:p w14:paraId="2C568B3A" w14:textId="77777777" w:rsidR="00F560FD" w:rsidRPr="00880BCA" w:rsidRDefault="00F560FD" w:rsidP="006A0658">
            <w:pPr>
              <w:spacing w:before="40" w:after="40" w:line="240" w:lineRule="auto"/>
              <w:jc w:val="center"/>
              <w:rPr>
                <w:rFonts w:ascii="Century Gothic" w:eastAsia="Times New Roman" w:hAnsi="Century Gothic" w:cs="Calibri"/>
                <w:color w:val="000000"/>
                <w:sz w:val="17"/>
                <w:szCs w:val="17"/>
                <w:lang w:eastAsia="es-MX"/>
              </w:rPr>
            </w:pPr>
            <w:r w:rsidRPr="00880BCA">
              <w:rPr>
                <w:rFonts w:ascii="Century Gothic" w:eastAsia="Times New Roman" w:hAnsi="Century Gothic" w:cs="Calibri"/>
                <w:color w:val="000000"/>
                <w:sz w:val="17"/>
                <w:szCs w:val="17"/>
                <w:lang w:eastAsia="es-MX"/>
              </w:rPr>
              <w:t xml:space="preserve"> -</w:t>
            </w:r>
          </w:p>
        </w:tc>
        <w:tc>
          <w:tcPr>
            <w:tcW w:w="207" w:type="pct"/>
            <w:tcBorders>
              <w:top w:val="nil"/>
              <w:left w:val="nil"/>
              <w:bottom w:val="single" w:sz="8" w:space="0" w:color="FFFFFF"/>
              <w:right w:val="single" w:sz="8" w:space="0" w:color="FFFFFF"/>
            </w:tcBorders>
            <w:shd w:val="clear" w:color="000000" w:fill="D9D9D9"/>
            <w:vAlign w:val="center"/>
            <w:hideMark/>
          </w:tcPr>
          <w:p w14:paraId="0F27EC51" w14:textId="77777777" w:rsidR="00F560FD" w:rsidRPr="00880BCA" w:rsidRDefault="00F560FD" w:rsidP="006A0658">
            <w:pPr>
              <w:spacing w:before="40" w:after="40" w:line="240" w:lineRule="auto"/>
              <w:jc w:val="center"/>
              <w:rPr>
                <w:rFonts w:ascii="Century Gothic" w:eastAsia="Times New Roman" w:hAnsi="Century Gothic" w:cs="Calibri"/>
                <w:color w:val="000000"/>
                <w:sz w:val="17"/>
                <w:szCs w:val="17"/>
                <w:lang w:eastAsia="es-MX"/>
              </w:rPr>
            </w:pPr>
            <w:r w:rsidRPr="00880BCA">
              <w:rPr>
                <w:rFonts w:ascii="Century Gothic" w:eastAsia="Times New Roman" w:hAnsi="Century Gothic" w:cs="Calibri"/>
                <w:color w:val="000000"/>
                <w:sz w:val="17"/>
                <w:szCs w:val="17"/>
                <w:lang w:eastAsia="es-MX"/>
              </w:rPr>
              <w:t>23</w:t>
            </w:r>
          </w:p>
        </w:tc>
        <w:tc>
          <w:tcPr>
            <w:tcW w:w="309" w:type="pct"/>
            <w:tcBorders>
              <w:top w:val="nil"/>
              <w:left w:val="nil"/>
              <w:bottom w:val="single" w:sz="8" w:space="0" w:color="FFFFFF"/>
              <w:right w:val="single" w:sz="8" w:space="0" w:color="FFFFFF"/>
            </w:tcBorders>
            <w:shd w:val="clear" w:color="000000" w:fill="D9D9D9"/>
            <w:vAlign w:val="center"/>
            <w:hideMark/>
          </w:tcPr>
          <w:p w14:paraId="09A19467" w14:textId="77777777" w:rsidR="00F560FD" w:rsidRPr="00880BCA" w:rsidRDefault="00F560FD" w:rsidP="006A0658">
            <w:pPr>
              <w:spacing w:before="40" w:after="40" w:line="240" w:lineRule="auto"/>
              <w:jc w:val="center"/>
              <w:rPr>
                <w:rFonts w:ascii="Century Gothic" w:eastAsia="Times New Roman" w:hAnsi="Century Gothic" w:cs="Calibri"/>
                <w:color w:val="000000"/>
                <w:sz w:val="17"/>
                <w:szCs w:val="17"/>
                <w:lang w:eastAsia="es-MX"/>
              </w:rPr>
            </w:pPr>
            <w:r w:rsidRPr="00880BCA">
              <w:rPr>
                <w:rFonts w:ascii="Century Gothic" w:eastAsia="Times New Roman" w:hAnsi="Century Gothic" w:cs="Calibri"/>
                <w:color w:val="000000"/>
                <w:sz w:val="17"/>
                <w:szCs w:val="17"/>
                <w:lang w:eastAsia="es-MX"/>
              </w:rPr>
              <w:t>23</w:t>
            </w:r>
          </w:p>
        </w:tc>
        <w:tc>
          <w:tcPr>
            <w:tcW w:w="223" w:type="pct"/>
            <w:tcBorders>
              <w:top w:val="nil"/>
              <w:left w:val="nil"/>
              <w:bottom w:val="single" w:sz="8" w:space="0" w:color="FFFFFF"/>
              <w:right w:val="single" w:sz="8" w:space="0" w:color="FFFFFF"/>
            </w:tcBorders>
            <w:shd w:val="clear" w:color="000000" w:fill="FFE599"/>
            <w:vAlign w:val="center"/>
            <w:hideMark/>
          </w:tcPr>
          <w:p w14:paraId="16C6F702" w14:textId="77777777" w:rsidR="00F560FD" w:rsidRPr="00880BCA" w:rsidRDefault="00F560FD" w:rsidP="006A0658">
            <w:pPr>
              <w:spacing w:before="40" w:after="40" w:line="240" w:lineRule="auto"/>
              <w:jc w:val="center"/>
              <w:rPr>
                <w:rFonts w:ascii="Century Gothic" w:eastAsia="Times New Roman" w:hAnsi="Century Gothic" w:cs="Calibri"/>
                <w:color w:val="000000"/>
                <w:sz w:val="17"/>
                <w:szCs w:val="17"/>
                <w:lang w:eastAsia="es-MX"/>
              </w:rPr>
            </w:pPr>
            <w:r>
              <w:rPr>
                <w:rFonts w:ascii="Century Gothic" w:hAnsi="Century Gothic" w:cs="Calibri"/>
                <w:color w:val="000000"/>
                <w:sz w:val="17"/>
                <w:szCs w:val="17"/>
              </w:rPr>
              <w:t xml:space="preserve">- </w:t>
            </w:r>
          </w:p>
        </w:tc>
        <w:tc>
          <w:tcPr>
            <w:tcW w:w="444" w:type="pct"/>
            <w:tcBorders>
              <w:top w:val="nil"/>
              <w:left w:val="nil"/>
              <w:bottom w:val="single" w:sz="8" w:space="0" w:color="FFFFFF"/>
              <w:right w:val="single" w:sz="8" w:space="0" w:color="FFFFFF"/>
            </w:tcBorders>
            <w:shd w:val="clear" w:color="000000" w:fill="FFE599"/>
            <w:vAlign w:val="center"/>
            <w:hideMark/>
          </w:tcPr>
          <w:p w14:paraId="69FEB50E" w14:textId="77777777" w:rsidR="00F560FD" w:rsidRPr="00880BCA" w:rsidRDefault="00F560FD" w:rsidP="006A0658">
            <w:pPr>
              <w:spacing w:before="40" w:after="40" w:line="240" w:lineRule="auto"/>
              <w:jc w:val="center"/>
              <w:rPr>
                <w:rFonts w:ascii="Century Gothic" w:eastAsia="Times New Roman" w:hAnsi="Century Gothic" w:cs="Calibri"/>
                <w:color w:val="000000"/>
                <w:sz w:val="17"/>
                <w:szCs w:val="17"/>
                <w:lang w:eastAsia="es-MX"/>
              </w:rPr>
            </w:pPr>
            <w:r>
              <w:rPr>
                <w:rFonts w:ascii="Century Gothic" w:hAnsi="Century Gothic" w:cs="Calibri"/>
                <w:color w:val="000000"/>
                <w:sz w:val="17"/>
                <w:szCs w:val="17"/>
              </w:rPr>
              <w:t>0</w:t>
            </w:r>
          </w:p>
        </w:tc>
        <w:tc>
          <w:tcPr>
            <w:tcW w:w="247" w:type="pct"/>
            <w:tcBorders>
              <w:top w:val="nil"/>
              <w:left w:val="nil"/>
              <w:bottom w:val="single" w:sz="8" w:space="0" w:color="FFFFFF"/>
              <w:right w:val="single" w:sz="8" w:space="0" w:color="FFFFFF"/>
            </w:tcBorders>
            <w:shd w:val="clear" w:color="000000" w:fill="FFE599"/>
            <w:vAlign w:val="center"/>
            <w:hideMark/>
          </w:tcPr>
          <w:p w14:paraId="6B74D62A" w14:textId="77777777" w:rsidR="00F560FD" w:rsidRPr="00880BCA" w:rsidRDefault="00F560FD" w:rsidP="006A0658">
            <w:pPr>
              <w:spacing w:before="40" w:after="40" w:line="240" w:lineRule="auto"/>
              <w:jc w:val="center"/>
              <w:rPr>
                <w:rFonts w:ascii="Century Gothic" w:eastAsia="Times New Roman" w:hAnsi="Century Gothic" w:cs="Calibri"/>
                <w:b/>
                <w:bCs/>
                <w:color w:val="548235"/>
                <w:sz w:val="17"/>
                <w:szCs w:val="17"/>
                <w:lang w:eastAsia="es-MX"/>
              </w:rPr>
            </w:pPr>
            <w:r>
              <w:rPr>
                <w:rFonts w:ascii="Century Gothic" w:hAnsi="Century Gothic" w:cs="Calibri"/>
                <w:color w:val="000000"/>
                <w:sz w:val="17"/>
                <w:szCs w:val="17"/>
              </w:rPr>
              <w:t>0</w:t>
            </w:r>
          </w:p>
        </w:tc>
        <w:tc>
          <w:tcPr>
            <w:tcW w:w="207" w:type="pct"/>
            <w:tcBorders>
              <w:top w:val="nil"/>
              <w:left w:val="nil"/>
              <w:bottom w:val="single" w:sz="8" w:space="0" w:color="FFFFFF"/>
              <w:right w:val="single" w:sz="8" w:space="0" w:color="FFFFFF"/>
            </w:tcBorders>
            <w:shd w:val="clear" w:color="000000" w:fill="FFE599"/>
            <w:vAlign w:val="center"/>
            <w:hideMark/>
          </w:tcPr>
          <w:p w14:paraId="7C4901AA" w14:textId="77777777" w:rsidR="00F560FD" w:rsidRPr="00880BCA" w:rsidRDefault="00F560FD" w:rsidP="006A0658">
            <w:pPr>
              <w:spacing w:before="40" w:after="40" w:line="240" w:lineRule="auto"/>
              <w:jc w:val="center"/>
              <w:rPr>
                <w:rFonts w:ascii="Century Gothic" w:eastAsia="Times New Roman" w:hAnsi="Century Gothic" w:cs="Calibri"/>
                <w:color w:val="000000"/>
                <w:sz w:val="17"/>
                <w:szCs w:val="17"/>
                <w:lang w:eastAsia="es-MX"/>
              </w:rPr>
            </w:pPr>
            <w:r>
              <w:rPr>
                <w:rFonts w:ascii="Century Gothic" w:hAnsi="Century Gothic" w:cs="Calibri"/>
                <w:color w:val="000000"/>
                <w:sz w:val="17"/>
                <w:szCs w:val="17"/>
              </w:rPr>
              <w:t xml:space="preserve">- </w:t>
            </w:r>
          </w:p>
        </w:tc>
        <w:tc>
          <w:tcPr>
            <w:tcW w:w="472" w:type="pct"/>
            <w:tcBorders>
              <w:top w:val="nil"/>
              <w:left w:val="nil"/>
              <w:bottom w:val="single" w:sz="8" w:space="0" w:color="FFFFFF"/>
              <w:right w:val="single" w:sz="8" w:space="0" w:color="FFFFFF"/>
            </w:tcBorders>
            <w:shd w:val="clear" w:color="000000" w:fill="FFE599"/>
            <w:vAlign w:val="center"/>
            <w:hideMark/>
          </w:tcPr>
          <w:p w14:paraId="17D1D311" w14:textId="77777777" w:rsidR="00F560FD" w:rsidRPr="00880BCA" w:rsidRDefault="00F560FD" w:rsidP="006A0658">
            <w:pPr>
              <w:spacing w:before="40" w:after="40" w:line="240" w:lineRule="auto"/>
              <w:jc w:val="center"/>
              <w:rPr>
                <w:rFonts w:ascii="Century Gothic" w:eastAsia="Times New Roman" w:hAnsi="Century Gothic" w:cs="Calibri"/>
                <w:color w:val="000000"/>
                <w:sz w:val="17"/>
                <w:szCs w:val="17"/>
                <w:lang w:eastAsia="es-MX"/>
              </w:rPr>
            </w:pPr>
            <w:r>
              <w:rPr>
                <w:rFonts w:ascii="Century Gothic" w:hAnsi="Century Gothic" w:cs="Calibri"/>
                <w:color w:val="000000"/>
                <w:sz w:val="17"/>
                <w:szCs w:val="17"/>
              </w:rPr>
              <w:t>9</w:t>
            </w:r>
          </w:p>
        </w:tc>
        <w:tc>
          <w:tcPr>
            <w:tcW w:w="233" w:type="pct"/>
            <w:tcBorders>
              <w:top w:val="nil"/>
              <w:left w:val="nil"/>
              <w:bottom w:val="single" w:sz="8" w:space="0" w:color="FFFFFF"/>
              <w:right w:val="single" w:sz="8" w:space="0" w:color="FFFFFF"/>
            </w:tcBorders>
            <w:shd w:val="clear" w:color="000000" w:fill="FFE599"/>
            <w:vAlign w:val="center"/>
            <w:hideMark/>
          </w:tcPr>
          <w:p w14:paraId="679AF3D6" w14:textId="77777777" w:rsidR="00F560FD" w:rsidRPr="00880BCA" w:rsidRDefault="00F560FD" w:rsidP="006A0658">
            <w:pPr>
              <w:spacing w:before="40" w:after="40" w:line="240" w:lineRule="auto"/>
              <w:jc w:val="center"/>
              <w:rPr>
                <w:rFonts w:ascii="Century Gothic" w:eastAsia="Times New Roman" w:hAnsi="Century Gothic" w:cs="Calibri"/>
                <w:color w:val="000000"/>
                <w:sz w:val="17"/>
                <w:szCs w:val="17"/>
                <w:lang w:eastAsia="es-MX"/>
              </w:rPr>
            </w:pPr>
            <w:r>
              <w:rPr>
                <w:rFonts w:ascii="Century Gothic" w:hAnsi="Century Gothic" w:cs="Calibri"/>
                <w:color w:val="000000"/>
                <w:sz w:val="17"/>
                <w:szCs w:val="17"/>
              </w:rPr>
              <w:t>14</w:t>
            </w:r>
          </w:p>
        </w:tc>
      </w:tr>
      <w:tr w:rsidR="00F560FD" w:rsidRPr="00880BCA" w14:paraId="17BC8470" w14:textId="77777777" w:rsidTr="006A0658">
        <w:trPr>
          <w:trHeight w:val="31"/>
          <w:jc w:val="center"/>
        </w:trPr>
        <w:tc>
          <w:tcPr>
            <w:tcW w:w="2067" w:type="pct"/>
            <w:tcBorders>
              <w:top w:val="nil"/>
              <w:left w:val="nil"/>
              <w:bottom w:val="single" w:sz="8" w:space="0" w:color="FFFFFF"/>
              <w:right w:val="single" w:sz="8" w:space="0" w:color="FFFFFF"/>
            </w:tcBorders>
            <w:shd w:val="clear" w:color="000000" w:fill="D9D9D9"/>
            <w:vAlign w:val="center"/>
            <w:hideMark/>
          </w:tcPr>
          <w:p w14:paraId="34BEBDC1" w14:textId="77777777" w:rsidR="00F560FD" w:rsidRPr="00880BCA" w:rsidRDefault="00F560FD" w:rsidP="006A0658">
            <w:pPr>
              <w:spacing w:before="40" w:after="40" w:line="240" w:lineRule="auto"/>
              <w:rPr>
                <w:rFonts w:ascii="Century Gothic" w:eastAsia="Times New Roman" w:hAnsi="Century Gothic" w:cs="Calibri"/>
                <w:color w:val="000000"/>
                <w:sz w:val="17"/>
                <w:szCs w:val="17"/>
                <w:lang w:eastAsia="es-MX"/>
              </w:rPr>
            </w:pPr>
            <w:r w:rsidRPr="00880BCA">
              <w:rPr>
                <w:rFonts w:ascii="Century Gothic" w:eastAsia="Times New Roman" w:hAnsi="Century Gothic" w:cs="Calibri"/>
                <w:color w:val="000000"/>
                <w:sz w:val="17"/>
                <w:szCs w:val="17"/>
                <w:lang w:eastAsia="es-MX"/>
              </w:rPr>
              <w:t>Estadísticas sobre Relaciones Laborales de Jurisdicción Local</w:t>
            </w:r>
          </w:p>
        </w:tc>
        <w:tc>
          <w:tcPr>
            <w:tcW w:w="345" w:type="pct"/>
            <w:tcBorders>
              <w:top w:val="nil"/>
              <w:left w:val="nil"/>
              <w:bottom w:val="single" w:sz="8" w:space="0" w:color="FFFFFF"/>
              <w:right w:val="single" w:sz="8" w:space="0" w:color="FFFFFF"/>
            </w:tcBorders>
            <w:shd w:val="clear" w:color="000000" w:fill="D9D9D9"/>
            <w:vAlign w:val="center"/>
            <w:hideMark/>
          </w:tcPr>
          <w:p w14:paraId="1482588D" w14:textId="77777777" w:rsidR="00F560FD" w:rsidRPr="00880BCA" w:rsidRDefault="00F560FD" w:rsidP="006A0658">
            <w:pPr>
              <w:spacing w:before="40" w:after="40" w:line="240" w:lineRule="auto"/>
              <w:rPr>
                <w:rFonts w:ascii="Century Gothic" w:eastAsia="Times New Roman" w:hAnsi="Century Gothic" w:cs="Calibri"/>
                <w:color w:val="000000"/>
                <w:sz w:val="17"/>
                <w:szCs w:val="17"/>
                <w:lang w:eastAsia="es-MX"/>
              </w:rPr>
            </w:pPr>
            <w:r w:rsidRPr="00880BCA">
              <w:rPr>
                <w:rFonts w:ascii="Century Gothic" w:eastAsia="Times New Roman" w:hAnsi="Century Gothic" w:cs="Calibri"/>
                <w:color w:val="000000"/>
                <w:sz w:val="17"/>
                <w:szCs w:val="17"/>
                <w:lang w:eastAsia="es-MX"/>
              </w:rPr>
              <w:t>ERLAJUL</w:t>
            </w:r>
          </w:p>
        </w:tc>
        <w:tc>
          <w:tcPr>
            <w:tcW w:w="247" w:type="pct"/>
            <w:tcBorders>
              <w:top w:val="nil"/>
              <w:left w:val="nil"/>
              <w:bottom w:val="single" w:sz="8" w:space="0" w:color="FFFFFF"/>
              <w:right w:val="single" w:sz="8" w:space="0" w:color="FFFFFF"/>
            </w:tcBorders>
            <w:shd w:val="clear" w:color="000000" w:fill="D9D9D9"/>
            <w:vAlign w:val="center"/>
            <w:hideMark/>
          </w:tcPr>
          <w:p w14:paraId="678BDEFB" w14:textId="77777777" w:rsidR="00F560FD" w:rsidRPr="00880BCA" w:rsidRDefault="00F560FD" w:rsidP="006A0658">
            <w:pPr>
              <w:spacing w:before="40" w:after="40" w:line="240" w:lineRule="auto"/>
              <w:jc w:val="center"/>
              <w:rPr>
                <w:rFonts w:ascii="Century Gothic" w:eastAsia="Times New Roman" w:hAnsi="Century Gothic" w:cs="Calibri"/>
                <w:color w:val="000000"/>
                <w:sz w:val="17"/>
                <w:szCs w:val="17"/>
                <w:lang w:eastAsia="es-MX"/>
              </w:rPr>
            </w:pPr>
            <w:r w:rsidRPr="00880BCA">
              <w:rPr>
                <w:rFonts w:ascii="Century Gothic" w:eastAsia="Times New Roman" w:hAnsi="Century Gothic" w:cs="Calibri"/>
                <w:color w:val="000000"/>
                <w:sz w:val="17"/>
                <w:szCs w:val="17"/>
                <w:lang w:eastAsia="es-MX"/>
              </w:rPr>
              <w:t>-</w:t>
            </w:r>
          </w:p>
        </w:tc>
        <w:tc>
          <w:tcPr>
            <w:tcW w:w="207" w:type="pct"/>
            <w:tcBorders>
              <w:top w:val="nil"/>
              <w:left w:val="nil"/>
              <w:bottom w:val="single" w:sz="8" w:space="0" w:color="FFFFFF"/>
              <w:right w:val="single" w:sz="8" w:space="0" w:color="FFFFFF"/>
            </w:tcBorders>
            <w:shd w:val="clear" w:color="000000" w:fill="D9D9D9"/>
            <w:vAlign w:val="center"/>
            <w:hideMark/>
          </w:tcPr>
          <w:p w14:paraId="7BF62124" w14:textId="77777777" w:rsidR="00F560FD" w:rsidRPr="00880BCA" w:rsidRDefault="00F560FD" w:rsidP="006A0658">
            <w:pPr>
              <w:spacing w:before="40" w:after="40" w:line="240" w:lineRule="auto"/>
              <w:jc w:val="center"/>
              <w:rPr>
                <w:rFonts w:ascii="Century Gothic" w:eastAsia="Times New Roman" w:hAnsi="Century Gothic" w:cs="Calibri"/>
                <w:color w:val="000000"/>
                <w:sz w:val="17"/>
                <w:szCs w:val="17"/>
                <w:lang w:eastAsia="es-MX"/>
              </w:rPr>
            </w:pPr>
            <w:r w:rsidRPr="00880BCA">
              <w:rPr>
                <w:rFonts w:ascii="Century Gothic" w:eastAsia="Times New Roman" w:hAnsi="Century Gothic" w:cs="Calibri"/>
                <w:color w:val="000000"/>
                <w:sz w:val="17"/>
                <w:szCs w:val="17"/>
                <w:lang w:eastAsia="es-MX"/>
              </w:rPr>
              <w:t>7</w:t>
            </w:r>
          </w:p>
        </w:tc>
        <w:tc>
          <w:tcPr>
            <w:tcW w:w="309" w:type="pct"/>
            <w:tcBorders>
              <w:top w:val="nil"/>
              <w:left w:val="nil"/>
              <w:bottom w:val="single" w:sz="8" w:space="0" w:color="FFFFFF"/>
              <w:right w:val="single" w:sz="8" w:space="0" w:color="FFFFFF"/>
            </w:tcBorders>
            <w:shd w:val="clear" w:color="000000" w:fill="D9D9D9"/>
            <w:vAlign w:val="center"/>
            <w:hideMark/>
          </w:tcPr>
          <w:p w14:paraId="2C6259BD" w14:textId="77777777" w:rsidR="00F560FD" w:rsidRPr="00880BCA" w:rsidRDefault="00F560FD" w:rsidP="006A0658">
            <w:pPr>
              <w:spacing w:before="40" w:after="40" w:line="240" w:lineRule="auto"/>
              <w:jc w:val="center"/>
              <w:rPr>
                <w:rFonts w:ascii="Century Gothic" w:eastAsia="Times New Roman" w:hAnsi="Century Gothic" w:cs="Calibri"/>
                <w:color w:val="000000"/>
                <w:sz w:val="17"/>
                <w:szCs w:val="17"/>
                <w:lang w:eastAsia="es-MX"/>
              </w:rPr>
            </w:pPr>
            <w:r w:rsidRPr="00880BCA">
              <w:rPr>
                <w:rFonts w:ascii="Century Gothic" w:eastAsia="Times New Roman" w:hAnsi="Century Gothic" w:cs="Calibri"/>
                <w:color w:val="000000"/>
                <w:sz w:val="17"/>
                <w:szCs w:val="17"/>
                <w:lang w:eastAsia="es-MX"/>
              </w:rPr>
              <w:t>8</w:t>
            </w:r>
          </w:p>
        </w:tc>
        <w:tc>
          <w:tcPr>
            <w:tcW w:w="223" w:type="pct"/>
            <w:tcBorders>
              <w:top w:val="nil"/>
              <w:left w:val="nil"/>
              <w:bottom w:val="single" w:sz="8" w:space="0" w:color="FFFFFF"/>
              <w:right w:val="single" w:sz="8" w:space="0" w:color="FFFFFF"/>
            </w:tcBorders>
            <w:shd w:val="clear" w:color="000000" w:fill="FFE599"/>
            <w:vAlign w:val="center"/>
            <w:hideMark/>
          </w:tcPr>
          <w:p w14:paraId="541984A5" w14:textId="77777777" w:rsidR="00F560FD" w:rsidRPr="00880BCA" w:rsidRDefault="00F560FD" w:rsidP="006A0658">
            <w:pPr>
              <w:spacing w:before="40" w:after="40" w:line="240" w:lineRule="auto"/>
              <w:jc w:val="center"/>
              <w:rPr>
                <w:rFonts w:ascii="Century Gothic" w:eastAsia="Times New Roman" w:hAnsi="Century Gothic" w:cs="Calibri"/>
                <w:color w:val="000000"/>
                <w:sz w:val="17"/>
                <w:szCs w:val="17"/>
                <w:lang w:eastAsia="es-MX"/>
              </w:rPr>
            </w:pPr>
            <w:r>
              <w:rPr>
                <w:rFonts w:ascii="Century Gothic" w:hAnsi="Century Gothic" w:cs="Calibri"/>
                <w:color w:val="000000"/>
                <w:sz w:val="17"/>
                <w:szCs w:val="17"/>
              </w:rPr>
              <w:t>-</w:t>
            </w:r>
          </w:p>
        </w:tc>
        <w:tc>
          <w:tcPr>
            <w:tcW w:w="444" w:type="pct"/>
            <w:tcBorders>
              <w:top w:val="nil"/>
              <w:left w:val="nil"/>
              <w:bottom w:val="single" w:sz="8" w:space="0" w:color="FFFFFF"/>
              <w:right w:val="single" w:sz="8" w:space="0" w:color="FFFFFF"/>
            </w:tcBorders>
            <w:shd w:val="clear" w:color="000000" w:fill="FFE599"/>
            <w:vAlign w:val="center"/>
            <w:hideMark/>
          </w:tcPr>
          <w:p w14:paraId="720297BD" w14:textId="77777777" w:rsidR="00F560FD" w:rsidRPr="00880BCA" w:rsidRDefault="00F560FD" w:rsidP="006A0658">
            <w:pPr>
              <w:spacing w:before="40" w:after="40" w:line="240" w:lineRule="auto"/>
              <w:jc w:val="center"/>
              <w:rPr>
                <w:rFonts w:ascii="Century Gothic" w:eastAsia="Times New Roman" w:hAnsi="Century Gothic" w:cs="Calibri"/>
                <w:color w:val="000000"/>
                <w:sz w:val="17"/>
                <w:szCs w:val="17"/>
                <w:lang w:eastAsia="es-MX"/>
              </w:rPr>
            </w:pPr>
            <w:r>
              <w:rPr>
                <w:rFonts w:ascii="Century Gothic" w:hAnsi="Century Gothic" w:cs="Calibri"/>
                <w:color w:val="000000"/>
                <w:sz w:val="17"/>
                <w:szCs w:val="17"/>
              </w:rPr>
              <w:t>12</w:t>
            </w:r>
          </w:p>
        </w:tc>
        <w:tc>
          <w:tcPr>
            <w:tcW w:w="247" w:type="pct"/>
            <w:tcBorders>
              <w:top w:val="nil"/>
              <w:left w:val="nil"/>
              <w:bottom w:val="single" w:sz="8" w:space="0" w:color="FFFFFF"/>
              <w:right w:val="single" w:sz="8" w:space="0" w:color="FFFFFF"/>
            </w:tcBorders>
            <w:shd w:val="clear" w:color="000000" w:fill="FFE599"/>
            <w:vAlign w:val="center"/>
            <w:hideMark/>
          </w:tcPr>
          <w:p w14:paraId="688419C8" w14:textId="77777777" w:rsidR="00F560FD" w:rsidRPr="00880BCA" w:rsidRDefault="00F560FD" w:rsidP="006A0658">
            <w:pPr>
              <w:spacing w:before="40" w:after="40" w:line="240" w:lineRule="auto"/>
              <w:jc w:val="center"/>
              <w:rPr>
                <w:rFonts w:ascii="Century Gothic" w:eastAsia="Times New Roman" w:hAnsi="Century Gothic" w:cs="Calibri"/>
                <w:b/>
                <w:bCs/>
                <w:sz w:val="17"/>
                <w:szCs w:val="17"/>
                <w:lang w:eastAsia="es-MX"/>
              </w:rPr>
            </w:pPr>
            <w:r>
              <w:rPr>
                <w:rFonts w:ascii="Century Gothic" w:hAnsi="Century Gothic" w:cs="Calibri"/>
                <w:b/>
                <w:bCs/>
                <w:sz w:val="17"/>
                <w:szCs w:val="17"/>
              </w:rPr>
              <w:t>11</w:t>
            </w:r>
          </w:p>
        </w:tc>
        <w:tc>
          <w:tcPr>
            <w:tcW w:w="207" w:type="pct"/>
            <w:tcBorders>
              <w:top w:val="nil"/>
              <w:left w:val="nil"/>
              <w:bottom w:val="single" w:sz="8" w:space="0" w:color="FFFFFF"/>
              <w:right w:val="single" w:sz="8" w:space="0" w:color="FFFFFF"/>
            </w:tcBorders>
            <w:shd w:val="clear" w:color="000000" w:fill="FFE599"/>
            <w:vAlign w:val="center"/>
            <w:hideMark/>
          </w:tcPr>
          <w:p w14:paraId="2EDDEBB1" w14:textId="77777777" w:rsidR="00F560FD" w:rsidRPr="00880BCA" w:rsidRDefault="00F560FD" w:rsidP="006A0658">
            <w:pPr>
              <w:spacing w:before="40" w:after="40" w:line="240" w:lineRule="auto"/>
              <w:jc w:val="center"/>
              <w:rPr>
                <w:rFonts w:ascii="Century Gothic" w:eastAsia="Times New Roman" w:hAnsi="Century Gothic" w:cs="Calibri"/>
                <w:color w:val="000000"/>
                <w:sz w:val="17"/>
                <w:szCs w:val="17"/>
                <w:lang w:eastAsia="es-MX"/>
              </w:rPr>
            </w:pPr>
            <w:r>
              <w:rPr>
                <w:rFonts w:ascii="Century Gothic" w:hAnsi="Century Gothic" w:cs="Calibri"/>
                <w:color w:val="000000"/>
                <w:sz w:val="17"/>
                <w:szCs w:val="17"/>
              </w:rPr>
              <w:t>-</w:t>
            </w:r>
          </w:p>
        </w:tc>
        <w:tc>
          <w:tcPr>
            <w:tcW w:w="472" w:type="pct"/>
            <w:tcBorders>
              <w:top w:val="nil"/>
              <w:left w:val="nil"/>
              <w:bottom w:val="single" w:sz="8" w:space="0" w:color="FFFFFF"/>
              <w:right w:val="single" w:sz="8" w:space="0" w:color="FFFFFF"/>
            </w:tcBorders>
            <w:shd w:val="clear" w:color="000000" w:fill="FFE599"/>
            <w:vAlign w:val="center"/>
            <w:hideMark/>
          </w:tcPr>
          <w:p w14:paraId="12A7BD92" w14:textId="77777777" w:rsidR="00F560FD" w:rsidRPr="00880BCA" w:rsidRDefault="00F560FD" w:rsidP="006A0658">
            <w:pPr>
              <w:spacing w:before="40" w:after="40" w:line="240" w:lineRule="auto"/>
              <w:jc w:val="center"/>
              <w:rPr>
                <w:rFonts w:ascii="Century Gothic" w:eastAsia="Times New Roman" w:hAnsi="Century Gothic" w:cs="Calibri"/>
                <w:color w:val="000000"/>
                <w:sz w:val="17"/>
                <w:szCs w:val="17"/>
                <w:lang w:eastAsia="es-MX"/>
              </w:rPr>
            </w:pPr>
            <w:r>
              <w:rPr>
                <w:rFonts w:ascii="Century Gothic" w:hAnsi="Century Gothic" w:cs="Calibri"/>
                <w:color w:val="000000"/>
                <w:sz w:val="17"/>
                <w:szCs w:val="17"/>
              </w:rPr>
              <w:t>100</w:t>
            </w:r>
          </w:p>
        </w:tc>
        <w:tc>
          <w:tcPr>
            <w:tcW w:w="233" w:type="pct"/>
            <w:tcBorders>
              <w:top w:val="nil"/>
              <w:left w:val="nil"/>
              <w:bottom w:val="single" w:sz="8" w:space="0" w:color="FFFFFF"/>
              <w:right w:val="single" w:sz="8" w:space="0" w:color="FFFFFF"/>
            </w:tcBorders>
            <w:shd w:val="clear" w:color="000000" w:fill="FFE599"/>
            <w:vAlign w:val="center"/>
            <w:hideMark/>
          </w:tcPr>
          <w:p w14:paraId="48203C77" w14:textId="77777777" w:rsidR="00F560FD" w:rsidRPr="00880BCA" w:rsidRDefault="00F560FD" w:rsidP="006A0658">
            <w:pPr>
              <w:spacing w:before="40" w:after="40" w:line="240" w:lineRule="auto"/>
              <w:jc w:val="center"/>
              <w:rPr>
                <w:rFonts w:ascii="Century Gothic" w:eastAsia="Times New Roman" w:hAnsi="Century Gothic" w:cs="Calibri"/>
                <w:color w:val="000000"/>
                <w:sz w:val="17"/>
                <w:szCs w:val="17"/>
                <w:lang w:eastAsia="es-MX"/>
              </w:rPr>
            </w:pPr>
            <w:r>
              <w:rPr>
                <w:rFonts w:ascii="Century Gothic" w:hAnsi="Century Gothic" w:cs="Calibri"/>
                <w:color w:val="000000"/>
                <w:sz w:val="17"/>
                <w:szCs w:val="17"/>
              </w:rPr>
              <w:t>100</w:t>
            </w:r>
          </w:p>
        </w:tc>
      </w:tr>
    </w:tbl>
    <w:p w14:paraId="3631830C" w14:textId="77777777" w:rsidR="00F560FD" w:rsidRDefault="00F560FD" w:rsidP="00F560FD">
      <w:pPr>
        <w:spacing w:before="40" w:after="40"/>
        <w:jc w:val="both"/>
        <w:rPr>
          <w:rFonts w:ascii="Century Gothic" w:hAnsi="Century Gothic"/>
          <w:sz w:val="15"/>
          <w:szCs w:val="15"/>
        </w:rPr>
      </w:pPr>
      <w:r>
        <w:rPr>
          <w:rFonts w:ascii="Century Gothic" w:hAnsi="Century Gothic"/>
          <w:sz w:val="15"/>
          <w:szCs w:val="15"/>
        </w:rPr>
        <w:t>/a Los programas VMRC y ESGRM reportaron en 2021, una versión anualizada de los indicadores correspondientes al periodo de referencia de la información (2020).</w:t>
      </w:r>
    </w:p>
    <w:p w14:paraId="247D2C57" w14:textId="77777777" w:rsidR="00F560FD" w:rsidRPr="006B660A" w:rsidRDefault="00F560FD" w:rsidP="00F560FD">
      <w:pPr>
        <w:spacing w:before="40" w:after="40"/>
        <w:jc w:val="both"/>
        <w:rPr>
          <w:rFonts w:ascii="Century Gothic" w:hAnsi="Century Gothic"/>
          <w:sz w:val="15"/>
          <w:szCs w:val="15"/>
        </w:rPr>
      </w:pPr>
      <w:r w:rsidRPr="00802460">
        <w:rPr>
          <w:rFonts w:ascii="Century Gothic" w:hAnsi="Century Gothic"/>
          <w:sz w:val="15"/>
          <w:szCs w:val="15"/>
        </w:rPr>
        <w:t>* Estos datos son los reportados en el Informe Anual de Resultados 2019</w:t>
      </w:r>
      <w:r>
        <w:rPr>
          <w:rFonts w:ascii="Century Gothic" w:hAnsi="Century Gothic"/>
          <w:sz w:val="15"/>
          <w:szCs w:val="15"/>
        </w:rPr>
        <w:t xml:space="preserve"> y 2020 respectivamente </w:t>
      </w:r>
    </w:p>
    <w:p w14:paraId="711ADC4B" w14:textId="77777777" w:rsidR="00F560FD" w:rsidRPr="00802460" w:rsidRDefault="00F560FD" w:rsidP="00F560FD">
      <w:pPr>
        <w:spacing w:before="40" w:after="40"/>
        <w:jc w:val="both"/>
        <w:rPr>
          <w:rFonts w:ascii="Century Gothic" w:hAnsi="Century Gothic"/>
          <w:sz w:val="15"/>
          <w:szCs w:val="15"/>
        </w:rPr>
      </w:pPr>
      <w:r w:rsidRPr="006B660A">
        <w:rPr>
          <w:rFonts w:ascii="Century Gothic" w:hAnsi="Century Gothic"/>
          <w:sz w:val="15"/>
          <w:szCs w:val="15"/>
        </w:rPr>
        <w:t>** Estos datos corresponden a los indicadores registrados en metadatos durante 2021, independientemente del período de publicación de la información.</w:t>
      </w:r>
    </w:p>
    <w:p w14:paraId="0DD3566E" w14:textId="4DC48319" w:rsidR="00CC39BD" w:rsidRDefault="004E7CB5" w:rsidP="00F560FD"/>
    <w:sectPr w:rsidR="00CC39BD" w:rsidSect="00F560F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722F0C"/>
    <w:multiLevelType w:val="hybridMultilevel"/>
    <w:tmpl w:val="E666968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62B632E3"/>
    <w:multiLevelType w:val="hybridMultilevel"/>
    <w:tmpl w:val="CA6898E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1347097234">
    <w:abstractNumId w:val="0"/>
  </w:num>
  <w:num w:numId="2" w16cid:durableId="5056296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0FD"/>
    <w:rsid w:val="001D65B5"/>
    <w:rsid w:val="00323E8D"/>
    <w:rsid w:val="004B6E66"/>
    <w:rsid w:val="004E7CB5"/>
    <w:rsid w:val="00F560FD"/>
    <w:rsid w:val="00F85E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94B44"/>
  <w15:chartTrackingRefBased/>
  <w15:docId w15:val="{61953509-C7B3-4D94-8CF8-BB1DCA8F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0FD"/>
  </w:style>
  <w:style w:type="paragraph" w:styleId="Ttulo1">
    <w:name w:val="heading 1"/>
    <w:basedOn w:val="Normal"/>
    <w:next w:val="Normal"/>
    <w:link w:val="Ttulo1Car"/>
    <w:uiPriority w:val="9"/>
    <w:qFormat/>
    <w:rsid w:val="00F560F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560FD"/>
    <w:pPr>
      <w:autoSpaceDE w:val="0"/>
      <w:autoSpaceDN w:val="0"/>
      <w:adjustRightInd w:val="0"/>
      <w:spacing w:after="0" w:line="240" w:lineRule="auto"/>
    </w:pPr>
    <w:rPr>
      <w:rFonts w:ascii="Calibri" w:hAnsi="Calibri" w:cs="Calibri"/>
      <w:color w:val="000000"/>
      <w:sz w:val="24"/>
      <w:szCs w:val="24"/>
      <w:lang w:val="en-US"/>
    </w:rPr>
  </w:style>
  <w:style w:type="character" w:customStyle="1" w:styleId="Ttulo1Car">
    <w:name w:val="Título 1 Car"/>
    <w:basedOn w:val="Fuentedeprrafopredeter"/>
    <w:link w:val="Ttulo1"/>
    <w:uiPriority w:val="9"/>
    <w:rsid w:val="00F560FD"/>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F560FD"/>
    <w:pPr>
      <w:outlineLvl w:val="9"/>
    </w:pPr>
    <w:rPr>
      <w:lang w:val="en-US"/>
    </w:rPr>
  </w:style>
  <w:style w:type="table" w:styleId="Tablaconcuadrcula">
    <w:name w:val="Table Grid"/>
    <w:basedOn w:val="Tablanormal"/>
    <w:uiPriority w:val="39"/>
    <w:rsid w:val="00F560F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13" Type="http://schemas.openxmlformats.org/officeDocument/2006/relationships/image" Target="media/image9.emf"/><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emf"/><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2087</Words>
  <Characters>11483</Characters>
  <Application>Microsoft Office Word</Application>
  <DocSecurity>0</DocSecurity>
  <Lines>95</Lines>
  <Paragraphs>27</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Anexo 3: Marco conceptual y resultados de indicadores para programas de informac</vt:lpstr>
    </vt:vector>
  </TitlesOfParts>
  <Company/>
  <LinksUpToDate>false</LinksUpToDate>
  <CharactersWithSpaces>13543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TORROJA MATEU NURIA</dc:creator>
  <cp:keywords/>
  <dc:description/>
  <cp:lastModifiedBy>TORROJA MATEU NURIA</cp:lastModifiedBy>
  <cp:revision>1</cp:revision>
  <dcterms:created xsi:type="dcterms:W3CDTF">2022-06-29T18:42:00Z</dcterms:created>
  <dcterms:modified xsi:type="dcterms:W3CDTF">2022-06-29T18:48:00Z</dcterms:modified>
</cp:coreProperties>
</file>