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4" w:type="dxa"/>
        <w:tblInd w:w="-1139" w:type="dxa"/>
        <w:tblLayout w:type="fixed"/>
        <w:tblLook w:val="04A0" w:firstRow="1" w:lastRow="0" w:firstColumn="1" w:lastColumn="0" w:noHBand="0" w:noVBand="1"/>
      </w:tblPr>
      <w:tblGrid>
        <w:gridCol w:w="236"/>
        <w:gridCol w:w="9408"/>
      </w:tblGrid>
      <w:tr w:rsidR="00FC1837" w:rsidRPr="00296E53" w14:paraId="72982558" w14:textId="77777777" w:rsidTr="00FC1837">
        <w:trPr>
          <w:trHeight w:val="433"/>
        </w:trPr>
        <w:tc>
          <w:tcPr>
            <w:tcW w:w="222" w:type="dxa"/>
            <w:shd w:val="clear" w:color="auto" w:fill="auto"/>
          </w:tcPr>
          <w:p w14:paraId="5BB4245B" w14:textId="77777777" w:rsidR="00FC1837" w:rsidRPr="00863CC5" w:rsidRDefault="00FC1837" w:rsidP="00EF2651">
            <w:pPr>
              <w:pStyle w:val="Prrafodelista"/>
              <w:numPr>
                <w:ilvl w:val="0"/>
                <w:numId w:val="1"/>
              </w:numPr>
              <w:spacing w:before="40" w:after="40"/>
              <w:rPr>
                <w:rFonts w:cstheme="minorHAnsi"/>
                <w:color w:val="0079BF"/>
                <w:sz w:val="2"/>
                <w:szCs w:val="18"/>
              </w:rPr>
            </w:pPr>
          </w:p>
        </w:tc>
        <w:tc>
          <w:tcPr>
            <w:tcW w:w="9422" w:type="dxa"/>
            <w:shd w:val="clear" w:color="auto" w:fill="auto"/>
          </w:tcPr>
          <w:tbl>
            <w:tblPr>
              <w:tblW w:w="12763" w:type="dxa"/>
              <w:tblLayout w:type="fixed"/>
              <w:tblLook w:val="04A0" w:firstRow="1" w:lastRow="0" w:firstColumn="1" w:lastColumn="0" w:noHBand="0" w:noVBand="1"/>
            </w:tblPr>
            <w:tblGrid>
              <w:gridCol w:w="12763"/>
            </w:tblGrid>
            <w:tr w:rsidR="00FC1837" w:rsidRPr="00296E53" w14:paraId="3CA24015" w14:textId="77777777" w:rsidTr="00FC1837">
              <w:trPr>
                <w:trHeight w:val="201"/>
              </w:trPr>
              <w:tc>
                <w:tcPr>
                  <w:tcW w:w="12763" w:type="dxa"/>
                  <w:shd w:val="clear" w:color="auto" w:fill="auto"/>
                </w:tcPr>
                <w:p w14:paraId="28E38CEE" w14:textId="77777777" w:rsidR="00FC1837" w:rsidRPr="007E3C9F" w:rsidRDefault="00FC1837" w:rsidP="00FC1837">
                  <w:pPr>
                    <w:pStyle w:val="Ttulo1"/>
                    <w:spacing w:before="40" w:after="40"/>
                    <w:ind w:left="705" w:right="748"/>
                    <w:rPr>
                      <w:rFonts w:ascii="Century Gothic" w:hAnsi="Century Gothic" w:cstheme="minorHAnsi"/>
                      <w:b/>
                      <w:bCs/>
                      <w:color w:val="0079BF"/>
                    </w:rPr>
                  </w:pPr>
                  <w:bookmarkStart w:id="0" w:name="_Toc99626577"/>
                  <w:r>
                    <w:rPr>
                      <w:rFonts w:ascii="Century Gothic" w:hAnsi="Century Gothic" w:cstheme="minorHAnsi"/>
                      <w:b/>
                      <w:bCs/>
                      <w:color w:val="0079BF"/>
                    </w:rPr>
                    <w:t xml:space="preserve">III. </w:t>
                  </w:r>
                  <w:r w:rsidRPr="007E3C9F">
                    <w:rPr>
                      <w:rFonts w:ascii="Century Gothic" w:hAnsi="Century Gothic" w:cstheme="minorHAnsi"/>
                      <w:b/>
                      <w:bCs/>
                      <w:color w:val="0079BF"/>
                    </w:rPr>
                    <w:t>RESULTADOS DE LOS INDICADORES DE CALIDAD</w:t>
                  </w:r>
                  <w:bookmarkEnd w:id="0"/>
                </w:p>
              </w:tc>
            </w:tr>
          </w:tbl>
          <w:p w14:paraId="37813341" w14:textId="77777777" w:rsidR="00FC1837" w:rsidRPr="00296E53" w:rsidRDefault="00FC1837" w:rsidP="00EF2651">
            <w:pPr>
              <w:spacing w:before="40" w:after="40"/>
              <w:ind w:right="747"/>
              <w:jc w:val="right"/>
              <w:rPr>
                <w:rFonts w:cstheme="minorHAnsi"/>
                <w:color w:val="0079BF"/>
                <w:sz w:val="40"/>
                <w:szCs w:val="160"/>
              </w:rPr>
            </w:pPr>
            <w:r w:rsidRPr="009D3804">
              <w:rPr>
                <w:rFonts w:cstheme="minorHAnsi"/>
                <w:b/>
                <w:bCs/>
                <w:noProof/>
                <w:color w:val="0079BF"/>
                <w:sz w:val="36"/>
                <w:szCs w:val="36"/>
                <w:lang w:eastAsia="es-MX"/>
              </w:rPr>
              <w:drawing>
                <wp:inline distT="0" distB="0" distL="0" distR="0" wp14:anchorId="702C1243" wp14:editId="65C57A9D">
                  <wp:extent cx="635000" cy="142328"/>
                  <wp:effectExtent l="0" t="0" r="0" b="0"/>
                  <wp:docPr id="4" name="Gráfico 30">
                    <a:extLst xmlns:a="http://schemas.openxmlformats.org/drawingml/2006/main">
                      <a:ext uri="{FF2B5EF4-FFF2-40B4-BE49-F238E27FC236}">
                        <a16:creationId xmlns:a16="http://schemas.microsoft.com/office/drawing/2014/main" id="{32F03F70-A84D-4AE7-ACB0-1E565EE59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áfico 30">
                            <a:extLst>
                              <a:ext uri="{FF2B5EF4-FFF2-40B4-BE49-F238E27FC236}">
                                <a16:creationId xmlns:a16="http://schemas.microsoft.com/office/drawing/2014/main" id="{32F03F70-A84D-4AE7-ACB0-1E565EE59788}"/>
                              </a:ext>
                            </a:extLst>
                          </pic:cNvPr>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639964" cy="143441"/>
                          </a:xfrm>
                          <a:prstGeom prst="rect">
                            <a:avLst/>
                          </a:prstGeom>
                        </pic:spPr>
                      </pic:pic>
                    </a:graphicData>
                  </a:graphic>
                </wp:inline>
              </w:drawing>
            </w:r>
          </w:p>
        </w:tc>
      </w:tr>
    </w:tbl>
    <w:p w14:paraId="51DD8DEA" w14:textId="77777777" w:rsidR="00FC1837" w:rsidRPr="0029041B" w:rsidRDefault="00FC1837" w:rsidP="00FC1837">
      <w:pPr>
        <w:pStyle w:val="Ttulo1"/>
        <w:spacing w:before="40" w:after="40"/>
        <w:ind w:left="2835" w:hanging="2835"/>
        <w:rPr>
          <w:rFonts w:ascii="Century Gothic" w:eastAsiaTheme="minorHAnsi" w:hAnsi="Century Gothic" w:cstheme="minorBidi"/>
          <w:bCs/>
          <w:color w:val="0079BF"/>
          <w:sz w:val="24"/>
          <w:szCs w:val="24"/>
        </w:rPr>
      </w:pPr>
      <w:bookmarkStart w:id="1" w:name="_Toc99626578"/>
      <w:r>
        <w:rPr>
          <w:rFonts w:ascii="Century Gothic" w:eastAsiaTheme="minorHAnsi" w:hAnsi="Century Gothic" w:cstheme="minorBidi"/>
          <w:bCs/>
          <w:color w:val="0079BF"/>
          <w:sz w:val="24"/>
          <w:szCs w:val="24"/>
        </w:rPr>
        <w:t>III.1. I</w:t>
      </w:r>
      <w:r w:rsidRPr="0029041B">
        <w:rPr>
          <w:rFonts w:ascii="Century Gothic" w:eastAsiaTheme="minorHAnsi" w:hAnsi="Century Gothic" w:cstheme="minorBidi"/>
          <w:bCs/>
          <w:color w:val="0079BF"/>
          <w:sz w:val="24"/>
          <w:szCs w:val="24"/>
        </w:rPr>
        <w:t>ndicadores de pertinencia</w:t>
      </w:r>
      <w:bookmarkEnd w:id="1"/>
      <w:r w:rsidRPr="0029041B">
        <w:rPr>
          <w:rFonts w:ascii="Century Gothic" w:eastAsiaTheme="minorHAnsi" w:hAnsi="Century Gothic" w:cstheme="minorBidi"/>
          <w:bCs/>
          <w:color w:val="0079BF"/>
          <w:sz w:val="24"/>
          <w:szCs w:val="24"/>
        </w:rPr>
        <w:t xml:space="preserve"> </w:t>
      </w:r>
    </w:p>
    <w:p w14:paraId="3B9A280B" w14:textId="77777777" w:rsidR="00FC1837" w:rsidRDefault="00FC1837" w:rsidP="00FC1837">
      <w:pPr>
        <w:spacing w:before="40" w:after="40"/>
        <w:jc w:val="both"/>
        <w:rPr>
          <w:rFonts w:ascii="Century Gothic" w:hAnsi="Century Gothic"/>
          <w:sz w:val="19"/>
          <w:szCs w:val="19"/>
        </w:rPr>
      </w:pPr>
    </w:p>
    <w:p w14:paraId="23FF0643" w14:textId="77777777" w:rsidR="00FC1837" w:rsidRDefault="00FC1837" w:rsidP="00FC1837">
      <w:pPr>
        <w:spacing w:before="40" w:after="40"/>
        <w:jc w:val="both"/>
        <w:rPr>
          <w:rFonts w:ascii="Century Gothic" w:hAnsi="Century Gothic"/>
          <w:sz w:val="19"/>
          <w:szCs w:val="19"/>
        </w:rPr>
      </w:pPr>
      <w:r>
        <w:rPr>
          <w:rFonts w:ascii="Century Gothic" w:hAnsi="Century Gothic"/>
          <w:sz w:val="19"/>
          <w:szCs w:val="19"/>
        </w:rPr>
        <w:t xml:space="preserve">En 2019 se aprobaron diez indicadores de pertinencia desde el punto de vista de la efectividad de la producción y en 2021 se agregaron dos indicadores desde el punto de vista de la cobertura de necesidades (para mayor detalle conceptual revisar el Anexo 1). </w:t>
      </w:r>
      <w:r w:rsidRPr="00296E53">
        <w:rPr>
          <w:rFonts w:ascii="Century Gothic" w:hAnsi="Century Gothic"/>
          <w:sz w:val="19"/>
          <w:szCs w:val="19"/>
        </w:rPr>
        <w:t xml:space="preserve">En </w:t>
      </w:r>
      <w:r>
        <w:rPr>
          <w:rFonts w:ascii="Century Gothic" w:hAnsi="Century Gothic"/>
          <w:sz w:val="19"/>
          <w:szCs w:val="19"/>
        </w:rPr>
        <w:t>los</w:t>
      </w:r>
      <w:r w:rsidRPr="00296E53">
        <w:rPr>
          <w:rFonts w:ascii="Century Gothic" w:hAnsi="Century Gothic"/>
          <w:sz w:val="19"/>
          <w:szCs w:val="19"/>
        </w:rPr>
        <w:t xml:space="preserve"> siguiente</w:t>
      </w:r>
      <w:r>
        <w:rPr>
          <w:rFonts w:ascii="Century Gothic" w:hAnsi="Century Gothic"/>
          <w:sz w:val="19"/>
          <w:szCs w:val="19"/>
        </w:rPr>
        <w:t>s</w:t>
      </w:r>
      <w:r w:rsidRPr="00296E53">
        <w:rPr>
          <w:rFonts w:ascii="Century Gothic" w:hAnsi="Century Gothic"/>
          <w:sz w:val="19"/>
          <w:szCs w:val="19"/>
        </w:rPr>
        <w:t xml:space="preserve"> cuadro</w:t>
      </w:r>
      <w:r>
        <w:rPr>
          <w:rFonts w:ascii="Century Gothic" w:hAnsi="Century Gothic"/>
          <w:sz w:val="19"/>
          <w:szCs w:val="19"/>
        </w:rPr>
        <w:t>s</w:t>
      </w:r>
      <w:r w:rsidRPr="00296E53">
        <w:rPr>
          <w:rFonts w:ascii="Century Gothic" w:hAnsi="Century Gothic"/>
          <w:sz w:val="19"/>
          <w:szCs w:val="19"/>
        </w:rPr>
        <w:t xml:space="preserve"> se presenta la estimación de estos indicadores</w:t>
      </w:r>
      <w:r>
        <w:rPr>
          <w:rFonts w:ascii="Century Gothic" w:hAnsi="Century Gothic"/>
          <w:sz w:val="19"/>
          <w:szCs w:val="19"/>
        </w:rPr>
        <w:t xml:space="preserve"> a diciembre de 2021. </w:t>
      </w:r>
    </w:p>
    <w:p w14:paraId="09A01122" w14:textId="77777777" w:rsidR="00FC1837" w:rsidRDefault="00FC1837" w:rsidP="00FC1837">
      <w:pPr>
        <w:spacing w:before="40" w:after="40"/>
        <w:jc w:val="both"/>
        <w:rPr>
          <w:rFonts w:ascii="Century Gothic" w:hAnsi="Century Gothic"/>
          <w:sz w:val="19"/>
          <w:szCs w:val="19"/>
        </w:rPr>
      </w:pPr>
    </w:p>
    <w:p w14:paraId="5CBE0231" w14:textId="77777777" w:rsidR="00FC1837" w:rsidRDefault="00FC1837" w:rsidP="00FC1837">
      <w:pPr>
        <w:spacing w:before="40" w:after="40"/>
        <w:jc w:val="both"/>
        <w:rPr>
          <w:rFonts w:ascii="Century Gothic" w:hAnsi="Century Gothic"/>
          <w:sz w:val="19"/>
          <w:szCs w:val="19"/>
        </w:rPr>
      </w:pPr>
      <w:r w:rsidRPr="00CC04C8">
        <w:rPr>
          <w:rFonts w:ascii="Century Gothic" w:hAnsi="Century Gothic"/>
          <w:sz w:val="19"/>
          <w:szCs w:val="19"/>
        </w:rPr>
        <w:t>Al analizar la pertinencia desde el punto de vista de la cobertura de necesidades, se observa que en casi la totalidad de los indicadores de los Objetivos de Desarrollo Sostenible se involucran Programas de Información del INEGI (97%)</w:t>
      </w:r>
      <w:r>
        <w:rPr>
          <w:rFonts w:ascii="Century Gothic" w:hAnsi="Century Gothic"/>
          <w:sz w:val="19"/>
          <w:szCs w:val="19"/>
        </w:rPr>
        <w:t>.</w:t>
      </w:r>
      <w:r w:rsidRPr="00CC04C8">
        <w:rPr>
          <w:rFonts w:ascii="Century Gothic" w:hAnsi="Century Gothic"/>
          <w:sz w:val="19"/>
          <w:szCs w:val="19"/>
        </w:rPr>
        <w:t xml:space="preserve"> </w:t>
      </w:r>
      <w:r w:rsidRPr="00101D26">
        <w:rPr>
          <w:rFonts w:ascii="Century Gothic" w:hAnsi="Century Gothic"/>
          <w:sz w:val="19"/>
          <w:szCs w:val="19"/>
        </w:rPr>
        <w:t>En el caso de los indicadores que permiten medir la evolución del desarrollo nacional, según el Plan Nacional de Desarrollo vigente, sólo interviene información del INEGI en un 22% (ver cuadro III.1.1).</w:t>
      </w:r>
      <w:r w:rsidRPr="00CC04C8">
        <w:rPr>
          <w:rFonts w:ascii="Century Gothic" w:hAnsi="Century Gothic"/>
          <w:sz w:val="19"/>
          <w:szCs w:val="19"/>
        </w:rPr>
        <w:t xml:space="preserve"> Es importante difundir la información que produce el INEGI entre usuarios clave nacionales con el fin de que se utilice </w:t>
      </w:r>
      <w:r>
        <w:rPr>
          <w:rFonts w:ascii="Century Gothic" w:hAnsi="Century Gothic"/>
          <w:sz w:val="19"/>
          <w:szCs w:val="19"/>
        </w:rPr>
        <w:t xml:space="preserve">cada vez </w:t>
      </w:r>
      <w:r w:rsidRPr="00CC04C8">
        <w:rPr>
          <w:rFonts w:ascii="Century Gothic" w:hAnsi="Century Gothic"/>
          <w:sz w:val="19"/>
          <w:szCs w:val="19"/>
        </w:rPr>
        <w:t>más para la toma de decisiones.</w:t>
      </w:r>
    </w:p>
    <w:p w14:paraId="0066FE87" w14:textId="77777777" w:rsidR="00FC1837" w:rsidRPr="00296E53" w:rsidRDefault="00FC1837" w:rsidP="00FC1837">
      <w:pPr>
        <w:spacing w:before="40" w:after="40"/>
        <w:jc w:val="both"/>
        <w:rPr>
          <w:rFonts w:ascii="Century Gothic" w:hAnsi="Century Gothic"/>
          <w:sz w:val="19"/>
          <w:szCs w:val="19"/>
        </w:rPr>
      </w:pPr>
    </w:p>
    <w:p w14:paraId="0A3F23AA" w14:textId="77777777" w:rsidR="00FC1837" w:rsidRPr="001B7CC4" w:rsidRDefault="00FC1837" w:rsidP="00FC1837">
      <w:pPr>
        <w:spacing w:before="40" w:after="40"/>
        <w:jc w:val="center"/>
        <w:rPr>
          <w:rFonts w:ascii="Century Gothic" w:hAnsi="Century Gothic"/>
          <w:b/>
          <w:sz w:val="19"/>
          <w:szCs w:val="19"/>
        </w:rPr>
      </w:pPr>
      <w:r>
        <w:rPr>
          <w:rFonts w:ascii="Century Gothic" w:hAnsi="Century Gothic"/>
          <w:b/>
          <w:sz w:val="19"/>
          <w:szCs w:val="19"/>
        </w:rPr>
        <w:t>III</w:t>
      </w:r>
      <w:r w:rsidRPr="001B7CC4">
        <w:rPr>
          <w:rFonts w:ascii="Century Gothic" w:hAnsi="Century Gothic"/>
          <w:b/>
          <w:sz w:val="19"/>
          <w:szCs w:val="19"/>
        </w:rPr>
        <w:t>.1.</w:t>
      </w:r>
      <w:r>
        <w:rPr>
          <w:rFonts w:ascii="Century Gothic" w:hAnsi="Century Gothic"/>
          <w:b/>
          <w:sz w:val="19"/>
          <w:szCs w:val="19"/>
        </w:rPr>
        <w:t>1.</w:t>
      </w:r>
      <w:r w:rsidRPr="001B7CC4">
        <w:rPr>
          <w:rFonts w:ascii="Century Gothic" w:hAnsi="Century Gothic"/>
          <w:b/>
          <w:sz w:val="19"/>
          <w:szCs w:val="19"/>
        </w:rPr>
        <w:t xml:space="preserve"> Estimación de los indicadores de pertinencia (cobertura de necesidades) </w:t>
      </w:r>
    </w:p>
    <w:tbl>
      <w:tblPr>
        <w:tblW w:w="9357" w:type="dxa"/>
        <w:jc w:val="center"/>
        <w:tblCellMar>
          <w:left w:w="0" w:type="dxa"/>
          <w:right w:w="0" w:type="dxa"/>
        </w:tblCellMar>
        <w:tblLook w:val="0420" w:firstRow="1" w:lastRow="0" w:firstColumn="0" w:lastColumn="0" w:noHBand="0" w:noVBand="1"/>
      </w:tblPr>
      <w:tblGrid>
        <w:gridCol w:w="1134"/>
        <w:gridCol w:w="6663"/>
        <w:gridCol w:w="1560"/>
      </w:tblGrid>
      <w:tr w:rsidR="00FC1837" w:rsidRPr="00296E53" w14:paraId="0AD961FA" w14:textId="77777777" w:rsidTr="00EF2651">
        <w:trPr>
          <w:trHeight w:val="20"/>
          <w:jc w:val="center"/>
        </w:trPr>
        <w:tc>
          <w:tcPr>
            <w:tcW w:w="1134" w:type="dxa"/>
            <w:tcBorders>
              <w:top w:val="nil"/>
              <w:left w:val="nil"/>
              <w:bottom w:val="nil"/>
              <w:right w:val="single" w:sz="12" w:space="0" w:color="FFFFFF"/>
            </w:tcBorders>
            <w:shd w:val="clear" w:color="auto" w:fill="FFD966" w:themeFill="accent4" w:themeFillTint="99"/>
            <w:tcMar>
              <w:top w:w="3" w:type="dxa"/>
              <w:left w:w="15" w:type="dxa"/>
              <w:bottom w:w="0" w:type="dxa"/>
              <w:right w:w="15" w:type="dxa"/>
            </w:tcMar>
            <w:vAlign w:val="center"/>
            <w:hideMark/>
          </w:tcPr>
          <w:p w14:paraId="3347E117" w14:textId="77777777" w:rsidR="00FC1837" w:rsidRPr="00F00AE7" w:rsidRDefault="00FC1837" w:rsidP="00EF2651">
            <w:pPr>
              <w:spacing w:before="40" w:after="40"/>
              <w:jc w:val="center"/>
              <w:rPr>
                <w:rFonts w:ascii="Century Gothic" w:hAnsi="Century Gothic"/>
                <w:bCs/>
                <w:sz w:val="16"/>
                <w:szCs w:val="16"/>
              </w:rPr>
            </w:pPr>
            <w:r w:rsidRPr="00F00AE7">
              <w:rPr>
                <w:rFonts w:ascii="Century Gothic" w:hAnsi="Century Gothic"/>
                <w:bCs/>
                <w:sz w:val="16"/>
                <w:szCs w:val="16"/>
              </w:rPr>
              <w:t>Tipo de necesidades</w:t>
            </w:r>
          </w:p>
        </w:tc>
        <w:tc>
          <w:tcPr>
            <w:tcW w:w="6663" w:type="dxa"/>
            <w:tcBorders>
              <w:top w:val="nil"/>
              <w:left w:val="single" w:sz="12" w:space="0" w:color="FFFFFF"/>
              <w:bottom w:val="nil"/>
              <w:right w:val="single" w:sz="12" w:space="0" w:color="FFFFFF"/>
            </w:tcBorders>
            <w:shd w:val="clear" w:color="auto" w:fill="FFD966" w:themeFill="accent4" w:themeFillTint="99"/>
            <w:tcMar>
              <w:top w:w="3" w:type="dxa"/>
              <w:left w:w="15" w:type="dxa"/>
              <w:bottom w:w="0" w:type="dxa"/>
              <w:right w:w="15" w:type="dxa"/>
            </w:tcMar>
            <w:vAlign w:val="center"/>
            <w:hideMark/>
          </w:tcPr>
          <w:p w14:paraId="6792F746" w14:textId="77777777" w:rsidR="00FC1837" w:rsidRPr="00F00AE7" w:rsidRDefault="00FC1837" w:rsidP="00EF2651">
            <w:pPr>
              <w:spacing w:before="40" w:after="40"/>
              <w:jc w:val="center"/>
              <w:rPr>
                <w:rFonts w:ascii="Century Gothic" w:hAnsi="Century Gothic"/>
                <w:bCs/>
                <w:sz w:val="16"/>
                <w:szCs w:val="16"/>
              </w:rPr>
            </w:pPr>
            <w:r w:rsidRPr="00F00AE7">
              <w:rPr>
                <w:rFonts w:ascii="Century Gothic" w:hAnsi="Century Gothic"/>
                <w:bCs/>
                <w:sz w:val="16"/>
                <w:szCs w:val="16"/>
              </w:rPr>
              <w:t>Indicadores de pertinencia</w:t>
            </w:r>
          </w:p>
        </w:tc>
        <w:tc>
          <w:tcPr>
            <w:tcW w:w="1560" w:type="dxa"/>
            <w:tcBorders>
              <w:top w:val="nil"/>
              <w:left w:val="single" w:sz="12" w:space="0" w:color="FFFFFF"/>
              <w:bottom w:val="nil"/>
              <w:right w:val="single" w:sz="12" w:space="0" w:color="FFFFFF"/>
            </w:tcBorders>
            <w:shd w:val="clear" w:color="auto" w:fill="FFD966" w:themeFill="accent4" w:themeFillTint="99"/>
            <w:vAlign w:val="center"/>
          </w:tcPr>
          <w:p w14:paraId="0C2537C6" w14:textId="77777777" w:rsidR="00FC1837" w:rsidRPr="00A42354" w:rsidRDefault="00FC1837" w:rsidP="00EF2651">
            <w:pPr>
              <w:spacing w:before="40" w:after="40"/>
              <w:jc w:val="center"/>
              <w:rPr>
                <w:rFonts w:ascii="Century Gothic" w:hAnsi="Century Gothic"/>
                <w:bCs/>
                <w:sz w:val="16"/>
                <w:szCs w:val="16"/>
              </w:rPr>
            </w:pPr>
            <w:r w:rsidRPr="00A42354">
              <w:rPr>
                <w:rFonts w:ascii="Century Gothic" w:hAnsi="Century Gothic"/>
                <w:bCs/>
                <w:sz w:val="16"/>
                <w:szCs w:val="16"/>
              </w:rPr>
              <w:t>Estimación a diciembre 2021</w:t>
            </w:r>
          </w:p>
        </w:tc>
      </w:tr>
      <w:tr w:rsidR="00FC1837" w:rsidRPr="00296E53" w14:paraId="4D9BEDDF" w14:textId="77777777" w:rsidTr="00EF2651">
        <w:trPr>
          <w:trHeight w:val="20"/>
          <w:jc w:val="center"/>
        </w:trPr>
        <w:tc>
          <w:tcPr>
            <w:tcW w:w="1134" w:type="dxa"/>
            <w:vMerge w:val="restart"/>
            <w:tcBorders>
              <w:top w:val="nil"/>
              <w:left w:val="nil"/>
              <w:right w:val="single" w:sz="12" w:space="0" w:color="FFFFFF"/>
            </w:tcBorders>
            <w:shd w:val="clear" w:color="auto" w:fill="FFF2CC" w:themeFill="accent4" w:themeFillTint="33"/>
            <w:tcMar>
              <w:top w:w="64" w:type="dxa"/>
              <w:left w:w="15" w:type="dxa"/>
              <w:bottom w:w="0" w:type="dxa"/>
              <w:right w:w="15" w:type="dxa"/>
            </w:tcMar>
            <w:vAlign w:val="center"/>
            <w:hideMark/>
          </w:tcPr>
          <w:p w14:paraId="50906C64" w14:textId="77777777" w:rsidR="00FC1837" w:rsidRPr="00A42354" w:rsidRDefault="00FC1837" w:rsidP="00EF2651">
            <w:pPr>
              <w:spacing w:before="40" w:after="40"/>
              <w:jc w:val="center"/>
              <w:rPr>
                <w:rFonts w:ascii="Century Gothic" w:hAnsi="Century Gothic"/>
                <w:bCs/>
                <w:sz w:val="16"/>
                <w:szCs w:val="16"/>
              </w:rPr>
            </w:pPr>
            <w:r w:rsidRPr="00A42354">
              <w:rPr>
                <w:rFonts w:ascii="Century Gothic" w:hAnsi="Century Gothic"/>
                <w:bCs/>
                <w:sz w:val="16"/>
                <w:szCs w:val="16"/>
              </w:rPr>
              <w:t>Objetivos de Desarrollo</w:t>
            </w:r>
          </w:p>
        </w:tc>
        <w:tc>
          <w:tcPr>
            <w:tcW w:w="6663" w:type="dxa"/>
            <w:tcBorders>
              <w:top w:val="nil"/>
              <w:left w:val="single" w:sz="12" w:space="0" w:color="FFFFFF"/>
              <w:bottom w:val="single" w:sz="12" w:space="0" w:color="FFFFFF"/>
              <w:right w:val="single" w:sz="12" w:space="0" w:color="FFFFFF"/>
            </w:tcBorders>
            <w:shd w:val="clear" w:color="auto" w:fill="FFF2CC" w:themeFill="accent4" w:themeFillTint="33"/>
            <w:tcMar>
              <w:top w:w="49" w:type="dxa"/>
              <w:left w:w="15" w:type="dxa"/>
              <w:bottom w:w="0" w:type="dxa"/>
              <w:right w:w="15" w:type="dxa"/>
            </w:tcMar>
            <w:vAlign w:val="center"/>
            <w:hideMark/>
          </w:tcPr>
          <w:p w14:paraId="4F9B177D" w14:textId="77777777" w:rsidR="00FC1837" w:rsidRPr="00A42354" w:rsidRDefault="00FC1837" w:rsidP="00EF2651">
            <w:pPr>
              <w:spacing w:before="40" w:after="40"/>
              <w:jc w:val="center"/>
              <w:rPr>
                <w:rFonts w:ascii="Century Gothic" w:hAnsi="Century Gothic"/>
                <w:bCs/>
                <w:sz w:val="16"/>
                <w:szCs w:val="16"/>
              </w:rPr>
            </w:pPr>
            <w:r w:rsidRPr="00A42354">
              <w:rPr>
                <w:rFonts w:ascii="Century Gothic" w:hAnsi="Century Gothic"/>
                <w:bCs/>
                <w:sz w:val="16"/>
                <w:szCs w:val="16"/>
              </w:rPr>
              <w:t>Porcentaje de indicadores que permiten medir la evolución del desarrollo nacional que se calculan con Programas de Información estadística y geográfica del INEGI.</w:t>
            </w:r>
          </w:p>
        </w:tc>
        <w:tc>
          <w:tcPr>
            <w:tcW w:w="1560" w:type="dxa"/>
            <w:tcBorders>
              <w:top w:val="nil"/>
              <w:left w:val="single" w:sz="12" w:space="0" w:color="FFFFFF"/>
              <w:bottom w:val="single" w:sz="12" w:space="0" w:color="FFFFFF"/>
              <w:right w:val="single" w:sz="12" w:space="0" w:color="FFFFFF"/>
            </w:tcBorders>
            <w:shd w:val="clear" w:color="auto" w:fill="FFF2CC" w:themeFill="accent4" w:themeFillTint="33"/>
            <w:vAlign w:val="center"/>
          </w:tcPr>
          <w:p w14:paraId="0BE0E41D" w14:textId="77777777" w:rsidR="00FC1837" w:rsidRPr="00A42354" w:rsidRDefault="00FC1837" w:rsidP="00EF2651">
            <w:pPr>
              <w:spacing w:before="40" w:after="40"/>
              <w:jc w:val="center"/>
              <w:rPr>
                <w:rFonts w:ascii="Century Gothic" w:hAnsi="Century Gothic"/>
                <w:bCs/>
                <w:sz w:val="16"/>
                <w:szCs w:val="16"/>
              </w:rPr>
            </w:pPr>
            <w:r w:rsidRPr="00A42354">
              <w:rPr>
                <w:rFonts w:ascii="Century Gothic" w:hAnsi="Century Gothic"/>
                <w:bCs/>
                <w:sz w:val="16"/>
                <w:szCs w:val="16"/>
              </w:rPr>
              <w:t>22%</w:t>
            </w:r>
          </w:p>
        </w:tc>
      </w:tr>
      <w:tr w:rsidR="00FC1837" w:rsidRPr="00296E53" w14:paraId="47D8C927" w14:textId="77777777" w:rsidTr="00EF2651">
        <w:trPr>
          <w:trHeight w:val="230"/>
          <w:jc w:val="center"/>
        </w:trPr>
        <w:tc>
          <w:tcPr>
            <w:tcW w:w="1134" w:type="dxa"/>
            <w:vMerge/>
            <w:tcBorders>
              <w:left w:val="nil"/>
              <w:bottom w:val="nil"/>
              <w:right w:val="single" w:sz="12" w:space="0" w:color="FFFFFF"/>
            </w:tcBorders>
            <w:shd w:val="clear" w:color="auto" w:fill="FFF2CC" w:themeFill="accent4" w:themeFillTint="33"/>
            <w:vAlign w:val="center"/>
            <w:hideMark/>
          </w:tcPr>
          <w:p w14:paraId="72016CD5" w14:textId="77777777" w:rsidR="00FC1837" w:rsidRPr="00A42354" w:rsidRDefault="00FC1837" w:rsidP="00EF2651">
            <w:pPr>
              <w:spacing w:before="40" w:after="40"/>
              <w:jc w:val="center"/>
              <w:rPr>
                <w:rFonts w:ascii="Century Gothic" w:hAnsi="Century Gothic"/>
                <w:bCs/>
                <w:sz w:val="16"/>
                <w:szCs w:val="16"/>
                <w:lang w:val="es-ES"/>
              </w:rPr>
            </w:pPr>
          </w:p>
        </w:tc>
        <w:tc>
          <w:tcPr>
            <w:tcW w:w="666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Mar>
              <w:top w:w="34" w:type="dxa"/>
              <w:left w:w="15" w:type="dxa"/>
              <w:bottom w:w="0" w:type="dxa"/>
              <w:right w:w="15" w:type="dxa"/>
            </w:tcMar>
            <w:vAlign w:val="center"/>
            <w:hideMark/>
          </w:tcPr>
          <w:p w14:paraId="3BB92C01" w14:textId="77777777" w:rsidR="00FC1837" w:rsidRPr="00A42354" w:rsidRDefault="00FC1837" w:rsidP="00EF2651">
            <w:pPr>
              <w:spacing w:before="40" w:after="40" w:line="240" w:lineRule="auto"/>
              <w:jc w:val="center"/>
              <w:rPr>
                <w:rFonts w:ascii="Century Gothic" w:hAnsi="Century Gothic"/>
                <w:bCs/>
                <w:sz w:val="16"/>
                <w:szCs w:val="16"/>
              </w:rPr>
            </w:pPr>
            <w:r w:rsidRPr="00A42354">
              <w:rPr>
                <w:rFonts w:ascii="Century Gothic" w:hAnsi="Century Gothic"/>
                <w:bCs/>
                <w:sz w:val="16"/>
                <w:szCs w:val="16"/>
              </w:rPr>
              <w:t xml:space="preserve">Porcentaje de indicadores de los Objetivos de Desarrollo Sostenible </w:t>
            </w:r>
            <w:r w:rsidRPr="00821502">
              <w:rPr>
                <w:rFonts w:ascii="Century Gothic" w:hAnsi="Century Gothic"/>
                <w:sz w:val="16"/>
              </w:rPr>
              <w:t xml:space="preserve">que se calculan </w:t>
            </w:r>
            <w:r w:rsidRPr="00A42354">
              <w:rPr>
                <w:rFonts w:ascii="Century Gothic" w:hAnsi="Century Gothic"/>
                <w:bCs/>
                <w:sz w:val="16"/>
                <w:szCs w:val="16"/>
              </w:rPr>
              <w:t>con Programas de Información estadística y geográfica del INEGI.</w:t>
            </w:r>
          </w:p>
        </w:tc>
        <w:tc>
          <w:tcPr>
            <w:tcW w:w="1560"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49D9E952" w14:textId="77777777" w:rsidR="00FC1837" w:rsidRPr="00A42354" w:rsidRDefault="00FC1837" w:rsidP="00EF2651">
            <w:pPr>
              <w:spacing w:before="40" w:after="40"/>
              <w:jc w:val="center"/>
              <w:rPr>
                <w:rFonts w:ascii="Century Gothic" w:hAnsi="Century Gothic"/>
                <w:bCs/>
                <w:sz w:val="16"/>
                <w:szCs w:val="16"/>
              </w:rPr>
            </w:pPr>
            <w:r w:rsidRPr="00A42354">
              <w:rPr>
                <w:rFonts w:ascii="Century Gothic" w:hAnsi="Century Gothic"/>
                <w:bCs/>
                <w:sz w:val="16"/>
                <w:szCs w:val="16"/>
              </w:rPr>
              <w:t>97%</w:t>
            </w:r>
          </w:p>
        </w:tc>
      </w:tr>
    </w:tbl>
    <w:p w14:paraId="62A9B941" w14:textId="77777777" w:rsidR="00FC1837" w:rsidRDefault="00FC1837" w:rsidP="00FC1837">
      <w:pPr>
        <w:spacing w:before="40" w:after="40"/>
        <w:jc w:val="both"/>
        <w:rPr>
          <w:rFonts w:ascii="Century Gothic" w:hAnsi="Century Gothic"/>
          <w:sz w:val="19"/>
          <w:szCs w:val="19"/>
        </w:rPr>
      </w:pPr>
    </w:p>
    <w:p w14:paraId="2434D585" w14:textId="77777777" w:rsidR="00FC1837" w:rsidRDefault="00FC1837" w:rsidP="00FC1837">
      <w:pPr>
        <w:spacing w:before="40" w:after="40"/>
        <w:jc w:val="both"/>
        <w:rPr>
          <w:rFonts w:ascii="Century Gothic" w:hAnsi="Century Gothic"/>
          <w:sz w:val="19"/>
          <w:szCs w:val="19"/>
        </w:rPr>
      </w:pPr>
      <w:r>
        <w:rPr>
          <w:rFonts w:ascii="Century Gothic" w:hAnsi="Century Gothic"/>
          <w:sz w:val="19"/>
          <w:szCs w:val="19"/>
        </w:rPr>
        <w:t xml:space="preserve">Si bien los indicadores de pertinencia desde el punto de vista de la efectividad de la producción miden cada uso de forma separada (ver Anexo 1), </w:t>
      </w:r>
      <w:r w:rsidRPr="00296E53">
        <w:rPr>
          <w:rFonts w:ascii="Century Gothic" w:hAnsi="Century Gothic"/>
          <w:sz w:val="19"/>
          <w:szCs w:val="19"/>
        </w:rPr>
        <w:t xml:space="preserve">un mismo programa puede ser insumo para distintos usos, por lo que resulta útil analizar el porcentaje acumulado del uso externo de los programas de información.  En el cuadro </w:t>
      </w:r>
      <w:r>
        <w:rPr>
          <w:rFonts w:ascii="Century Gothic" w:hAnsi="Century Gothic"/>
          <w:sz w:val="19"/>
          <w:szCs w:val="19"/>
        </w:rPr>
        <w:t>III.1.2.</w:t>
      </w:r>
      <w:r w:rsidRPr="00296E53">
        <w:rPr>
          <w:rFonts w:ascii="Century Gothic" w:hAnsi="Century Gothic"/>
          <w:sz w:val="19"/>
          <w:szCs w:val="19"/>
        </w:rPr>
        <w:t xml:space="preserve"> puede observarse que el </w:t>
      </w:r>
      <w:r>
        <w:rPr>
          <w:rFonts w:ascii="Century Gothic" w:hAnsi="Century Gothic"/>
          <w:sz w:val="19"/>
          <w:szCs w:val="19"/>
        </w:rPr>
        <w:t>62</w:t>
      </w:r>
      <w:r w:rsidRPr="00296E53">
        <w:rPr>
          <w:rFonts w:ascii="Century Gothic" w:hAnsi="Century Gothic"/>
          <w:sz w:val="19"/>
          <w:szCs w:val="19"/>
        </w:rPr>
        <w:t xml:space="preserve">% de los programas de información se utiliza para la medición de indicadores (PND, Clave y ODS) y atención a disposiciones legales.  </w:t>
      </w:r>
      <w:r>
        <w:rPr>
          <w:rFonts w:ascii="Century Gothic" w:hAnsi="Century Gothic"/>
          <w:sz w:val="19"/>
          <w:szCs w:val="19"/>
        </w:rPr>
        <w:t>Es necesario reforzar la detección de necesidades para enfocar los productos que ofrece el Instituto a indicadores útiles para la medición del desarrollo nacional.</w:t>
      </w:r>
    </w:p>
    <w:p w14:paraId="19F0202B" w14:textId="77777777" w:rsidR="00FC1837" w:rsidRDefault="00FC1837" w:rsidP="00FC1837">
      <w:pPr>
        <w:spacing w:before="40" w:after="40"/>
        <w:jc w:val="both"/>
        <w:rPr>
          <w:rFonts w:ascii="Century Gothic" w:hAnsi="Century Gothic"/>
          <w:sz w:val="19"/>
          <w:szCs w:val="19"/>
        </w:rPr>
      </w:pPr>
    </w:p>
    <w:p w14:paraId="2C0EC4B9" w14:textId="77777777" w:rsidR="00FC1837" w:rsidRDefault="00FC1837" w:rsidP="00FC1837">
      <w:pPr>
        <w:spacing w:before="40" w:after="40"/>
        <w:jc w:val="center"/>
        <w:rPr>
          <w:rFonts w:ascii="Century Gothic" w:hAnsi="Century Gothic"/>
          <w:sz w:val="19"/>
          <w:szCs w:val="19"/>
        </w:rPr>
      </w:pPr>
      <w:r>
        <w:rPr>
          <w:rFonts w:ascii="Century Gothic" w:hAnsi="Century Gothic"/>
          <w:b/>
          <w:sz w:val="19"/>
          <w:szCs w:val="19"/>
        </w:rPr>
        <w:t>III.1.2. Porcentaje de p</w:t>
      </w:r>
      <w:r w:rsidRPr="00113743">
        <w:rPr>
          <w:rFonts w:ascii="Century Gothic" w:hAnsi="Century Gothic"/>
          <w:b/>
          <w:sz w:val="19"/>
          <w:szCs w:val="19"/>
        </w:rPr>
        <w:t>rogramas con uso externo</w:t>
      </w:r>
    </w:p>
    <w:p w14:paraId="4D9DC266" w14:textId="77777777" w:rsidR="00FC1837" w:rsidRDefault="00FC1837" w:rsidP="00FC1837">
      <w:pPr>
        <w:spacing w:before="40" w:after="40"/>
        <w:jc w:val="center"/>
        <w:rPr>
          <w:rFonts w:ascii="Century Gothic" w:hAnsi="Century Gothic"/>
          <w:sz w:val="19"/>
          <w:szCs w:val="19"/>
        </w:rPr>
      </w:pPr>
      <w:r w:rsidRPr="005C2104">
        <w:rPr>
          <w:noProof/>
          <w:lang w:eastAsia="es-MX"/>
        </w:rPr>
        <w:drawing>
          <wp:inline distT="0" distB="0" distL="0" distR="0" wp14:anchorId="63FDD6FD" wp14:editId="1C2D8EB7">
            <wp:extent cx="5916930" cy="184848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6930" cy="1848485"/>
                    </a:xfrm>
                    <a:prstGeom prst="rect">
                      <a:avLst/>
                    </a:prstGeom>
                    <a:noFill/>
                    <a:ln>
                      <a:noFill/>
                    </a:ln>
                  </pic:spPr>
                </pic:pic>
              </a:graphicData>
            </a:graphic>
          </wp:inline>
        </w:drawing>
      </w:r>
    </w:p>
    <w:p w14:paraId="6BF671FD" w14:textId="085D815D" w:rsidR="00A67A6A" w:rsidRDefault="00FC1837" w:rsidP="00FC1837">
      <w:pPr>
        <w:spacing w:before="40" w:after="40"/>
        <w:ind w:firstLine="567"/>
      </w:pPr>
      <w:r w:rsidRPr="0004512F">
        <w:rPr>
          <w:rFonts w:ascii="Century Gothic" w:hAnsi="Century Gothic"/>
          <w:sz w:val="14"/>
          <w:szCs w:val="14"/>
        </w:rPr>
        <w:lastRenderedPageBreak/>
        <w:t>No</w:t>
      </w:r>
      <w:r>
        <w:rPr>
          <w:rFonts w:ascii="Century Gothic" w:hAnsi="Century Gothic"/>
          <w:sz w:val="14"/>
          <w:szCs w:val="14"/>
        </w:rPr>
        <w:t>ta: no</w:t>
      </w:r>
      <w:r w:rsidRPr="0004512F">
        <w:rPr>
          <w:rFonts w:ascii="Century Gothic" w:hAnsi="Century Gothic"/>
          <w:sz w:val="14"/>
          <w:szCs w:val="14"/>
        </w:rPr>
        <w:t xml:space="preserve"> suma 100% ya que el programa Encuesta para la Medición del Impacto COVID-19 en la Educación no registró ningún tipo de uso y los programas Marco Maestro de Muestreo e Inventario Nacional de Viviendas se utilizan sólo como insumo para otros programas de información del INEGI.</w:t>
      </w:r>
      <w:bookmarkStart w:id="2" w:name="_GoBack"/>
      <w:bookmarkEnd w:id="2"/>
    </w:p>
    <w:sectPr w:rsidR="00A67A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909FD"/>
    <w:multiLevelType w:val="hybridMultilevel"/>
    <w:tmpl w:val="71C05CF0"/>
    <w:lvl w:ilvl="0" w:tplc="F636059C">
      <w:start w:val="1"/>
      <w:numFmt w:val="bullet"/>
      <w:lvlText w:val="•"/>
      <w:lvlJc w:val="left"/>
      <w:pPr>
        <w:tabs>
          <w:tab w:val="num" w:pos="720"/>
        </w:tabs>
        <w:ind w:left="720" w:hanging="360"/>
      </w:pPr>
      <w:rPr>
        <w:rFonts w:ascii="Arial" w:hAnsi="Arial" w:hint="default"/>
      </w:rPr>
    </w:lvl>
    <w:lvl w:ilvl="1" w:tplc="A5181258">
      <w:start w:val="1"/>
      <w:numFmt w:val="bullet"/>
      <w:lvlText w:val="•"/>
      <w:lvlJc w:val="left"/>
      <w:pPr>
        <w:tabs>
          <w:tab w:val="num" w:pos="8015"/>
        </w:tabs>
        <w:ind w:left="8015" w:hanging="360"/>
      </w:pPr>
      <w:rPr>
        <w:rFonts w:ascii="Arial" w:hAnsi="Arial" w:hint="default"/>
        <w:sz w:val="28"/>
      </w:rPr>
    </w:lvl>
    <w:lvl w:ilvl="2" w:tplc="080A0003">
      <w:start w:val="1"/>
      <w:numFmt w:val="bullet"/>
      <w:lvlText w:val="o"/>
      <w:lvlJc w:val="left"/>
      <w:pPr>
        <w:tabs>
          <w:tab w:val="num" w:pos="2160"/>
        </w:tabs>
        <w:ind w:left="2160" w:hanging="360"/>
      </w:pPr>
      <w:rPr>
        <w:rFonts w:ascii="Courier New" w:hAnsi="Courier New" w:cs="Courier New" w:hint="default"/>
      </w:rPr>
    </w:lvl>
    <w:lvl w:ilvl="3" w:tplc="0B587BF8" w:tentative="1">
      <w:start w:val="1"/>
      <w:numFmt w:val="bullet"/>
      <w:lvlText w:val="•"/>
      <w:lvlJc w:val="left"/>
      <w:pPr>
        <w:tabs>
          <w:tab w:val="num" w:pos="2880"/>
        </w:tabs>
        <w:ind w:left="2880" w:hanging="360"/>
      </w:pPr>
      <w:rPr>
        <w:rFonts w:ascii="Arial" w:hAnsi="Arial" w:hint="default"/>
      </w:rPr>
    </w:lvl>
    <w:lvl w:ilvl="4" w:tplc="6B6C75E2" w:tentative="1">
      <w:start w:val="1"/>
      <w:numFmt w:val="bullet"/>
      <w:lvlText w:val="•"/>
      <w:lvlJc w:val="left"/>
      <w:pPr>
        <w:tabs>
          <w:tab w:val="num" w:pos="3600"/>
        </w:tabs>
        <w:ind w:left="3600" w:hanging="360"/>
      </w:pPr>
      <w:rPr>
        <w:rFonts w:ascii="Arial" w:hAnsi="Arial" w:hint="default"/>
      </w:rPr>
    </w:lvl>
    <w:lvl w:ilvl="5" w:tplc="CEA04446" w:tentative="1">
      <w:start w:val="1"/>
      <w:numFmt w:val="bullet"/>
      <w:lvlText w:val="•"/>
      <w:lvlJc w:val="left"/>
      <w:pPr>
        <w:tabs>
          <w:tab w:val="num" w:pos="4320"/>
        </w:tabs>
        <w:ind w:left="4320" w:hanging="360"/>
      </w:pPr>
      <w:rPr>
        <w:rFonts w:ascii="Arial" w:hAnsi="Arial" w:hint="default"/>
      </w:rPr>
    </w:lvl>
    <w:lvl w:ilvl="6" w:tplc="8FEAA1A4" w:tentative="1">
      <w:start w:val="1"/>
      <w:numFmt w:val="bullet"/>
      <w:lvlText w:val="•"/>
      <w:lvlJc w:val="left"/>
      <w:pPr>
        <w:tabs>
          <w:tab w:val="num" w:pos="5040"/>
        </w:tabs>
        <w:ind w:left="5040" w:hanging="360"/>
      </w:pPr>
      <w:rPr>
        <w:rFonts w:ascii="Arial" w:hAnsi="Arial" w:hint="default"/>
      </w:rPr>
    </w:lvl>
    <w:lvl w:ilvl="7" w:tplc="7F60F17A" w:tentative="1">
      <w:start w:val="1"/>
      <w:numFmt w:val="bullet"/>
      <w:lvlText w:val="•"/>
      <w:lvlJc w:val="left"/>
      <w:pPr>
        <w:tabs>
          <w:tab w:val="num" w:pos="5760"/>
        </w:tabs>
        <w:ind w:left="5760" w:hanging="360"/>
      </w:pPr>
      <w:rPr>
        <w:rFonts w:ascii="Arial" w:hAnsi="Arial" w:hint="default"/>
      </w:rPr>
    </w:lvl>
    <w:lvl w:ilvl="8" w:tplc="909E80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96"/>
    <w:rsid w:val="007F0F96"/>
    <w:rsid w:val="00A67A6A"/>
    <w:rsid w:val="00FC1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BFE00-D3AD-4E8E-8A61-71B176A1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837"/>
  </w:style>
  <w:style w:type="paragraph" w:styleId="Ttulo1">
    <w:name w:val="heading 1"/>
    <w:basedOn w:val="Normal"/>
    <w:next w:val="Normal"/>
    <w:link w:val="Ttulo1Car"/>
    <w:uiPriority w:val="9"/>
    <w:qFormat/>
    <w:rsid w:val="00FC1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1837"/>
    <w:rPr>
      <w:rFonts w:asciiTheme="majorHAnsi" w:eastAsiaTheme="majorEastAsia" w:hAnsiTheme="majorHAnsi" w:cstheme="majorBidi"/>
      <w:color w:val="2F5496" w:themeColor="accent1" w:themeShade="BF"/>
      <w:sz w:val="32"/>
      <w:szCs w:val="32"/>
    </w:rPr>
  </w:style>
  <w:style w:type="paragraph" w:styleId="Prrafodelista">
    <w:name w:val="List Paragraph"/>
    <w:aliases w:val="TITUTOS"/>
    <w:basedOn w:val="Normal"/>
    <w:link w:val="PrrafodelistaCar"/>
    <w:uiPriority w:val="34"/>
    <w:qFormat/>
    <w:rsid w:val="00FC1837"/>
    <w:pPr>
      <w:ind w:left="720"/>
      <w:contextualSpacing/>
    </w:pPr>
  </w:style>
  <w:style w:type="character" w:customStyle="1" w:styleId="PrrafodelistaCar">
    <w:name w:val="Párrafo de lista Car"/>
    <w:aliases w:val="TITUTOS Car"/>
    <w:basedOn w:val="Fuentedeprrafopredeter"/>
    <w:link w:val="Prrafodelista"/>
    <w:uiPriority w:val="34"/>
    <w:rsid w:val="00FC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2149</Characters>
  <Application>Microsoft Office Word</Application>
  <DocSecurity>0</DocSecurity>
  <Lines>17</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TAPIA MENDOZA ALFONSO</dc:creator>
  <cp:keywords/>
  <dc:description/>
  <cp:lastModifiedBy>TAPIA MENDOZA ALFONSO</cp:lastModifiedBy>
  <cp:revision>2</cp:revision>
  <dcterms:created xsi:type="dcterms:W3CDTF">2022-05-17T14:13:00Z</dcterms:created>
  <dcterms:modified xsi:type="dcterms:W3CDTF">2022-05-17T14:16:00Z</dcterms:modified>
</cp:coreProperties>
</file>