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4857" w14:textId="77777777" w:rsidR="00284E0F" w:rsidRPr="006060C8" w:rsidRDefault="00284E0F" w:rsidP="00284E0F">
      <w:pPr>
        <w:pStyle w:val="Ttulo1"/>
        <w:spacing w:before="40" w:after="40"/>
        <w:ind w:left="2835" w:hanging="2835"/>
        <w:rPr>
          <w:rFonts w:ascii="Century Gothic" w:eastAsiaTheme="minorHAnsi" w:hAnsi="Century Gothic" w:cstheme="minorBidi"/>
          <w:bCs/>
          <w:color w:val="0079BF"/>
          <w:sz w:val="24"/>
          <w:szCs w:val="24"/>
        </w:rPr>
      </w:pPr>
      <w:bookmarkStart w:id="0" w:name="_Toc99626579"/>
      <w:r>
        <w:rPr>
          <w:rFonts w:ascii="Century Gothic" w:eastAsiaTheme="minorHAnsi" w:hAnsi="Century Gothic" w:cstheme="minorBidi"/>
          <w:bCs/>
          <w:color w:val="0079BF"/>
          <w:sz w:val="24"/>
          <w:szCs w:val="24"/>
        </w:rPr>
        <w:t>III.2. I</w:t>
      </w:r>
      <w:r w:rsidRPr="006060C8">
        <w:rPr>
          <w:rFonts w:ascii="Century Gothic" w:eastAsiaTheme="minorHAnsi" w:hAnsi="Century Gothic" w:cstheme="minorBidi"/>
          <w:bCs/>
          <w:color w:val="0079BF"/>
          <w:sz w:val="24"/>
          <w:szCs w:val="24"/>
        </w:rPr>
        <w:t>ndicadores de oportunidad</w:t>
      </w:r>
      <w:bookmarkEnd w:id="0"/>
      <w:r w:rsidRPr="006060C8">
        <w:rPr>
          <w:rFonts w:ascii="Century Gothic" w:eastAsiaTheme="minorHAnsi" w:hAnsi="Century Gothic" w:cstheme="minorBidi"/>
          <w:bCs/>
          <w:color w:val="0079BF"/>
          <w:sz w:val="24"/>
          <w:szCs w:val="24"/>
        </w:rPr>
        <w:t xml:space="preserve"> </w:t>
      </w:r>
    </w:p>
    <w:p w14:paraId="7D36158E" w14:textId="77777777" w:rsidR="00284E0F" w:rsidRDefault="00284E0F" w:rsidP="00284E0F">
      <w:pPr>
        <w:spacing w:before="40" w:after="40"/>
        <w:jc w:val="both"/>
        <w:rPr>
          <w:rFonts w:ascii="Century Gothic" w:hAnsi="Century Gothic"/>
          <w:sz w:val="19"/>
          <w:szCs w:val="19"/>
        </w:rPr>
      </w:pPr>
    </w:p>
    <w:p w14:paraId="1EE5F4A1" w14:textId="77777777" w:rsidR="00284E0F" w:rsidRDefault="00284E0F" w:rsidP="00284E0F">
      <w:pPr>
        <w:spacing w:before="40" w:after="40"/>
        <w:jc w:val="both"/>
        <w:rPr>
          <w:rFonts w:ascii="Century Gothic" w:hAnsi="Century Gothic"/>
          <w:sz w:val="19"/>
          <w:szCs w:val="19"/>
        </w:rPr>
      </w:pPr>
      <w:r>
        <w:rPr>
          <w:rFonts w:ascii="Century Gothic" w:hAnsi="Century Gothic"/>
          <w:sz w:val="19"/>
          <w:szCs w:val="19"/>
        </w:rPr>
        <w:t xml:space="preserve">La oportunidad es la </w:t>
      </w:r>
      <w:r w:rsidRPr="00C61EE7">
        <w:rPr>
          <w:rFonts w:ascii="Century Gothic" w:hAnsi="Century Gothic"/>
          <w:sz w:val="19"/>
          <w:szCs w:val="19"/>
        </w:rPr>
        <w:t>confluencia de un espacio y un periodo temporal apropiados para que la información sea utilizada para la toma de decisiones</w:t>
      </w:r>
      <w:r>
        <w:rPr>
          <w:rFonts w:ascii="Century Gothic" w:hAnsi="Century Gothic"/>
          <w:sz w:val="19"/>
          <w:szCs w:val="19"/>
        </w:rPr>
        <w:t xml:space="preserve">.  Este principio </w:t>
      </w:r>
      <w:r w:rsidRPr="00C61EE7">
        <w:rPr>
          <w:rFonts w:ascii="Century Gothic" w:hAnsi="Century Gothic"/>
          <w:sz w:val="19"/>
          <w:szCs w:val="19"/>
        </w:rPr>
        <w:t xml:space="preserve">hace referencia a la </w:t>
      </w:r>
      <w:r>
        <w:rPr>
          <w:rFonts w:ascii="Century Gothic" w:hAnsi="Century Gothic"/>
          <w:sz w:val="19"/>
          <w:szCs w:val="19"/>
        </w:rPr>
        <w:t>prontitud</w:t>
      </w:r>
      <w:r w:rsidRPr="00C61EE7">
        <w:rPr>
          <w:rFonts w:ascii="Century Gothic" w:hAnsi="Century Gothic"/>
          <w:sz w:val="19"/>
          <w:szCs w:val="19"/>
        </w:rPr>
        <w:t xml:space="preserve"> con la que se pone a disposición de los usuarios la información final, respecto de la fecha de referencia de la información recopilada.</w:t>
      </w:r>
      <w:r>
        <w:rPr>
          <w:rFonts w:ascii="Century Gothic" w:hAnsi="Century Gothic"/>
          <w:sz w:val="19"/>
          <w:szCs w:val="19"/>
        </w:rPr>
        <w:t xml:space="preserve"> Es importante señalar que en algunos casos se publican fechas para cifras preliminares, revisadas y definitivas; para medir la oportunidad se toma como referencia la primera fecha comprometida.  </w:t>
      </w:r>
    </w:p>
    <w:p w14:paraId="76E68AB1" w14:textId="77777777" w:rsidR="00284E0F" w:rsidRDefault="00284E0F" w:rsidP="00284E0F">
      <w:pPr>
        <w:spacing w:before="40" w:after="40"/>
        <w:jc w:val="both"/>
        <w:rPr>
          <w:rFonts w:ascii="Century Gothic" w:hAnsi="Century Gothic"/>
          <w:sz w:val="19"/>
          <w:szCs w:val="19"/>
        </w:rPr>
      </w:pPr>
    </w:p>
    <w:p w14:paraId="0563B013" w14:textId="77777777" w:rsidR="00284E0F" w:rsidRDefault="00284E0F" w:rsidP="00284E0F">
      <w:pPr>
        <w:spacing w:before="40" w:after="40"/>
        <w:jc w:val="both"/>
        <w:rPr>
          <w:rFonts w:ascii="Century Gothic" w:hAnsi="Century Gothic"/>
          <w:sz w:val="19"/>
          <w:szCs w:val="19"/>
        </w:rPr>
      </w:pPr>
      <w:r w:rsidRPr="00296E53">
        <w:rPr>
          <w:rFonts w:ascii="Century Gothic" w:hAnsi="Century Gothic"/>
          <w:sz w:val="19"/>
          <w:szCs w:val="19"/>
        </w:rPr>
        <w:t>En 2018 se aprobaron en el Comité dos indicadores de oportunidad</w:t>
      </w:r>
      <w:r>
        <w:rPr>
          <w:rFonts w:ascii="Century Gothic" w:hAnsi="Century Gothic"/>
          <w:sz w:val="19"/>
          <w:szCs w:val="19"/>
        </w:rPr>
        <w:t>, y a partir de entonces se miden anualmente (ver cuadro III.2.1).</w:t>
      </w:r>
    </w:p>
    <w:p w14:paraId="5C668179" w14:textId="77777777" w:rsidR="00284E0F" w:rsidRPr="00296E53" w:rsidRDefault="00284E0F" w:rsidP="00284E0F">
      <w:pPr>
        <w:spacing w:before="40" w:after="40"/>
        <w:jc w:val="both"/>
        <w:rPr>
          <w:rFonts w:ascii="Century Gothic" w:hAnsi="Century Gothic"/>
          <w:sz w:val="19"/>
          <w:szCs w:val="19"/>
        </w:rPr>
      </w:pPr>
    </w:p>
    <w:p w14:paraId="6381DE1D" w14:textId="77777777" w:rsidR="00284E0F" w:rsidRPr="00296E53" w:rsidRDefault="00284E0F" w:rsidP="00284E0F">
      <w:pPr>
        <w:spacing w:before="40" w:after="40"/>
        <w:jc w:val="center"/>
        <w:rPr>
          <w:b/>
        </w:rPr>
      </w:pPr>
      <w:r>
        <w:rPr>
          <w:b/>
        </w:rPr>
        <w:t>III</w:t>
      </w:r>
      <w:r w:rsidRPr="00296E53">
        <w:rPr>
          <w:b/>
        </w:rPr>
        <w:t>.2.1. Indicadores de oportunidad aprobados</w:t>
      </w:r>
    </w:p>
    <w:tbl>
      <w:tblPr>
        <w:tblStyle w:val="Tablaconcuadrcula"/>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7230"/>
      </w:tblGrid>
      <w:tr w:rsidR="00284E0F" w:rsidRPr="00296E53" w14:paraId="636415FB" w14:textId="77777777" w:rsidTr="00284E0F">
        <w:tc>
          <w:tcPr>
            <w:tcW w:w="1696" w:type="dxa"/>
            <w:shd w:val="clear" w:color="auto" w:fill="1F3864" w:themeFill="accent1" w:themeFillShade="80"/>
            <w:vAlign w:val="center"/>
          </w:tcPr>
          <w:p w14:paraId="0832F29A" w14:textId="77777777" w:rsidR="00284E0F" w:rsidRPr="00296E53" w:rsidRDefault="00284E0F" w:rsidP="00EF2651">
            <w:pPr>
              <w:spacing w:before="40" w:after="40"/>
              <w:jc w:val="center"/>
              <w:rPr>
                <w:rFonts w:ascii="Century Gothic" w:hAnsi="Century Gothic"/>
                <w:color w:val="FFFFFF" w:themeColor="background1"/>
                <w:sz w:val="17"/>
                <w:szCs w:val="17"/>
              </w:rPr>
            </w:pPr>
            <w:proofErr w:type="spellStart"/>
            <w:r w:rsidRPr="00296E53">
              <w:rPr>
                <w:rFonts w:ascii="Century Gothic" w:hAnsi="Century Gothic"/>
                <w:color w:val="FFFFFF" w:themeColor="background1"/>
                <w:sz w:val="17"/>
                <w:szCs w:val="17"/>
              </w:rPr>
              <w:t>Nombre</w:t>
            </w:r>
            <w:proofErr w:type="spellEnd"/>
            <w:r w:rsidRPr="00296E53">
              <w:rPr>
                <w:rFonts w:ascii="Century Gothic" w:hAnsi="Century Gothic"/>
                <w:color w:val="FFFFFF" w:themeColor="background1"/>
                <w:sz w:val="17"/>
                <w:szCs w:val="17"/>
              </w:rPr>
              <w:t xml:space="preserve"> del indicador</w:t>
            </w:r>
          </w:p>
        </w:tc>
        <w:tc>
          <w:tcPr>
            <w:tcW w:w="7230" w:type="dxa"/>
            <w:shd w:val="clear" w:color="auto" w:fill="1F3864" w:themeFill="accent1" w:themeFillShade="80"/>
            <w:vAlign w:val="center"/>
          </w:tcPr>
          <w:p w14:paraId="2591BF49" w14:textId="77777777" w:rsidR="00284E0F" w:rsidRPr="00296E53" w:rsidRDefault="00284E0F" w:rsidP="00EF2651">
            <w:pPr>
              <w:spacing w:before="40" w:after="40"/>
              <w:jc w:val="center"/>
              <w:rPr>
                <w:rFonts w:ascii="Century Gothic" w:hAnsi="Century Gothic"/>
                <w:color w:val="FFFFFF" w:themeColor="background1"/>
                <w:sz w:val="17"/>
                <w:szCs w:val="17"/>
              </w:rPr>
            </w:pPr>
            <w:r w:rsidRPr="00296E53">
              <w:rPr>
                <w:rFonts w:ascii="Century Gothic" w:hAnsi="Century Gothic"/>
                <w:color w:val="FFFFFF" w:themeColor="background1"/>
                <w:sz w:val="17"/>
                <w:szCs w:val="17"/>
              </w:rPr>
              <w:t>Definición</w:t>
            </w:r>
          </w:p>
        </w:tc>
      </w:tr>
      <w:tr w:rsidR="00284E0F" w:rsidRPr="00296E53" w14:paraId="78D6DFAD" w14:textId="77777777" w:rsidTr="00284E0F">
        <w:tc>
          <w:tcPr>
            <w:tcW w:w="1696" w:type="dxa"/>
            <w:vAlign w:val="center"/>
          </w:tcPr>
          <w:p w14:paraId="11AC1C72" w14:textId="77777777" w:rsidR="00284E0F" w:rsidRPr="00296E53" w:rsidRDefault="00284E0F" w:rsidP="00EF2651">
            <w:pPr>
              <w:spacing w:before="40" w:after="40"/>
              <w:rPr>
                <w:rFonts w:ascii="Century Gothic" w:hAnsi="Century Gothic"/>
                <w:sz w:val="17"/>
                <w:szCs w:val="17"/>
              </w:rPr>
            </w:pPr>
            <w:r w:rsidRPr="00296E53">
              <w:rPr>
                <w:rFonts w:ascii="Century Gothic" w:hAnsi="Century Gothic"/>
                <w:sz w:val="17"/>
                <w:szCs w:val="17"/>
              </w:rPr>
              <w:t xml:space="preserve">Indicador de </w:t>
            </w:r>
            <w:proofErr w:type="spellStart"/>
            <w:r w:rsidRPr="00296E53">
              <w:rPr>
                <w:rFonts w:ascii="Century Gothic" w:hAnsi="Century Gothic"/>
                <w:sz w:val="17"/>
                <w:szCs w:val="17"/>
              </w:rPr>
              <w:t>oportunidad</w:t>
            </w:r>
            <w:proofErr w:type="spellEnd"/>
            <w:r w:rsidRPr="00296E53">
              <w:rPr>
                <w:rFonts w:ascii="Century Gothic" w:hAnsi="Century Gothic"/>
                <w:sz w:val="17"/>
                <w:szCs w:val="17"/>
              </w:rPr>
              <w:t xml:space="preserve"> (IDO)</w:t>
            </w:r>
          </w:p>
        </w:tc>
        <w:tc>
          <w:tcPr>
            <w:tcW w:w="7230" w:type="dxa"/>
            <w:vAlign w:val="center"/>
          </w:tcPr>
          <w:p w14:paraId="12CC0839" w14:textId="77777777" w:rsidR="00284E0F" w:rsidRPr="00296E53" w:rsidRDefault="00284E0F" w:rsidP="00EF2651">
            <w:pPr>
              <w:spacing w:before="40" w:after="40"/>
              <w:jc w:val="both"/>
              <w:rPr>
                <w:rFonts w:ascii="Century Gothic" w:hAnsi="Century Gothic"/>
                <w:sz w:val="17"/>
                <w:szCs w:val="17"/>
              </w:rPr>
            </w:pPr>
            <w:r w:rsidRPr="00296E53">
              <w:rPr>
                <w:rFonts w:ascii="Century Gothic" w:hAnsi="Century Gothic"/>
                <w:sz w:val="17"/>
                <w:szCs w:val="17"/>
              </w:rPr>
              <w:t xml:space="preserve">Es la </w:t>
            </w:r>
            <w:proofErr w:type="spellStart"/>
            <w:r w:rsidRPr="00296E53">
              <w:rPr>
                <w:rFonts w:ascii="Century Gothic" w:hAnsi="Century Gothic"/>
                <w:sz w:val="17"/>
                <w:szCs w:val="17"/>
              </w:rPr>
              <w:t>diferencia</w:t>
            </w:r>
            <w:proofErr w:type="spellEnd"/>
            <w:r>
              <w:rPr>
                <w:rFonts w:ascii="Century Gothic" w:hAnsi="Century Gothic"/>
                <w:sz w:val="17"/>
                <w:szCs w:val="17"/>
              </w:rPr>
              <w:t xml:space="preserve"> </w:t>
            </w:r>
            <w:proofErr w:type="spellStart"/>
            <w:r>
              <w:rPr>
                <w:rFonts w:ascii="Century Gothic" w:hAnsi="Century Gothic"/>
                <w:sz w:val="17"/>
                <w:szCs w:val="17"/>
              </w:rPr>
              <w:t>porcentual</w:t>
            </w:r>
            <w:proofErr w:type="spellEnd"/>
            <w:r w:rsidRPr="00296E53">
              <w:rPr>
                <w:rFonts w:ascii="Century Gothic" w:hAnsi="Century Gothic"/>
                <w:sz w:val="17"/>
                <w:szCs w:val="17"/>
              </w:rPr>
              <w:t xml:space="preserve"> entre un </w:t>
            </w:r>
            <w:proofErr w:type="spellStart"/>
            <w:r w:rsidRPr="00296E53">
              <w:rPr>
                <w:rFonts w:ascii="Century Gothic" w:hAnsi="Century Gothic"/>
                <w:sz w:val="17"/>
                <w:szCs w:val="17"/>
              </w:rPr>
              <w:t>parámetro</w:t>
            </w:r>
            <w:proofErr w:type="spellEnd"/>
            <w:r w:rsidRPr="00296E53">
              <w:rPr>
                <w:rFonts w:ascii="Century Gothic" w:hAnsi="Century Gothic"/>
                <w:sz w:val="17"/>
                <w:szCs w:val="17"/>
              </w:rPr>
              <w:t xml:space="preserve"> de </w:t>
            </w:r>
            <w:proofErr w:type="spellStart"/>
            <w:r w:rsidRPr="00296E53">
              <w:rPr>
                <w:rFonts w:ascii="Century Gothic" w:hAnsi="Century Gothic"/>
                <w:sz w:val="17"/>
                <w:szCs w:val="17"/>
              </w:rPr>
              <w:t>oportunidad</w:t>
            </w:r>
            <w:proofErr w:type="spellEnd"/>
            <w:r w:rsidRPr="00296E53">
              <w:rPr>
                <w:rFonts w:ascii="Century Gothic" w:hAnsi="Century Gothic"/>
                <w:sz w:val="17"/>
                <w:szCs w:val="17"/>
              </w:rPr>
              <w:t xml:space="preserve"> </w:t>
            </w:r>
            <w:proofErr w:type="spellStart"/>
            <w:r>
              <w:rPr>
                <w:rFonts w:ascii="Century Gothic" w:hAnsi="Century Gothic"/>
                <w:sz w:val="17"/>
                <w:szCs w:val="17"/>
              </w:rPr>
              <w:t>medido</w:t>
            </w:r>
            <w:proofErr w:type="spellEnd"/>
            <w:r>
              <w:rPr>
                <w:rFonts w:ascii="Century Gothic" w:hAnsi="Century Gothic"/>
                <w:sz w:val="17"/>
                <w:szCs w:val="17"/>
              </w:rPr>
              <w:t xml:space="preserve"> en días </w:t>
            </w:r>
            <w:r w:rsidRPr="00296E53">
              <w:rPr>
                <w:rFonts w:ascii="Century Gothic" w:hAnsi="Century Gothic"/>
                <w:sz w:val="17"/>
                <w:szCs w:val="17"/>
              </w:rPr>
              <w:t xml:space="preserve">que </w:t>
            </w:r>
            <w:proofErr w:type="spellStart"/>
            <w:r w:rsidRPr="00296E53">
              <w:rPr>
                <w:rFonts w:ascii="Century Gothic" w:hAnsi="Century Gothic"/>
                <w:sz w:val="17"/>
                <w:szCs w:val="17"/>
              </w:rPr>
              <w:t>sirve</w:t>
            </w:r>
            <w:proofErr w:type="spellEnd"/>
            <w:r w:rsidRPr="00296E53">
              <w:rPr>
                <w:rFonts w:ascii="Century Gothic" w:hAnsi="Century Gothic"/>
                <w:sz w:val="17"/>
                <w:szCs w:val="17"/>
              </w:rPr>
              <w:t xml:space="preserve"> de referencia </w:t>
            </w:r>
            <w:r>
              <w:rPr>
                <w:rFonts w:ascii="Century Gothic" w:hAnsi="Century Gothic"/>
                <w:sz w:val="17"/>
                <w:szCs w:val="17"/>
              </w:rPr>
              <w:t>(</w:t>
            </w:r>
            <w:r w:rsidRPr="00296E53">
              <w:rPr>
                <w:rFonts w:ascii="Century Gothic" w:hAnsi="Century Gothic"/>
                <w:sz w:val="17"/>
                <w:szCs w:val="17"/>
              </w:rPr>
              <w:t xml:space="preserve">mejores </w:t>
            </w:r>
            <w:proofErr w:type="spellStart"/>
            <w:r w:rsidRPr="00296E53">
              <w:rPr>
                <w:rFonts w:ascii="Century Gothic" w:hAnsi="Century Gothic"/>
                <w:sz w:val="17"/>
                <w:szCs w:val="17"/>
              </w:rPr>
              <w:t>prácticas</w:t>
            </w:r>
            <w:proofErr w:type="spellEnd"/>
            <w:r w:rsidRPr="00296E53">
              <w:rPr>
                <w:rFonts w:ascii="Century Gothic" w:hAnsi="Century Gothic"/>
                <w:sz w:val="17"/>
                <w:szCs w:val="17"/>
              </w:rPr>
              <w:t xml:space="preserve"> en materia de difusión</w:t>
            </w:r>
            <w:r>
              <w:rPr>
                <w:rFonts w:ascii="Century Gothic" w:hAnsi="Century Gothic"/>
                <w:sz w:val="17"/>
                <w:szCs w:val="17"/>
              </w:rPr>
              <w:t>)</w:t>
            </w:r>
            <w:r w:rsidRPr="00296E53">
              <w:rPr>
                <w:rFonts w:ascii="Century Gothic" w:hAnsi="Century Gothic"/>
                <w:sz w:val="17"/>
                <w:szCs w:val="17"/>
              </w:rPr>
              <w:t xml:space="preserve"> y </w:t>
            </w:r>
            <w:r>
              <w:rPr>
                <w:rFonts w:ascii="Century Gothic" w:hAnsi="Century Gothic"/>
                <w:sz w:val="17"/>
                <w:szCs w:val="17"/>
              </w:rPr>
              <w:t>el número de días en</w:t>
            </w:r>
            <w:r w:rsidRPr="00296E53">
              <w:rPr>
                <w:rFonts w:ascii="Century Gothic" w:hAnsi="Century Gothic"/>
                <w:sz w:val="17"/>
                <w:szCs w:val="17"/>
              </w:rPr>
              <w:t xml:space="preserve"> que actualmente el Instituto da a conocer la información en </w:t>
            </w:r>
            <w:proofErr w:type="spellStart"/>
            <w:r w:rsidRPr="00296E53">
              <w:rPr>
                <w:rFonts w:ascii="Century Gothic" w:hAnsi="Century Gothic"/>
                <w:sz w:val="17"/>
                <w:szCs w:val="17"/>
              </w:rPr>
              <w:t>cuestión</w:t>
            </w:r>
            <w:proofErr w:type="spellEnd"/>
            <w:r w:rsidRPr="00296E53">
              <w:rPr>
                <w:rFonts w:ascii="Century Gothic" w:hAnsi="Century Gothic"/>
                <w:sz w:val="17"/>
                <w:szCs w:val="17"/>
              </w:rPr>
              <w:t xml:space="preserve">. </w:t>
            </w:r>
          </w:p>
          <w:p w14:paraId="38643F22" w14:textId="77777777" w:rsidR="00284E0F" w:rsidRPr="00296E53" w:rsidRDefault="00284E0F" w:rsidP="00EF2651">
            <w:pPr>
              <w:spacing w:before="40" w:after="40"/>
              <w:jc w:val="both"/>
              <w:rPr>
                <w:rFonts w:ascii="Century Gothic" w:hAnsi="Century Gothic"/>
                <w:sz w:val="17"/>
                <w:szCs w:val="17"/>
              </w:rPr>
            </w:pPr>
            <w:r w:rsidRPr="00296E53">
              <w:rPr>
                <w:rFonts w:ascii="Century Gothic" w:hAnsi="Century Gothic"/>
                <w:sz w:val="17"/>
                <w:szCs w:val="17"/>
              </w:rPr>
              <w:t xml:space="preserve">Este indicador se </w:t>
            </w:r>
            <w:proofErr w:type="spellStart"/>
            <w:r w:rsidRPr="00296E53">
              <w:rPr>
                <w:rFonts w:ascii="Century Gothic" w:hAnsi="Century Gothic"/>
                <w:sz w:val="17"/>
                <w:szCs w:val="17"/>
              </w:rPr>
              <w:t>calcula</w:t>
            </w:r>
            <w:proofErr w:type="spellEnd"/>
            <w:r w:rsidRPr="00296E53">
              <w:rPr>
                <w:rFonts w:ascii="Century Gothic" w:hAnsi="Century Gothic"/>
                <w:sz w:val="17"/>
                <w:szCs w:val="17"/>
              </w:rPr>
              <w:t xml:space="preserve"> para cada </w:t>
            </w:r>
            <w:proofErr w:type="spellStart"/>
            <w:r w:rsidRPr="00296E53">
              <w:rPr>
                <w:rFonts w:ascii="Century Gothic" w:hAnsi="Century Gothic"/>
                <w:sz w:val="17"/>
                <w:szCs w:val="17"/>
              </w:rPr>
              <w:t>uno</w:t>
            </w:r>
            <w:proofErr w:type="spellEnd"/>
            <w:r w:rsidRPr="00296E53">
              <w:rPr>
                <w:rFonts w:ascii="Century Gothic" w:hAnsi="Century Gothic"/>
                <w:sz w:val="17"/>
                <w:szCs w:val="17"/>
              </w:rPr>
              <w:t xml:space="preserve"> de los programas y sus productos</w:t>
            </w:r>
            <w:r>
              <w:rPr>
                <w:rFonts w:ascii="Century Gothic" w:hAnsi="Century Gothic"/>
                <w:sz w:val="17"/>
                <w:szCs w:val="17"/>
              </w:rPr>
              <w:t>.</w:t>
            </w:r>
            <w:r w:rsidRPr="00296E53">
              <w:rPr>
                <w:rFonts w:ascii="Century Gothic" w:hAnsi="Century Gothic"/>
                <w:sz w:val="17"/>
                <w:szCs w:val="17"/>
              </w:rPr>
              <w:t xml:space="preserve"> </w:t>
            </w:r>
          </w:p>
        </w:tc>
      </w:tr>
      <w:tr w:rsidR="00284E0F" w:rsidRPr="00296E53" w14:paraId="5A1249AF" w14:textId="77777777" w:rsidTr="00284E0F">
        <w:tc>
          <w:tcPr>
            <w:tcW w:w="1696" w:type="dxa"/>
            <w:vAlign w:val="center"/>
          </w:tcPr>
          <w:p w14:paraId="664FF85D" w14:textId="77777777" w:rsidR="00284E0F" w:rsidRPr="00296E53" w:rsidRDefault="00284E0F" w:rsidP="00EF2651">
            <w:pPr>
              <w:spacing w:before="40" w:after="40"/>
              <w:rPr>
                <w:rFonts w:ascii="Century Gothic" w:hAnsi="Century Gothic"/>
                <w:sz w:val="17"/>
                <w:szCs w:val="17"/>
              </w:rPr>
            </w:pPr>
            <w:r w:rsidRPr="00296E53">
              <w:rPr>
                <w:rFonts w:ascii="Century Gothic" w:hAnsi="Century Gothic"/>
                <w:sz w:val="17"/>
                <w:szCs w:val="17"/>
              </w:rPr>
              <w:t xml:space="preserve">Indicador institucional de </w:t>
            </w:r>
            <w:proofErr w:type="spellStart"/>
            <w:r w:rsidRPr="00296E53">
              <w:rPr>
                <w:rFonts w:ascii="Century Gothic" w:hAnsi="Century Gothic"/>
                <w:sz w:val="17"/>
                <w:szCs w:val="17"/>
              </w:rPr>
              <w:t>oportunidad</w:t>
            </w:r>
            <w:proofErr w:type="spellEnd"/>
            <w:r w:rsidRPr="00296E53">
              <w:rPr>
                <w:rFonts w:ascii="Century Gothic" w:hAnsi="Century Gothic"/>
                <w:sz w:val="17"/>
                <w:szCs w:val="17"/>
              </w:rPr>
              <w:t xml:space="preserve"> (IIO)</w:t>
            </w:r>
          </w:p>
        </w:tc>
        <w:tc>
          <w:tcPr>
            <w:tcW w:w="7230" w:type="dxa"/>
            <w:vAlign w:val="center"/>
          </w:tcPr>
          <w:p w14:paraId="24F80631" w14:textId="77777777" w:rsidR="00284E0F" w:rsidRPr="00296E53" w:rsidRDefault="00284E0F" w:rsidP="00EF2651">
            <w:pPr>
              <w:spacing w:before="40" w:after="40"/>
              <w:jc w:val="both"/>
              <w:rPr>
                <w:rFonts w:ascii="Century Gothic" w:hAnsi="Century Gothic"/>
                <w:sz w:val="17"/>
                <w:szCs w:val="17"/>
              </w:rPr>
            </w:pPr>
            <w:r w:rsidRPr="00296E53">
              <w:rPr>
                <w:rFonts w:ascii="Century Gothic" w:hAnsi="Century Gothic"/>
                <w:sz w:val="17"/>
                <w:szCs w:val="17"/>
              </w:rPr>
              <w:t xml:space="preserve">El indicador institucional de </w:t>
            </w:r>
            <w:proofErr w:type="spellStart"/>
            <w:r w:rsidRPr="00296E53">
              <w:rPr>
                <w:rFonts w:ascii="Century Gothic" w:hAnsi="Century Gothic"/>
                <w:sz w:val="17"/>
                <w:szCs w:val="17"/>
              </w:rPr>
              <w:t>oportunidad</w:t>
            </w:r>
            <w:proofErr w:type="spellEnd"/>
            <w:r w:rsidRPr="00296E53">
              <w:rPr>
                <w:rFonts w:ascii="Century Gothic" w:hAnsi="Century Gothic"/>
                <w:sz w:val="17"/>
                <w:szCs w:val="17"/>
              </w:rPr>
              <w:t xml:space="preserve"> se define como el promedio </w:t>
            </w:r>
            <w:proofErr w:type="spellStart"/>
            <w:r w:rsidRPr="00296E53">
              <w:rPr>
                <w:rFonts w:ascii="Century Gothic" w:hAnsi="Century Gothic"/>
                <w:sz w:val="17"/>
                <w:szCs w:val="17"/>
              </w:rPr>
              <w:t>aritmético</w:t>
            </w:r>
            <w:proofErr w:type="spellEnd"/>
            <w:r w:rsidRPr="00296E53">
              <w:rPr>
                <w:rFonts w:ascii="Century Gothic" w:hAnsi="Century Gothic"/>
                <w:sz w:val="17"/>
                <w:szCs w:val="17"/>
              </w:rPr>
              <w:t xml:space="preserve"> de los Indicadores de Oportunidad de los </w:t>
            </w:r>
            <w:proofErr w:type="spellStart"/>
            <w:r w:rsidRPr="00296E53">
              <w:rPr>
                <w:rFonts w:ascii="Century Gothic" w:hAnsi="Century Gothic"/>
                <w:sz w:val="17"/>
                <w:szCs w:val="17"/>
              </w:rPr>
              <w:t>proyectos</w:t>
            </w:r>
            <w:proofErr w:type="spellEnd"/>
            <w:r w:rsidRPr="00296E53">
              <w:rPr>
                <w:rFonts w:ascii="Century Gothic" w:hAnsi="Century Gothic"/>
                <w:sz w:val="17"/>
                <w:szCs w:val="17"/>
              </w:rPr>
              <w:t xml:space="preserve"> </w:t>
            </w:r>
            <w:proofErr w:type="spellStart"/>
            <w:r w:rsidRPr="00296E53">
              <w:rPr>
                <w:rFonts w:ascii="Century Gothic" w:hAnsi="Century Gothic"/>
                <w:sz w:val="17"/>
                <w:szCs w:val="17"/>
              </w:rPr>
              <w:t>individuales</w:t>
            </w:r>
            <w:proofErr w:type="spellEnd"/>
            <w:r w:rsidRPr="00296E53">
              <w:rPr>
                <w:rFonts w:ascii="Century Gothic" w:hAnsi="Century Gothic"/>
                <w:sz w:val="17"/>
                <w:szCs w:val="17"/>
              </w:rPr>
              <w:t xml:space="preserve"> </w:t>
            </w:r>
            <w:proofErr w:type="spellStart"/>
            <w:r w:rsidRPr="00296E53">
              <w:rPr>
                <w:rFonts w:ascii="Century Gothic" w:hAnsi="Century Gothic"/>
                <w:sz w:val="17"/>
                <w:szCs w:val="17"/>
              </w:rPr>
              <w:t>considerados</w:t>
            </w:r>
            <w:proofErr w:type="spellEnd"/>
            <w:r w:rsidRPr="00296E53">
              <w:rPr>
                <w:rFonts w:ascii="Century Gothic" w:hAnsi="Century Gothic"/>
                <w:sz w:val="17"/>
                <w:szCs w:val="17"/>
              </w:rPr>
              <w:t xml:space="preserve"> en la </w:t>
            </w:r>
            <w:proofErr w:type="spellStart"/>
            <w:r w:rsidRPr="00296E53">
              <w:rPr>
                <w:rFonts w:ascii="Century Gothic" w:hAnsi="Century Gothic"/>
                <w:sz w:val="17"/>
                <w:szCs w:val="17"/>
              </w:rPr>
              <w:t>Matriz</w:t>
            </w:r>
            <w:proofErr w:type="spellEnd"/>
            <w:r w:rsidRPr="00296E53">
              <w:rPr>
                <w:rFonts w:ascii="Century Gothic" w:hAnsi="Century Gothic"/>
                <w:sz w:val="17"/>
                <w:szCs w:val="17"/>
              </w:rPr>
              <w:t xml:space="preserve"> de </w:t>
            </w:r>
            <w:proofErr w:type="spellStart"/>
            <w:r w:rsidRPr="00296E53">
              <w:rPr>
                <w:rFonts w:ascii="Century Gothic" w:hAnsi="Century Gothic"/>
                <w:sz w:val="17"/>
                <w:szCs w:val="17"/>
              </w:rPr>
              <w:t>Parámetros</w:t>
            </w:r>
            <w:proofErr w:type="spellEnd"/>
            <w:r w:rsidRPr="00296E53">
              <w:rPr>
                <w:rFonts w:ascii="Century Gothic" w:hAnsi="Century Gothic"/>
                <w:sz w:val="17"/>
                <w:szCs w:val="17"/>
              </w:rPr>
              <w:t xml:space="preserve"> de Oportunidad y para los cuales se </w:t>
            </w:r>
            <w:proofErr w:type="spellStart"/>
            <w:r w:rsidRPr="00296E53">
              <w:rPr>
                <w:rFonts w:ascii="Century Gothic" w:hAnsi="Century Gothic"/>
                <w:sz w:val="17"/>
                <w:szCs w:val="17"/>
              </w:rPr>
              <w:t>haya</w:t>
            </w:r>
            <w:proofErr w:type="spellEnd"/>
            <w:r w:rsidRPr="00296E53">
              <w:rPr>
                <w:rFonts w:ascii="Century Gothic" w:hAnsi="Century Gothic"/>
                <w:sz w:val="17"/>
                <w:szCs w:val="17"/>
              </w:rPr>
              <w:t xml:space="preserve"> </w:t>
            </w:r>
            <w:proofErr w:type="spellStart"/>
            <w:r w:rsidRPr="00296E53">
              <w:rPr>
                <w:rFonts w:ascii="Century Gothic" w:hAnsi="Century Gothic"/>
                <w:sz w:val="17"/>
                <w:szCs w:val="17"/>
              </w:rPr>
              <w:t>identificado</w:t>
            </w:r>
            <w:proofErr w:type="spellEnd"/>
            <w:r w:rsidRPr="00296E53">
              <w:rPr>
                <w:rFonts w:ascii="Century Gothic" w:hAnsi="Century Gothic"/>
                <w:sz w:val="17"/>
                <w:szCs w:val="17"/>
              </w:rPr>
              <w:t xml:space="preserve"> un </w:t>
            </w:r>
            <w:proofErr w:type="spellStart"/>
            <w:r w:rsidRPr="00296E53">
              <w:rPr>
                <w:rFonts w:ascii="Century Gothic" w:hAnsi="Century Gothic"/>
                <w:sz w:val="17"/>
                <w:szCs w:val="17"/>
              </w:rPr>
              <w:t>parámetro</w:t>
            </w:r>
            <w:proofErr w:type="spellEnd"/>
            <w:r w:rsidRPr="00296E53">
              <w:rPr>
                <w:rFonts w:ascii="Century Gothic" w:hAnsi="Century Gothic"/>
                <w:sz w:val="17"/>
                <w:szCs w:val="17"/>
              </w:rPr>
              <w:t xml:space="preserve"> de </w:t>
            </w:r>
            <w:proofErr w:type="spellStart"/>
            <w:r w:rsidRPr="00296E53">
              <w:rPr>
                <w:rFonts w:ascii="Century Gothic" w:hAnsi="Century Gothic"/>
                <w:sz w:val="17"/>
                <w:szCs w:val="17"/>
              </w:rPr>
              <w:t>oportunidad</w:t>
            </w:r>
            <w:proofErr w:type="spellEnd"/>
            <w:r w:rsidRPr="00296E53">
              <w:rPr>
                <w:rFonts w:ascii="Century Gothic" w:hAnsi="Century Gothic"/>
                <w:sz w:val="17"/>
                <w:szCs w:val="17"/>
              </w:rPr>
              <w:t>.</w:t>
            </w:r>
          </w:p>
        </w:tc>
      </w:tr>
    </w:tbl>
    <w:p w14:paraId="0AA1AE25" w14:textId="77777777" w:rsidR="00284E0F" w:rsidRDefault="00284E0F" w:rsidP="00284E0F">
      <w:pPr>
        <w:spacing w:before="40" w:after="40"/>
        <w:rPr>
          <w:rFonts w:ascii="Century Gothic" w:hAnsi="Century Gothic"/>
        </w:rPr>
      </w:pPr>
    </w:p>
    <w:p w14:paraId="77A286AC" w14:textId="77777777" w:rsidR="00284E0F" w:rsidRDefault="00284E0F" w:rsidP="00284E0F">
      <w:pPr>
        <w:spacing w:before="40" w:after="40"/>
        <w:jc w:val="both"/>
        <w:rPr>
          <w:rFonts w:ascii="Century Gothic" w:hAnsi="Century Gothic"/>
          <w:sz w:val="19"/>
          <w:szCs w:val="19"/>
        </w:rPr>
      </w:pPr>
      <w:r>
        <w:rPr>
          <w:rFonts w:ascii="Century Gothic" w:hAnsi="Century Gothic"/>
          <w:sz w:val="19"/>
          <w:szCs w:val="19"/>
        </w:rPr>
        <w:t>En el cuadro III.2.2, se presenta un resumen con los resultados del indicador para el periodo 2019-2021, en donde se observa que el porcentaje de productos de información que cumplieron con el parámetro definido se recuperó en 2021, quedando cerca de alcanzar los niveles de 2019.  El porcentaje de programas que cumplieron los parámetros de oportunidad es distinto según el método de generación.  Destacan los métodos de generación de actualización cartográfica y estadística derivada, en los que el 100% y 88% de los programas, respectivamente, cumple con el parámetro de oportunidad definid</w:t>
      </w:r>
      <w:r w:rsidRPr="00C42223">
        <w:rPr>
          <w:rFonts w:ascii="Century Gothic" w:hAnsi="Century Gothic"/>
          <w:sz w:val="19"/>
          <w:szCs w:val="19"/>
        </w:rPr>
        <w:t xml:space="preserve">o.  </w:t>
      </w:r>
      <w:r w:rsidRPr="00C42223">
        <w:rPr>
          <w:rFonts w:ascii="Century Gothic" w:hAnsi="Century Gothic"/>
          <w:sz w:val="19"/>
        </w:rPr>
        <w:t>En el otro extremo se encuentran las encuestas, ya que menos del 46% de los programas cumple los parámetros de oportunidad.</w:t>
      </w:r>
      <w:r>
        <w:rPr>
          <w:rFonts w:ascii="Century Gothic" w:hAnsi="Century Gothic"/>
          <w:sz w:val="19"/>
          <w:szCs w:val="19"/>
        </w:rPr>
        <w:t xml:space="preserve">  </w:t>
      </w:r>
    </w:p>
    <w:p w14:paraId="31156E65" w14:textId="77777777" w:rsidR="00284E0F" w:rsidRDefault="00284E0F" w:rsidP="00284E0F">
      <w:pPr>
        <w:spacing w:before="40" w:after="40"/>
        <w:jc w:val="both"/>
        <w:rPr>
          <w:rFonts w:ascii="Century Gothic" w:hAnsi="Century Gothic"/>
          <w:sz w:val="19"/>
          <w:szCs w:val="19"/>
        </w:rPr>
      </w:pPr>
    </w:p>
    <w:p w14:paraId="1E38E08D" w14:textId="77777777" w:rsidR="00284E0F" w:rsidRPr="00D45F94" w:rsidRDefault="00284E0F" w:rsidP="00284E0F">
      <w:pPr>
        <w:spacing w:before="40" w:after="40"/>
        <w:jc w:val="center"/>
        <w:rPr>
          <w:rFonts w:ascii="Century Gothic" w:hAnsi="Century Gothic"/>
          <w:b/>
          <w:sz w:val="19"/>
          <w:szCs w:val="19"/>
        </w:rPr>
      </w:pPr>
      <w:r w:rsidRPr="00101D26">
        <w:rPr>
          <w:rFonts w:ascii="Century Gothic" w:hAnsi="Century Gothic"/>
          <w:b/>
          <w:sz w:val="19"/>
          <w:szCs w:val="19"/>
        </w:rPr>
        <w:t>III.2.2. Porcentaje de programas que cumplen los parámetros de oportunidad establecidos</w:t>
      </w:r>
    </w:p>
    <w:tbl>
      <w:tblPr>
        <w:tblW w:w="8905" w:type="dxa"/>
        <w:tblLayout w:type="fixed"/>
        <w:tblCellMar>
          <w:left w:w="70" w:type="dxa"/>
          <w:right w:w="70" w:type="dxa"/>
        </w:tblCellMar>
        <w:tblLook w:val="04A0" w:firstRow="1" w:lastRow="0" w:firstColumn="1" w:lastColumn="0" w:noHBand="0" w:noVBand="1"/>
      </w:tblPr>
      <w:tblGrid>
        <w:gridCol w:w="5387"/>
        <w:gridCol w:w="567"/>
        <w:gridCol w:w="1244"/>
        <w:gridCol w:w="1024"/>
        <w:gridCol w:w="683"/>
      </w:tblGrid>
      <w:tr w:rsidR="00284E0F" w:rsidRPr="00971235" w14:paraId="61A51275" w14:textId="77777777" w:rsidTr="00284E0F">
        <w:trPr>
          <w:trHeight w:val="290"/>
        </w:trPr>
        <w:tc>
          <w:tcPr>
            <w:tcW w:w="5387" w:type="dxa"/>
            <w:shd w:val="clear" w:color="auto" w:fill="1F3864" w:themeFill="accent1" w:themeFillShade="80"/>
            <w:noWrap/>
            <w:vAlign w:val="bottom"/>
            <w:hideMark/>
          </w:tcPr>
          <w:p w14:paraId="070B3C1F" w14:textId="77777777" w:rsidR="00284E0F" w:rsidRPr="00971235" w:rsidRDefault="00284E0F" w:rsidP="00EF2651">
            <w:pPr>
              <w:spacing w:before="40" w:after="40" w:line="240" w:lineRule="auto"/>
              <w:rPr>
                <w:rFonts w:ascii="Century Gothic" w:eastAsia="Times New Roman" w:hAnsi="Century Gothic" w:cs="Calibri"/>
                <w:color w:val="FFFFFF" w:themeColor="background1"/>
                <w:sz w:val="16"/>
                <w:szCs w:val="16"/>
                <w:lang w:eastAsia="es-MX"/>
              </w:rPr>
            </w:pPr>
            <w:r>
              <w:rPr>
                <w:rFonts w:ascii="Century Gothic" w:eastAsia="Times New Roman" w:hAnsi="Century Gothic" w:cs="Calibri"/>
                <w:color w:val="FFFFFF" w:themeColor="background1"/>
                <w:sz w:val="16"/>
                <w:szCs w:val="16"/>
                <w:lang w:eastAsia="es-MX"/>
              </w:rPr>
              <w:t>Método de Generación de la Información</w:t>
            </w:r>
          </w:p>
        </w:tc>
        <w:tc>
          <w:tcPr>
            <w:tcW w:w="567" w:type="dxa"/>
            <w:shd w:val="clear" w:color="auto" w:fill="auto"/>
            <w:noWrap/>
            <w:vAlign w:val="bottom"/>
            <w:hideMark/>
          </w:tcPr>
          <w:p w14:paraId="550E1BE5" w14:textId="77777777" w:rsidR="00284E0F" w:rsidRPr="00971235" w:rsidRDefault="00284E0F" w:rsidP="00EF2651">
            <w:pPr>
              <w:spacing w:before="40" w:after="40" w:line="240" w:lineRule="auto"/>
              <w:jc w:val="center"/>
              <w:rPr>
                <w:rFonts w:ascii="Century Gothic" w:eastAsia="Times New Roman" w:hAnsi="Century Gothic" w:cs="Calibri"/>
                <w:color w:val="FFFFFF" w:themeColor="background1"/>
                <w:sz w:val="16"/>
                <w:szCs w:val="16"/>
                <w:lang w:eastAsia="es-MX"/>
              </w:rPr>
            </w:pPr>
            <w:r w:rsidRPr="00971235">
              <w:rPr>
                <w:rFonts w:ascii="Century Gothic" w:eastAsia="Times New Roman" w:hAnsi="Century Gothic" w:cs="Calibri"/>
                <w:color w:val="FFFFFF" w:themeColor="background1"/>
                <w:sz w:val="16"/>
                <w:szCs w:val="16"/>
                <w:lang w:eastAsia="es-MX"/>
              </w:rPr>
              <w:t> </w:t>
            </w:r>
          </w:p>
        </w:tc>
        <w:tc>
          <w:tcPr>
            <w:tcW w:w="1244" w:type="dxa"/>
            <w:shd w:val="clear" w:color="auto" w:fill="1F3864" w:themeFill="accent1" w:themeFillShade="80"/>
            <w:noWrap/>
            <w:vAlign w:val="bottom"/>
            <w:hideMark/>
          </w:tcPr>
          <w:p w14:paraId="19510798" w14:textId="77777777" w:rsidR="00284E0F" w:rsidRPr="00971235" w:rsidRDefault="00284E0F" w:rsidP="00EF2651">
            <w:pPr>
              <w:spacing w:before="40" w:after="40" w:line="240" w:lineRule="auto"/>
              <w:jc w:val="center"/>
              <w:rPr>
                <w:rFonts w:ascii="Century Gothic" w:eastAsia="Times New Roman" w:hAnsi="Century Gothic" w:cs="Calibri"/>
                <w:color w:val="FFFFFF" w:themeColor="background1"/>
                <w:sz w:val="16"/>
                <w:szCs w:val="16"/>
                <w:lang w:eastAsia="es-MX"/>
              </w:rPr>
            </w:pPr>
            <w:r w:rsidRPr="00971235">
              <w:rPr>
                <w:rFonts w:ascii="Century Gothic" w:eastAsia="Times New Roman" w:hAnsi="Century Gothic" w:cs="Calibri"/>
                <w:color w:val="FFFFFF" w:themeColor="background1"/>
                <w:sz w:val="16"/>
                <w:szCs w:val="16"/>
                <w:lang w:eastAsia="es-MX"/>
              </w:rPr>
              <w:t>2019</w:t>
            </w:r>
          </w:p>
        </w:tc>
        <w:tc>
          <w:tcPr>
            <w:tcW w:w="1024" w:type="dxa"/>
            <w:shd w:val="clear" w:color="auto" w:fill="1F3864" w:themeFill="accent1" w:themeFillShade="80"/>
            <w:noWrap/>
            <w:vAlign w:val="bottom"/>
            <w:hideMark/>
          </w:tcPr>
          <w:p w14:paraId="549D1F2B" w14:textId="77777777" w:rsidR="00284E0F" w:rsidRPr="00971235" w:rsidRDefault="00284E0F" w:rsidP="00EF2651">
            <w:pPr>
              <w:spacing w:before="40" w:after="40" w:line="240" w:lineRule="auto"/>
              <w:jc w:val="center"/>
              <w:rPr>
                <w:rFonts w:ascii="Century Gothic" w:eastAsia="Times New Roman" w:hAnsi="Century Gothic" w:cs="Calibri"/>
                <w:color w:val="FFFFFF" w:themeColor="background1"/>
                <w:sz w:val="16"/>
                <w:szCs w:val="16"/>
                <w:lang w:eastAsia="es-MX"/>
              </w:rPr>
            </w:pPr>
            <w:r w:rsidRPr="00971235">
              <w:rPr>
                <w:rFonts w:ascii="Century Gothic" w:eastAsia="Times New Roman" w:hAnsi="Century Gothic" w:cs="Calibri"/>
                <w:color w:val="FFFFFF" w:themeColor="background1"/>
                <w:sz w:val="16"/>
                <w:szCs w:val="16"/>
                <w:lang w:eastAsia="es-MX"/>
              </w:rPr>
              <w:t>2020</w:t>
            </w:r>
          </w:p>
        </w:tc>
        <w:tc>
          <w:tcPr>
            <w:tcW w:w="683" w:type="dxa"/>
            <w:shd w:val="clear" w:color="auto" w:fill="1F3864" w:themeFill="accent1" w:themeFillShade="80"/>
            <w:noWrap/>
            <w:vAlign w:val="bottom"/>
            <w:hideMark/>
          </w:tcPr>
          <w:p w14:paraId="2AC1A35E" w14:textId="77777777" w:rsidR="00284E0F" w:rsidRPr="00971235" w:rsidRDefault="00284E0F" w:rsidP="00EF2651">
            <w:pPr>
              <w:spacing w:before="40" w:after="40" w:line="240" w:lineRule="auto"/>
              <w:jc w:val="center"/>
              <w:rPr>
                <w:rFonts w:ascii="Century Gothic" w:eastAsia="Times New Roman" w:hAnsi="Century Gothic" w:cs="Calibri"/>
                <w:color w:val="FFFFFF" w:themeColor="background1"/>
                <w:sz w:val="16"/>
                <w:szCs w:val="16"/>
                <w:lang w:eastAsia="es-MX"/>
              </w:rPr>
            </w:pPr>
            <w:r w:rsidRPr="00971235">
              <w:rPr>
                <w:rFonts w:ascii="Century Gothic" w:eastAsia="Times New Roman" w:hAnsi="Century Gothic" w:cs="Calibri"/>
                <w:color w:val="FFFFFF" w:themeColor="background1"/>
                <w:sz w:val="16"/>
                <w:szCs w:val="16"/>
                <w:lang w:eastAsia="es-MX"/>
              </w:rPr>
              <w:t>2021</w:t>
            </w:r>
          </w:p>
        </w:tc>
      </w:tr>
      <w:tr w:rsidR="00284E0F" w:rsidRPr="00971235" w14:paraId="62699069" w14:textId="77777777" w:rsidTr="00284E0F">
        <w:trPr>
          <w:trHeight w:val="290"/>
        </w:trPr>
        <w:tc>
          <w:tcPr>
            <w:tcW w:w="5387" w:type="dxa"/>
            <w:shd w:val="clear" w:color="auto" w:fill="auto"/>
            <w:noWrap/>
            <w:vAlign w:val="bottom"/>
            <w:hideMark/>
          </w:tcPr>
          <w:p w14:paraId="14C1ED05" w14:textId="77777777" w:rsidR="00284E0F" w:rsidRPr="00971235" w:rsidRDefault="00284E0F" w:rsidP="00EF2651">
            <w:pPr>
              <w:spacing w:before="40" w:after="40" w:line="240" w:lineRule="auto"/>
              <w:rPr>
                <w:rFonts w:ascii="Century Gothic" w:eastAsia="Times New Roman" w:hAnsi="Century Gothic" w:cs="Calibri"/>
                <w:color w:val="000000"/>
                <w:sz w:val="16"/>
                <w:szCs w:val="16"/>
                <w:lang w:eastAsia="es-MX"/>
              </w:rPr>
            </w:pPr>
            <w:r w:rsidRPr="00971235">
              <w:rPr>
                <w:rFonts w:ascii="Century Gothic" w:eastAsia="Times New Roman" w:hAnsi="Century Gothic" w:cs="Calibri"/>
                <w:color w:val="000000"/>
                <w:sz w:val="16"/>
                <w:szCs w:val="16"/>
                <w:lang w:eastAsia="es-MX"/>
              </w:rPr>
              <w:t>Actualización cartográfica</w:t>
            </w:r>
          </w:p>
        </w:tc>
        <w:tc>
          <w:tcPr>
            <w:tcW w:w="567" w:type="dxa"/>
            <w:shd w:val="clear" w:color="auto" w:fill="auto"/>
            <w:noWrap/>
            <w:vAlign w:val="bottom"/>
            <w:hideMark/>
          </w:tcPr>
          <w:p w14:paraId="6EAE9C79" w14:textId="77777777" w:rsidR="00284E0F" w:rsidRPr="00971235" w:rsidRDefault="00284E0F" w:rsidP="00EF2651">
            <w:pPr>
              <w:spacing w:before="40" w:after="40" w:line="240" w:lineRule="auto"/>
              <w:jc w:val="center"/>
              <w:rPr>
                <w:rFonts w:ascii="Century Gothic" w:eastAsia="Times New Roman" w:hAnsi="Century Gothic" w:cs="Calibri"/>
                <w:color w:val="000000"/>
                <w:sz w:val="16"/>
                <w:szCs w:val="16"/>
                <w:lang w:eastAsia="es-MX"/>
              </w:rPr>
            </w:pPr>
          </w:p>
        </w:tc>
        <w:tc>
          <w:tcPr>
            <w:tcW w:w="1244" w:type="dxa"/>
            <w:shd w:val="clear" w:color="auto" w:fill="auto"/>
            <w:noWrap/>
            <w:vAlign w:val="bottom"/>
            <w:hideMark/>
          </w:tcPr>
          <w:p w14:paraId="3BB5CEFC" w14:textId="77777777" w:rsidR="00284E0F" w:rsidRPr="00AF4BC3" w:rsidRDefault="00284E0F" w:rsidP="00EF2651">
            <w:pPr>
              <w:spacing w:before="40" w:after="40" w:line="240" w:lineRule="auto"/>
              <w:jc w:val="center"/>
              <w:rPr>
                <w:rFonts w:ascii="Century Gothic" w:eastAsia="Times New Roman" w:hAnsi="Century Gothic" w:cs="Times New Roman"/>
                <w:sz w:val="16"/>
                <w:szCs w:val="16"/>
                <w:lang w:eastAsia="es-MX"/>
              </w:rPr>
            </w:pPr>
            <w:r>
              <w:rPr>
                <w:rFonts w:ascii="Century Gothic" w:eastAsia="Times New Roman" w:hAnsi="Century Gothic" w:cs="Times New Roman"/>
                <w:sz w:val="16"/>
                <w:szCs w:val="16"/>
                <w:lang w:eastAsia="es-MX"/>
              </w:rPr>
              <w:t>NA</w:t>
            </w:r>
          </w:p>
        </w:tc>
        <w:tc>
          <w:tcPr>
            <w:tcW w:w="1024" w:type="dxa"/>
            <w:shd w:val="clear" w:color="auto" w:fill="auto"/>
            <w:noWrap/>
            <w:vAlign w:val="bottom"/>
            <w:hideMark/>
          </w:tcPr>
          <w:p w14:paraId="48D26B4B"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33%</w:t>
            </w:r>
          </w:p>
        </w:tc>
        <w:tc>
          <w:tcPr>
            <w:tcW w:w="683" w:type="dxa"/>
            <w:shd w:val="clear" w:color="auto" w:fill="auto"/>
            <w:noWrap/>
            <w:vAlign w:val="bottom"/>
            <w:hideMark/>
          </w:tcPr>
          <w:p w14:paraId="4B6AFC9A"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100%</w:t>
            </w:r>
          </w:p>
        </w:tc>
      </w:tr>
      <w:tr w:rsidR="00284E0F" w:rsidRPr="00971235" w14:paraId="1EFAEB86" w14:textId="77777777" w:rsidTr="00284E0F">
        <w:trPr>
          <w:trHeight w:val="290"/>
        </w:trPr>
        <w:tc>
          <w:tcPr>
            <w:tcW w:w="5387" w:type="dxa"/>
            <w:shd w:val="clear" w:color="auto" w:fill="auto"/>
            <w:noWrap/>
            <w:vAlign w:val="bottom"/>
            <w:hideMark/>
          </w:tcPr>
          <w:p w14:paraId="06D5FEA4" w14:textId="77777777" w:rsidR="00284E0F" w:rsidRPr="00971235" w:rsidRDefault="00284E0F" w:rsidP="00EF2651">
            <w:pPr>
              <w:spacing w:before="40" w:after="40" w:line="240" w:lineRule="auto"/>
              <w:rPr>
                <w:rFonts w:ascii="Century Gothic" w:eastAsia="Times New Roman" w:hAnsi="Century Gothic" w:cs="Calibri"/>
                <w:color w:val="000000"/>
                <w:sz w:val="16"/>
                <w:szCs w:val="16"/>
                <w:lang w:eastAsia="es-MX"/>
              </w:rPr>
            </w:pPr>
            <w:r w:rsidRPr="00971235">
              <w:rPr>
                <w:rFonts w:ascii="Century Gothic" w:eastAsia="Times New Roman" w:hAnsi="Century Gothic" w:cs="Calibri"/>
                <w:color w:val="000000"/>
                <w:sz w:val="16"/>
                <w:szCs w:val="16"/>
                <w:lang w:eastAsia="es-MX"/>
              </w:rPr>
              <w:t>Censo</w:t>
            </w:r>
          </w:p>
        </w:tc>
        <w:tc>
          <w:tcPr>
            <w:tcW w:w="567" w:type="dxa"/>
            <w:shd w:val="clear" w:color="auto" w:fill="auto"/>
            <w:noWrap/>
            <w:vAlign w:val="bottom"/>
            <w:hideMark/>
          </w:tcPr>
          <w:p w14:paraId="5A967BAB" w14:textId="77777777" w:rsidR="00284E0F" w:rsidRPr="00971235" w:rsidRDefault="00284E0F" w:rsidP="00EF2651">
            <w:pPr>
              <w:spacing w:before="40" w:after="40" w:line="240" w:lineRule="auto"/>
              <w:jc w:val="center"/>
              <w:rPr>
                <w:rFonts w:ascii="Century Gothic" w:eastAsia="Times New Roman" w:hAnsi="Century Gothic" w:cs="Calibri"/>
                <w:color w:val="000000"/>
                <w:sz w:val="16"/>
                <w:szCs w:val="16"/>
                <w:lang w:eastAsia="es-MX"/>
              </w:rPr>
            </w:pPr>
          </w:p>
        </w:tc>
        <w:tc>
          <w:tcPr>
            <w:tcW w:w="1244" w:type="dxa"/>
            <w:shd w:val="clear" w:color="auto" w:fill="auto"/>
            <w:noWrap/>
            <w:vAlign w:val="bottom"/>
            <w:hideMark/>
          </w:tcPr>
          <w:p w14:paraId="5A1341C3"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100%</w:t>
            </w:r>
          </w:p>
        </w:tc>
        <w:tc>
          <w:tcPr>
            <w:tcW w:w="1024" w:type="dxa"/>
            <w:shd w:val="clear" w:color="auto" w:fill="auto"/>
            <w:noWrap/>
            <w:vAlign w:val="bottom"/>
            <w:hideMark/>
          </w:tcPr>
          <w:p w14:paraId="2FCEAC3C"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78%</w:t>
            </w:r>
          </w:p>
        </w:tc>
        <w:tc>
          <w:tcPr>
            <w:tcW w:w="683" w:type="dxa"/>
            <w:shd w:val="clear" w:color="auto" w:fill="auto"/>
            <w:noWrap/>
            <w:vAlign w:val="bottom"/>
            <w:hideMark/>
          </w:tcPr>
          <w:p w14:paraId="26B23DD5"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70%</w:t>
            </w:r>
          </w:p>
        </w:tc>
      </w:tr>
      <w:tr w:rsidR="00284E0F" w:rsidRPr="00971235" w14:paraId="2811A607" w14:textId="77777777" w:rsidTr="00284E0F">
        <w:trPr>
          <w:trHeight w:val="290"/>
        </w:trPr>
        <w:tc>
          <w:tcPr>
            <w:tcW w:w="5387" w:type="dxa"/>
            <w:shd w:val="clear" w:color="auto" w:fill="F2F2F2" w:themeFill="background1" w:themeFillShade="F2"/>
            <w:noWrap/>
            <w:vAlign w:val="bottom"/>
            <w:hideMark/>
          </w:tcPr>
          <w:p w14:paraId="1B2A30AD" w14:textId="77777777" w:rsidR="00284E0F" w:rsidRPr="00971235" w:rsidRDefault="00284E0F" w:rsidP="00EF2651">
            <w:pPr>
              <w:spacing w:before="40" w:after="40" w:line="240" w:lineRule="auto"/>
              <w:rPr>
                <w:rFonts w:ascii="Century Gothic" w:eastAsia="Times New Roman" w:hAnsi="Century Gothic" w:cs="Calibri"/>
                <w:color w:val="000000"/>
                <w:sz w:val="16"/>
                <w:szCs w:val="16"/>
                <w:lang w:eastAsia="es-MX"/>
              </w:rPr>
            </w:pPr>
            <w:r w:rsidRPr="00971235">
              <w:rPr>
                <w:rFonts w:ascii="Century Gothic" w:eastAsia="Times New Roman" w:hAnsi="Century Gothic" w:cs="Calibri"/>
                <w:color w:val="000000"/>
                <w:sz w:val="16"/>
                <w:szCs w:val="16"/>
                <w:lang w:eastAsia="es-MX"/>
              </w:rPr>
              <w:t>Encuesta por muestreo mixto</w:t>
            </w:r>
          </w:p>
        </w:tc>
        <w:tc>
          <w:tcPr>
            <w:tcW w:w="567" w:type="dxa"/>
            <w:shd w:val="clear" w:color="auto" w:fill="auto"/>
            <w:noWrap/>
            <w:vAlign w:val="bottom"/>
            <w:hideMark/>
          </w:tcPr>
          <w:p w14:paraId="3C9A0AC7" w14:textId="77777777" w:rsidR="00284E0F" w:rsidRPr="00971235" w:rsidRDefault="00284E0F" w:rsidP="00EF2651">
            <w:pPr>
              <w:spacing w:before="40" w:after="40" w:line="240" w:lineRule="auto"/>
              <w:jc w:val="center"/>
              <w:rPr>
                <w:rFonts w:ascii="Century Gothic" w:eastAsia="Times New Roman" w:hAnsi="Century Gothic" w:cs="Calibri"/>
                <w:color w:val="000000"/>
                <w:sz w:val="16"/>
                <w:szCs w:val="16"/>
                <w:lang w:eastAsia="es-MX"/>
              </w:rPr>
            </w:pPr>
          </w:p>
        </w:tc>
        <w:tc>
          <w:tcPr>
            <w:tcW w:w="1244" w:type="dxa"/>
            <w:shd w:val="clear" w:color="auto" w:fill="F2F2F2" w:themeFill="background1" w:themeFillShade="F2"/>
            <w:noWrap/>
            <w:vAlign w:val="bottom"/>
            <w:hideMark/>
          </w:tcPr>
          <w:p w14:paraId="7C9C5B64"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67%</w:t>
            </w:r>
          </w:p>
        </w:tc>
        <w:tc>
          <w:tcPr>
            <w:tcW w:w="1024" w:type="dxa"/>
            <w:shd w:val="clear" w:color="auto" w:fill="F2F2F2" w:themeFill="background1" w:themeFillShade="F2"/>
            <w:noWrap/>
            <w:vAlign w:val="bottom"/>
            <w:hideMark/>
          </w:tcPr>
          <w:p w14:paraId="156B0923"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56%</w:t>
            </w:r>
          </w:p>
        </w:tc>
        <w:tc>
          <w:tcPr>
            <w:tcW w:w="683" w:type="dxa"/>
            <w:shd w:val="clear" w:color="auto" w:fill="F2F2F2" w:themeFill="background1" w:themeFillShade="F2"/>
            <w:noWrap/>
            <w:vAlign w:val="bottom"/>
            <w:hideMark/>
          </w:tcPr>
          <w:p w14:paraId="464A364B"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43%</w:t>
            </w:r>
          </w:p>
        </w:tc>
      </w:tr>
      <w:tr w:rsidR="00284E0F" w:rsidRPr="00971235" w14:paraId="71D2B859" w14:textId="77777777" w:rsidTr="00284E0F">
        <w:trPr>
          <w:trHeight w:val="290"/>
        </w:trPr>
        <w:tc>
          <w:tcPr>
            <w:tcW w:w="5387" w:type="dxa"/>
            <w:shd w:val="clear" w:color="auto" w:fill="F2F2F2" w:themeFill="background1" w:themeFillShade="F2"/>
            <w:noWrap/>
            <w:vAlign w:val="bottom"/>
            <w:hideMark/>
          </w:tcPr>
          <w:p w14:paraId="481B18A9" w14:textId="77777777" w:rsidR="00284E0F" w:rsidRPr="00971235" w:rsidRDefault="00284E0F" w:rsidP="00EF2651">
            <w:pPr>
              <w:spacing w:before="40" w:after="40" w:line="240" w:lineRule="auto"/>
              <w:rPr>
                <w:rFonts w:ascii="Century Gothic" w:eastAsia="Times New Roman" w:hAnsi="Century Gothic" w:cs="Calibri"/>
                <w:color w:val="000000"/>
                <w:sz w:val="16"/>
                <w:szCs w:val="16"/>
                <w:lang w:eastAsia="es-MX"/>
              </w:rPr>
            </w:pPr>
            <w:r w:rsidRPr="00971235">
              <w:rPr>
                <w:rFonts w:ascii="Century Gothic" w:eastAsia="Times New Roman" w:hAnsi="Century Gothic" w:cs="Calibri"/>
                <w:color w:val="000000"/>
                <w:sz w:val="16"/>
                <w:szCs w:val="16"/>
                <w:lang w:eastAsia="es-MX"/>
              </w:rPr>
              <w:t>Encuesta probabilística</w:t>
            </w:r>
          </w:p>
        </w:tc>
        <w:tc>
          <w:tcPr>
            <w:tcW w:w="567" w:type="dxa"/>
            <w:shd w:val="clear" w:color="auto" w:fill="auto"/>
            <w:noWrap/>
            <w:vAlign w:val="bottom"/>
            <w:hideMark/>
          </w:tcPr>
          <w:p w14:paraId="528DD520" w14:textId="77777777" w:rsidR="00284E0F" w:rsidRPr="00971235" w:rsidRDefault="00284E0F" w:rsidP="00EF2651">
            <w:pPr>
              <w:spacing w:before="40" w:after="40" w:line="240" w:lineRule="auto"/>
              <w:jc w:val="center"/>
              <w:rPr>
                <w:rFonts w:ascii="Century Gothic" w:eastAsia="Times New Roman" w:hAnsi="Century Gothic" w:cs="Calibri"/>
                <w:color w:val="000000"/>
                <w:sz w:val="16"/>
                <w:szCs w:val="16"/>
                <w:lang w:eastAsia="es-MX"/>
              </w:rPr>
            </w:pPr>
          </w:p>
        </w:tc>
        <w:tc>
          <w:tcPr>
            <w:tcW w:w="1244" w:type="dxa"/>
            <w:shd w:val="clear" w:color="auto" w:fill="F2F2F2" w:themeFill="background1" w:themeFillShade="F2"/>
            <w:noWrap/>
            <w:vAlign w:val="bottom"/>
            <w:hideMark/>
          </w:tcPr>
          <w:p w14:paraId="2635FC47"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64%</w:t>
            </w:r>
          </w:p>
        </w:tc>
        <w:tc>
          <w:tcPr>
            <w:tcW w:w="1024" w:type="dxa"/>
            <w:shd w:val="clear" w:color="auto" w:fill="F2F2F2" w:themeFill="background1" w:themeFillShade="F2"/>
            <w:noWrap/>
            <w:vAlign w:val="bottom"/>
            <w:hideMark/>
          </w:tcPr>
          <w:p w14:paraId="001BE67F"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33%</w:t>
            </w:r>
          </w:p>
        </w:tc>
        <w:tc>
          <w:tcPr>
            <w:tcW w:w="683" w:type="dxa"/>
            <w:shd w:val="clear" w:color="auto" w:fill="F2F2F2" w:themeFill="background1" w:themeFillShade="F2"/>
            <w:noWrap/>
            <w:vAlign w:val="bottom"/>
            <w:hideMark/>
          </w:tcPr>
          <w:p w14:paraId="49663A2D"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46%</w:t>
            </w:r>
          </w:p>
        </w:tc>
      </w:tr>
      <w:tr w:rsidR="00284E0F" w:rsidRPr="00971235" w14:paraId="50418988" w14:textId="77777777" w:rsidTr="00284E0F">
        <w:trPr>
          <w:trHeight w:val="290"/>
        </w:trPr>
        <w:tc>
          <w:tcPr>
            <w:tcW w:w="5387" w:type="dxa"/>
            <w:shd w:val="clear" w:color="auto" w:fill="auto"/>
            <w:noWrap/>
            <w:vAlign w:val="bottom"/>
            <w:hideMark/>
          </w:tcPr>
          <w:p w14:paraId="3BF71B0E" w14:textId="77777777" w:rsidR="00284E0F" w:rsidRPr="00971235" w:rsidRDefault="00284E0F" w:rsidP="00EF2651">
            <w:pPr>
              <w:spacing w:before="40" w:after="40" w:line="240" w:lineRule="auto"/>
              <w:rPr>
                <w:rFonts w:ascii="Century Gothic" w:eastAsia="Times New Roman" w:hAnsi="Century Gothic" w:cs="Calibri"/>
                <w:color w:val="000000"/>
                <w:sz w:val="16"/>
                <w:szCs w:val="16"/>
                <w:lang w:eastAsia="es-MX"/>
              </w:rPr>
            </w:pPr>
            <w:r w:rsidRPr="00971235">
              <w:rPr>
                <w:rFonts w:ascii="Century Gothic" w:eastAsia="Times New Roman" w:hAnsi="Century Gothic" w:cs="Calibri"/>
                <w:color w:val="000000"/>
                <w:sz w:val="16"/>
                <w:szCs w:val="16"/>
                <w:lang w:eastAsia="es-MX"/>
              </w:rPr>
              <w:t>Estadística derivada</w:t>
            </w:r>
          </w:p>
        </w:tc>
        <w:tc>
          <w:tcPr>
            <w:tcW w:w="567" w:type="dxa"/>
            <w:shd w:val="clear" w:color="auto" w:fill="auto"/>
            <w:noWrap/>
            <w:vAlign w:val="bottom"/>
            <w:hideMark/>
          </w:tcPr>
          <w:p w14:paraId="11D5B125" w14:textId="77777777" w:rsidR="00284E0F" w:rsidRPr="00971235" w:rsidRDefault="00284E0F" w:rsidP="00EF2651">
            <w:pPr>
              <w:spacing w:before="40" w:after="40" w:line="240" w:lineRule="auto"/>
              <w:jc w:val="center"/>
              <w:rPr>
                <w:rFonts w:ascii="Century Gothic" w:eastAsia="Times New Roman" w:hAnsi="Century Gothic" w:cs="Calibri"/>
                <w:color w:val="000000"/>
                <w:sz w:val="16"/>
                <w:szCs w:val="16"/>
                <w:lang w:eastAsia="es-MX"/>
              </w:rPr>
            </w:pPr>
          </w:p>
        </w:tc>
        <w:tc>
          <w:tcPr>
            <w:tcW w:w="1244" w:type="dxa"/>
            <w:shd w:val="clear" w:color="auto" w:fill="auto"/>
            <w:noWrap/>
            <w:vAlign w:val="bottom"/>
            <w:hideMark/>
          </w:tcPr>
          <w:p w14:paraId="4DF98FBD"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73%</w:t>
            </w:r>
          </w:p>
        </w:tc>
        <w:tc>
          <w:tcPr>
            <w:tcW w:w="1024" w:type="dxa"/>
            <w:shd w:val="clear" w:color="auto" w:fill="auto"/>
            <w:noWrap/>
            <w:vAlign w:val="bottom"/>
            <w:hideMark/>
          </w:tcPr>
          <w:p w14:paraId="7A0C2172"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76%</w:t>
            </w:r>
          </w:p>
        </w:tc>
        <w:tc>
          <w:tcPr>
            <w:tcW w:w="683" w:type="dxa"/>
            <w:shd w:val="clear" w:color="auto" w:fill="auto"/>
            <w:noWrap/>
            <w:vAlign w:val="bottom"/>
            <w:hideMark/>
          </w:tcPr>
          <w:p w14:paraId="3E6BFFCF"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88%</w:t>
            </w:r>
          </w:p>
        </w:tc>
      </w:tr>
      <w:tr w:rsidR="00284E0F" w:rsidRPr="00971235" w14:paraId="5C33490D" w14:textId="77777777" w:rsidTr="00284E0F">
        <w:trPr>
          <w:trHeight w:val="290"/>
        </w:trPr>
        <w:tc>
          <w:tcPr>
            <w:tcW w:w="5387" w:type="dxa"/>
            <w:shd w:val="clear" w:color="auto" w:fill="auto"/>
            <w:noWrap/>
            <w:vAlign w:val="bottom"/>
            <w:hideMark/>
          </w:tcPr>
          <w:p w14:paraId="7D45FE5E" w14:textId="77777777" w:rsidR="00284E0F" w:rsidRPr="00971235" w:rsidRDefault="00284E0F" w:rsidP="00EF2651">
            <w:pPr>
              <w:spacing w:before="40" w:after="40" w:line="240" w:lineRule="auto"/>
              <w:rPr>
                <w:rFonts w:ascii="Century Gothic" w:eastAsia="Times New Roman" w:hAnsi="Century Gothic" w:cs="Calibri"/>
                <w:color w:val="000000"/>
                <w:sz w:val="16"/>
                <w:szCs w:val="16"/>
                <w:lang w:eastAsia="es-MX"/>
              </w:rPr>
            </w:pPr>
            <w:r w:rsidRPr="00971235">
              <w:rPr>
                <w:rFonts w:ascii="Century Gothic" w:eastAsia="Times New Roman" w:hAnsi="Century Gothic" w:cs="Calibri"/>
                <w:color w:val="000000"/>
                <w:sz w:val="16"/>
                <w:szCs w:val="16"/>
                <w:lang w:eastAsia="es-MX"/>
              </w:rPr>
              <w:t>Estructuración e integración de redes geométricas</w:t>
            </w:r>
          </w:p>
        </w:tc>
        <w:tc>
          <w:tcPr>
            <w:tcW w:w="567" w:type="dxa"/>
            <w:shd w:val="clear" w:color="auto" w:fill="auto"/>
            <w:noWrap/>
            <w:vAlign w:val="bottom"/>
            <w:hideMark/>
          </w:tcPr>
          <w:p w14:paraId="013C65CC" w14:textId="77777777" w:rsidR="00284E0F" w:rsidRPr="00971235" w:rsidRDefault="00284E0F" w:rsidP="00EF2651">
            <w:pPr>
              <w:spacing w:before="40" w:after="40" w:line="240" w:lineRule="auto"/>
              <w:jc w:val="center"/>
              <w:rPr>
                <w:rFonts w:ascii="Century Gothic" w:eastAsia="Times New Roman" w:hAnsi="Century Gothic" w:cs="Times New Roman"/>
                <w:sz w:val="16"/>
                <w:szCs w:val="16"/>
                <w:lang w:eastAsia="es-MX"/>
              </w:rPr>
            </w:pPr>
          </w:p>
        </w:tc>
        <w:tc>
          <w:tcPr>
            <w:tcW w:w="1244" w:type="dxa"/>
            <w:shd w:val="clear" w:color="auto" w:fill="auto"/>
            <w:noWrap/>
            <w:vAlign w:val="bottom"/>
            <w:hideMark/>
          </w:tcPr>
          <w:p w14:paraId="0519EA27" w14:textId="77777777" w:rsidR="00284E0F" w:rsidRPr="00AF4BC3" w:rsidRDefault="00284E0F" w:rsidP="00EF2651">
            <w:pPr>
              <w:spacing w:before="40" w:after="40" w:line="240" w:lineRule="auto"/>
              <w:jc w:val="center"/>
              <w:rPr>
                <w:rFonts w:ascii="Century Gothic" w:eastAsia="Times New Roman" w:hAnsi="Century Gothic" w:cs="Times New Roman"/>
                <w:sz w:val="16"/>
                <w:szCs w:val="16"/>
                <w:lang w:eastAsia="es-MX"/>
              </w:rPr>
            </w:pPr>
            <w:r>
              <w:rPr>
                <w:rFonts w:ascii="Century Gothic" w:eastAsia="Times New Roman" w:hAnsi="Century Gothic" w:cs="Times New Roman"/>
                <w:sz w:val="16"/>
                <w:szCs w:val="16"/>
                <w:lang w:eastAsia="es-MX"/>
              </w:rPr>
              <w:t>NA</w:t>
            </w:r>
          </w:p>
        </w:tc>
        <w:tc>
          <w:tcPr>
            <w:tcW w:w="1024" w:type="dxa"/>
            <w:shd w:val="clear" w:color="auto" w:fill="auto"/>
            <w:noWrap/>
            <w:vAlign w:val="bottom"/>
            <w:hideMark/>
          </w:tcPr>
          <w:p w14:paraId="4E387FA2"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100%</w:t>
            </w:r>
          </w:p>
        </w:tc>
        <w:tc>
          <w:tcPr>
            <w:tcW w:w="683" w:type="dxa"/>
            <w:shd w:val="clear" w:color="auto" w:fill="auto"/>
            <w:noWrap/>
            <w:vAlign w:val="bottom"/>
            <w:hideMark/>
          </w:tcPr>
          <w:p w14:paraId="6885484B"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Pr>
                <w:rFonts w:ascii="Century Gothic" w:eastAsia="Times New Roman" w:hAnsi="Century Gothic" w:cs="Calibri"/>
                <w:color w:val="000000"/>
                <w:sz w:val="16"/>
                <w:szCs w:val="16"/>
                <w:lang w:eastAsia="es-MX"/>
              </w:rPr>
              <w:t>NA</w:t>
            </w:r>
          </w:p>
        </w:tc>
      </w:tr>
      <w:tr w:rsidR="00284E0F" w:rsidRPr="00971235" w14:paraId="104BE604" w14:textId="77777777" w:rsidTr="00284E0F">
        <w:trPr>
          <w:trHeight w:val="290"/>
        </w:trPr>
        <w:tc>
          <w:tcPr>
            <w:tcW w:w="5387" w:type="dxa"/>
            <w:shd w:val="clear" w:color="auto" w:fill="F2F2F2" w:themeFill="background1" w:themeFillShade="F2"/>
            <w:noWrap/>
            <w:vAlign w:val="bottom"/>
            <w:hideMark/>
          </w:tcPr>
          <w:p w14:paraId="36864F77" w14:textId="77777777" w:rsidR="00284E0F" w:rsidRPr="00971235" w:rsidRDefault="00284E0F" w:rsidP="00EF2651">
            <w:pPr>
              <w:spacing w:before="40" w:after="40" w:line="240" w:lineRule="auto"/>
              <w:rPr>
                <w:rFonts w:ascii="Century Gothic" w:eastAsia="Times New Roman" w:hAnsi="Century Gothic" w:cs="Calibri"/>
                <w:color w:val="000000"/>
                <w:sz w:val="16"/>
                <w:szCs w:val="16"/>
                <w:lang w:eastAsia="es-MX"/>
              </w:rPr>
            </w:pPr>
            <w:r w:rsidRPr="00971235">
              <w:rPr>
                <w:rFonts w:ascii="Century Gothic" w:eastAsia="Times New Roman" w:hAnsi="Century Gothic" w:cs="Calibri"/>
                <w:color w:val="000000"/>
                <w:sz w:val="16"/>
                <w:szCs w:val="16"/>
                <w:lang w:eastAsia="es-MX"/>
              </w:rPr>
              <w:t>Proceso de generación de información topográfica</w:t>
            </w:r>
          </w:p>
        </w:tc>
        <w:tc>
          <w:tcPr>
            <w:tcW w:w="567" w:type="dxa"/>
            <w:shd w:val="clear" w:color="auto" w:fill="auto"/>
            <w:noWrap/>
            <w:vAlign w:val="bottom"/>
            <w:hideMark/>
          </w:tcPr>
          <w:p w14:paraId="59A3569B" w14:textId="77777777" w:rsidR="00284E0F" w:rsidRPr="00971235" w:rsidRDefault="00284E0F" w:rsidP="00EF2651">
            <w:pPr>
              <w:spacing w:before="40" w:after="40" w:line="240" w:lineRule="auto"/>
              <w:jc w:val="center"/>
              <w:rPr>
                <w:rFonts w:ascii="Century Gothic" w:eastAsia="Times New Roman" w:hAnsi="Century Gothic" w:cs="Calibri"/>
                <w:color w:val="000000"/>
                <w:sz w:val="16"/>
                <w:szCs w:val="16"/>
                <w:lang w:eastAsia="es-MX"/>
              </w:rPr>
            </w:pPr>
          </w:p>
        </w:tc>
        <w:tc>
          <w:tcPr>
            <w:tcW w:w="1244" w:type="dxa"/>
            <w:shd w:val="clear" w:color="auto" w:fill="F2F2F2" w:themeFill="background1" w:themeFillShade="F2"/>
            <w:noWrap/>
            <w:vAlign w:val="bottom"/>
            <w:hideMark/>
          </w:tcPr>
          <w:p w14:paraId="6A3E51FF"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0%</w:t>
            </w:r>
          </w:p>
        </w:tc>
        <w:tc>
          <w:tcPr>
            <w:tcW w:w="1024" w:type="dxa"/>
            <w:shd w:val="clear" w:color="auto" w:fill="F2F2F2" w:themeFill="background1" w:themeFillShade="F2"/>
            <w:noWrap/>
            <w:vAlign w:val="bottom"/>
            <w:hideMark/>
          </w:tcPr>
          <w:p w14:paraId="73DC8DBB"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0%</w:t>
            </w:r>
          </w:p>
        </w:tc>
        <w:tc>
          <w:tcPr>
            <w:tcW w:w="683" w:type="dxa"/>
            <w:shd w:val="clear" w:color="auto" w:fill="F2F2F2" w:themeFill="background1" w:themeFillShade="F2"/>
            <w:noWrap/>
            <w:vAlign w:val="bottom"/>
            <w:hideMark/>
          </w:tcPr>
          <w:p w14:paraId="6F3646ED"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0%</w:t>
            </w:r>
          </w:p>
        </w:tc>
      </w:tr>
      <w:tr w:rsidR="00284E0F" w:rsidRPr="00971235" w14:paraId="25386B58" w14:textId="77777777" w:rsidTr="00284E0F">
        <w:trPr>
          <w:trHeight w:val="290"/>
        </w:trPr>
        <w:tc>
          <w:tcPr>
            <w:tcW w:w="5387" w:type="dxa"/>
            <w:shd w:val="clear" w:color="auto" w:fill="F2F2F2" w:themeFill="background1" w:themeFillShade="F2"/>
            <w:noWrap/>
            <w:vAlign w:val="bottom"/>
            <w:hideMark/>
          </w:tcPr>
          <w:p w14:paraId="4AC3DAEE" w14:textId="77777777" w:rsidR="00284E0F" w:rsidRPr="00971235" w:rsidRDefault="00284E0F" w:rsidP="00EF2651">
            <w:pPr>
              <w:spacing w:before="40" w:after="40" w:line="240" w:lineRule="auto"/>
              <w:rPr>
                <w:rFonts w:ascii="Century Gothic" w:eastAsia="Times New Roman" w:hAnsi="Century Gothic" w:cs="Calibri"/>
                <w:color w:val="000000"/>
                <w:sz w:val="16"/>
                <w:szCs w:val="16"/>
                <w:lang w:eastAsia="es-MX"/>
              </w:rPr>
            </w:pPr>
            <w:r w:rsidRPr="00971235">
              <w:rPr>
                <w:rFonts w:ascii="Century Gothic" w:eastAsia="Times New Roman" w:hAnsi="Century Gothic" w:cs="Calibri"/>
                <w:color w:val="000000"/>
                <w:sz w:val="16"/>
                <w:szCs w:val="16"/>
                <w:lang w:eastAsia="es-MX"/>
              </w:rPr>
              <w:t>Procesos estadísticos que integran y/o aprovechan fuentes administrativas</w:t>
            </w:r>
          </w:p>
        </w:tc>
        <w:tc>
          <w:tcPr>
            <w:tcW w:w="567" w:type="dxa"/>
            <w:shd w:val="clear" w:color="auto" w:fill="auto"/>
            <w:noWrap/>
            <w:vAlign w:val="bottom"/>
            <w:hideMark/>
          </w:tcPr>
          <w:p w14:paraId="56B2AE22" w14:textId="77777777" w:rsidR="00284E0F" w:rsidRPr="00971235" w:rsidRDefault="00284E0F" w:rsidP="00EF2651">
            <w:pPr>
              <w:spacing w:before="40" w:after="40" w:line="240" w:lineRule="auto"/>
              <w:jc w:val="center"/>
              <w:rPr>
                <w:rFonts w:ascii="Century Gothic" w:eastAsia="Times New Roman" w:hAnsi="Century Gothic" w:cs="Calibri"/>
                <w:color w:val="000000"/>
                <w:sz w:val="16"/>
                <w:szCs w:val="16"/>
                <w:lang w:eastAsia="es-MX"/>
              </w:rPr>
            </w:pPr>
          </w:p>
        </w:tc>
        <w:tc>
          <w:tcPr>
            <w:tcW w:w="1244" w:type="dxa"/>
            <w:shd w:val="clear" w:color="auto" w:fill="F2F2F2" w:themeFill="background1" w:themeFillShade="F2"/>
            <w:noWrap/>
            <w:vAlign w:val="bottom"/>
            <w:hideMark/>
          </w:tcPr>
          <w:p w14:paraId="1FCF27BE"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76%</w:t>
            </w:r>
          </w:p>
        </w:tc>
        <w:tc>
          <w:tcPr>
            <w:tcW w:w="1024" w:type="dxa"/>
            <w:shd w:val="clear" w:color="auto" w:fill="F2F2F2" w:themeFill="background1" w:themeFillShade="F2"/>
            <w:noWrap/>
            <w:vAlign w:val="bottom"/>
            <w:hideMark/>
          </w:tcPr>
          <w:p w14:paraId="6934723F"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61%</w:t>
            </w:r>
          </w:p>
        </w:tc>
        <w:tc>
          <w:tcPr>
            <w:tcW w:w="683" w:type="dxa"/>
            <w:shd w:val="clear" w:color="auto" w:fill="F2F2F2" w:themeFill="background1" w:themeFillShade="F2"/>
            <w:noWrap/>
            <w:vAlign w:val="bottom"/>
            <w:hideMark/>
          </w:tcPr>
          <w:p w14:paraId="1C0FCD01" w14:textId="77777777" w:rsidR="00284E0F" w:rsidRPr="00AF4BC3" w:rsidRDefault="00284E0F" w:rsidP="00EF2651">
            <w:pPr>
              <w:spacing w:before="40" w:after="40" w:line="240" w:lineRule="auto"/>
              <w:jc w:val="center"/>
              <w:rPr>
                <w:rFonts w:ascii="Century Gothic" w:eastAsia="Times New Roman" w:hAnsi="Century Gothic" w:cs="Calibri"/>
                <w:color w:val="000000"/>
                <w:sz w:val="16"/>
                <w:szCs w:val="16"/>
                <w:lang w:eastAsia="es-MX"/>
              </w:rPr>
            </w:pPr>
            <w:r w:rsidRPr="00AF4BC3">
              <w:rPr>
                <w:rFonts w:ascii="Century Gothic" w:hAnsi="Century Gothic" w:cs="Calibri"/>
                <w:color w:val="000000"/>
                <w:sz w:val="16"/>
                <w:szCs w:val="16"/>
              </w:rPr>
              <w:t>69%</w:t>
            </w:r>
          </w:p>
        </w:tc>
      </w:tr>
      <w:tr w:rsidR="00284E0F" w:rsidRPr="00971235" w14:paraId="429C47AB" w14:textId="77777777" w:rsidTr="00284E0F">
        <w:trPr>
          <w:trHeight w:val="290"/>
        </w:trPr>
        <w:tc>
          <w:tcPr>
            <w:tcW w:w="5387" w:type="dxa"/>
            <w:shd w:val="clear" w:color="auto" w:fill="1F3864" w:themeFill="accent1" w:themeFillShade="80"/>
            <w:noWrap/>
            <w:vAlign w:val="bottom"/>
            <w:hideMark/>
          </w:tcPr>
          <w:p w14:paraId="007AC97E" w14:textId="77777777" w:rsidR="00284E0F" w:rsidRPr="00971235" w:rsidRDefault="00284E0F" w:rsidP="00EF2651">
            <w:pPr>
              <w:spacing w:before="40" w:after="40" w:line="240" w:lineRule="auto"/>
              <w:jc w:val="right"/>
              <w:rPr>
                <w:rFonts w:ascii="Century Gothic" w:eastAsia="Times New Roman" w:hAnsi="Century Gothic" w:cs="Calibri"/>
                <w:color w:val="FFFFFF" w:themeColor="background1"/>
                <w:sz w:val="16"/>
                <w:szCs w:val="16"/>
                <w:lang w:eastAsia="es-MX"/>
              </w:rPr>
            </w:pPr>
            <w:proofErr w:type="gramStart"/>
            <w:r w:rsidRPr="00971235">
              <w:rPr>
                <w:rFonts w:ascii="Century Gothic" w:eastAsia="Times New Roman" w:hAnsi="Century Gothic" w:cs="Calibri"/>
                <w:color w:val="FFFFFF" w:themeColor="background1"/>
                <w:sz w:val="16"/>
                <w:szCs w:val="16"/>
                <w:lang w:eastAsia="es-MX"/>
              </w:rPr>
              <w:t>Total</w:t>
            </w:r>
            <w:proofErr w:type="gramEnd"/>
            <w:r w:rsidRPr="00971235">
              <w:rPr>
                <w:rFonts w:ascii="Century Gothic" w:eastAsia="Times New Roman" w:hAnsi="Century Gothic" w:cs="Calibri"/>
                <w:color w:val="FFFFFF" w:themeColor="background1"/>
                <w:sz w:val="16"/>
                <w:szCs w:val="16"/>
                <w:lang w:eastAsia="es-MX"/>
              </w:rPr>
              <w:t xml:space="preserve"> general</w:t>
            </w:r>
          </w:p>
        </w:tc>
        <w:tc>
          <w:tcPr>
            <w:tcW w:w="567" w:type="dxa"/>
            <w:shd w:val="clear" w:color="auto" w:fill="auto"/>
            <w:noWrap/>
            <w:vAlign w:val="bottom"/>
            <w:hideMark/>
          </w:tcPr>
          <w:p w14:paraId="019094EF" w14:textId="77777777" w:rsidR="00284E0F" w:rsidRPr="00971235" w:rsidRDefault="00284E0F" w:rsidP="00EF2651">
            <w:pPr>
              <w:spacing w:before="40" w:after="40" w:line="240" w:lineRule="auto"/>
              <w:jc w:val="center"/>
              <w:rPr>
                <w:rFonts w:ascii="Century Gothic" w:eastAsia="Times New Roman" w:hAnsi="Century Gothic" w:cs="Calibri"/>
                <w:color w:val="FFFFFF" w:themeColor="background1"/>
                <w:sz w:val="16"/>
                <w:szCs w:val="16"/>
                <w:lang w:eastAsia="es-MX"/>
              </w:rPr>
            </w:pPr>
            <w:r w:rsidRPr="00971235">
              <w:rPr>
                <w:rFonts w:ascii="Century Gothic" w:eastAsia="Times New Roman" w:hAnsi="Century Gothic" w:cs="Calibri"/>
                <w:color w:val="FFFFFF" w:themeColor="background1"/>
                <w:sz w:val="16"/>
                <w:szCs w:val="16"/>
                <w:lang w:eastAsia="es-MX"/>
              </w:rPr>
              <w:t> </w:t>
            </w:r>
          </w:p>
        </w:tc>
        <w:tc>
          <w:tcPr>
            <w:tcW w:w="1244" w:type="dxa"/>
            <w:shd w:val="clear" w:color="auto" w:fill="1F3864" w:themeFill="accent1" w:themeFillShade="80"/>
            <w:noWrap/>
            <w:vAlign w:val="bottom"/>
            <w:hideMark/>
          </w:tcPr>
          <w:p w14:paraId="22AE441B" w14:textId="77777777" w:rsidR="00284E0F" w:rsidRPr="00AF4BC3" w:rsidRDefault="00284E0F" w:rsidP="00EF2651">
            <w:pPr>
              <w:spacing w:before="40" w:after="40" w:line="240" w:lineRule="auto"/>
              <w:jc w:val="center"/>
              <w:rPr>
                <w:rFonts w:ascii="Century Gothic" w:eastAsia="Times New Roman" w:hAnsi="Century Gothic" w:cs="Calibri"/>
                <w:color w:val="FFFFFF" w:themeColor="background1"/>
                <w:sz w:val="16"/>
                <w:szCs w:val="16"/>
                <w:lang w:eastAsia="es-MX"/>
              </w:rPr>
            </w:pPr>
            <w:r w:rsidRPr="00AF4BC3">
              <w:rPr>
                <w:rFonts w:ascii="Century Gothic" w:hAnsi="Century Gothic" w:cs="Calibri"/>
                <w:color w:val="FFFFFF" w:themeColor="background1"/>
                <w:sz w:val="16"/>
                <w:szCs w:val="16"/>
              </w:rPr>
              <w:t>71%</w:t>
            </w:r>
          </w:p>
        </w:tc>
        <w:tc>
          <w:tcPr>
            <w:tcW w:w="1024" w:type="dxa"/>
            <w:shd w:val="clear" w:color="auto" w:fill="1F3864" w:themeFill="accent1" w:themeFillShade="80"/>
            <w:noWrap/>
            <w:vAlign w:val="bottom"/>
            <w:hideMark/>
          </w:tcPr>
          <w:p w14:paraId="12779664" w14:textId="77777777" w:rsidR="00284E0F" w:rsidRPr="00AF4BC3" w:rsidRDefault="00284E0F" w:rsidP="00EF2651">
            <w:pPr>
              <w:spacing w:before="40" w:after="40" w:line="240" w:lineRule="auto"/>
              <w:jc w:val="center"/>
              <w:rPr>
                <w:rFonts w:ascii="Century Gothic" w:eastAsia="Times New Roman" w:hAnsi="Century Gothic" w:cs="Calibri"/>
                <w:color w:val="FFFFFF" w:themeColor="background1"/>
                <w:sz w:val="16"/>
                <w:szCs w:val="16"/>
                <w:lang w:eastAsia="es-MX"/>
              </w:rPr>
            </w:pPr>
            <w:r w:rsidRPr="00AF4BC3">
              <w:rPr>
                <w:rFonts w:ascii="Century Gothic" w:hAnsi="Century Gothic" w:cs="Calibri"/>
                <w:color w:val="FFFFFF" w:themeColor="background1"/>
                <w:sz w:val="16"/>
                <w:szCs w:val="16"/>
              </w:rPr>
              <w:t>62%</w:t>
            </w:r>
          </w:p>
        </w:tc>
        <w:tc>
          <w:tcPr>
            <w:tcW w:w="683" w:type="dxa"/>
            <w:shd w:val="clear" w:color="auto" w:fill="1F3864" w:themeFill="accent1" w:themeFillShade="80"/>
            <w:noWrap/>
            <w:vAlign w:val="bottom"/>
            <w:hideMark/>
          </w:tcPr>
          <w:p w14:paraId="10D1259A" w14:textId="77777777" w:rsidR="00284E0F" w:rsidRPr="00AF4BC3" w:rsidRDefault="00284E0F" w:rsidP="00EF2651">
            <w:pPr>
              <w:spacing w:before="40" w:after="40" w:line="240" w:lineRule="auto"/>
              <w:jc w:val="center"/>
              <w:rPr>
                <w:rFonts w:ascii="Century Gothic" w:eastAsia="Times New Roman" w:hAnsi="Century Gothic" w:cs="Calibri"/>
                <w:color w:val="FFFFFF" w:themeColor="background1"/>
                <w:sz w:val="16"/>
                <w:szCs w:val="16"/>
                <w:lang w:eastAsia="es-MX"/>
              </w:rPr>
            </w:pPr>
            <w:r w:rsidRPr="00AF4BC3">
              <w:rPr>
                <w:rFonts w:ascii="Century Gothic" w:hAnsi="Century Gothic" w:cs="Calibri"/>
                <w:color w:val="FFFFFF" w:themeColor="background1"/>
                <w:sz w:val="16"/>
                <w:szCs w:val="16"/>
              </w:rPr>
              <w:t>68%</w:t>
            </w:r>
          </w:p>
        </w:tc>
      </w:tr>
    </w:tbl>
    <w:p w14:paraId="00764E98" w14:textId="77777777" w:rsidR="00284E0F" w:rsidRDefault="00284E0F" w:rsidP="00284E0F">
      <w:pPr>
        <w:spacing w:before="40" w:after="40"/>
        <w:jc w:val="both"/>
        <w:rPr>
          <w:rFonts w:ascii="Century Gothic" w:hAnsi="Century Gothic"/>
          <w:sz w:val="19"/>
          <w:szCs w:val="19"/>
        </w:rPr>
      </w:pPr>
    </w:p>
    <w:p w14:paraId="55B1C262" w14:textId="77777777" w:rsidR="00284E0F" w:rsidRDefault="00284E0F" w:rsidP="00284E0F">
      <w:pPr>
        <w:spacing w:before="40" w:after="40"/>
        <w:jc w:val="both"/>
        <w:rPr>
          <w:rFonts w:ascii="Century Gothic" w:hAnsi="Century Gothic"/>
          <w:sz w:val="19"/>
          <w:szCs w:val="19"/>
        </w:rPr>
      </w:pPr>
      <w:r>
        <w:rPr>
          <w:rFonts w:ascii="Century Gothic" w:hAnsi="Century Gothic"/>
          <w:sz w:val="19"/>
          <w:szCs w:val="19"/>
        </w:rPr>
        <w:t xml:space="preserve">En la gráfica III.2.3 se presentan los resultados del Indicador Institucional de Oportunidad, las desviaciones estándar (S1 y S2), así como los programas de información cuyo indicador de </w:t>
      </w:r>
      <w:r>
        <w:rPr>
          <w:rFonts w:ascii="Century Gothic" w:hAnsi="Century Gothic"/>
          <w:sz w:val="19"/>
          <w:szCs w:val="19"/>
        </w:rPr>
        <w:lastRenderedPageBreak/>
        <w:t xml:space="preserve">oportunidad estuvo por debajo de S2 y por arriba de S1.  Conviene realizar análisis más profundos para los programas de información con indicadores de oportunidad más bajos con el fin de establecer estrategias para mejorar los tiempos en que se pone la información a disposición del público.  Estos programas son </w:t>
      </w:r>
      <w:r w:rsidRPr="00417E31">
        <w:rPr>
          <w:rFonts w:ascii="Century Gothic" w:hAnsi="Century Gothic"/>
          <w:sz w:val="19"/>
          <w:szCs w:val="19"/>
        </w:rPr>
        <w:t>Topografía</w:t>
      </w:r>
      <w:r>
        <w:rPr>
          <w:rFonts w:ascii="Century Gothic" w:hAnsi="Century Gothic"/>
          <w:sz w:val="19"/>
          <w:szCs w:val="19"/>
        </w:rPr>
        <w:t xml:space="preserve"> (TOPO), </w:t>
      </w:r>
      <w:r w:rsidRPr="00417E31">
        <w:rPr>
          <w:rFonts w:ascii="Century Gothic" w:hAnsi="Century Gothic"/>
          <w:sz w:val="19"/>
          <w:szCs w:val="19"/>
        </w:rPr>
        <w:t>Encuesta Nacional de Ocupación y Empleo</w:t>
      </w:r>
      <w:r>
        <w:rPr>
          <w:rFonts w:ascii="Century Gothic" w:hAnsi="Century Gothic"/>
          <w:sz w:val="19"/>
          <w:szCs w:val="19"/>
        </w:rPr>
        <w:t xml:space="preserve"> (ENOE), </w:t>
      </w:r>
      <w:r w:rsidRPr="00417E31">
        <w:rPr>
          <w:rFonts w:ascii="Century Gothic" w:hAnsi="Century Gothic"/>
          <w:sz w:val="19"/>
          <w:szCs w:val="19"/>
        </w:rPr>
        <w:t>Encuesta Nacional sobre Confianza del Consumidor</w:t>
      </w:r>
      <w:r>
        <w:rPr>
          <w:rFonts w:ascii="Century Gothic" w:hAnsi="Century Gothic"/>
          <w:sz w:val="19"/>
          <w:szCs w:val="19"/>
        </w:rPr>
        <w:t xml:space="preserve"> (ENCO), </w:t>
      </w:r>
      <w:r w:rsidRPr="00E1089B">
        <w:rPr>
          <w:rFonts w:ascii="Century Gothic" w:hAnsi="Century Gothic"/>
          <w:sz w:val="19"/>
          <w:szCs w:val="19"/>
        </w:rPr>
        <w:t>Censo Nacional de Gobierno Federal</w:t>
      </w:r>
      <w:r>
        <w:rPr>
          <w:rFonts w:ascii="Century Gothic" w:hAnsi="Century Gothic"/>
          <w:sz w:val="19"/>
          <w:szCs w:val="19"/>
        </w:rPr>
        <w:t xml:space="preserve"> (CNGF), </w:t>
      </w:r>
      <w:r w:rsidRPr="00E1089B">
        <w:rPr>
          <w:rFonts w:ascii="Century Gothic" w:hAnsi="Century Gothic"/>
          <w:sz w:val="19"/>
          <w:szCs w:val="19"/>
        </w:rPr>
        <w:t>Encuesta Nacional de Calidad Regulatoria e Impacto Gubernamental en Empresas</w:t>
      </w:r>
      <w:r>
        <w:rPr>
          <w:rFonts w:ascii="Century Gothic" w:hAnsi="Century Gothic"/>
          <w:sz w:val="19"/>
          <w:szCs w:val="19"/>
        </w:rPr>
        <w:t xml:space="preserve"> (ENCRIGE), </w:t>
      </w:r>
      <w:r w:rsidRPr="00417E31">
        <w:rPr>
          <w:rFonts w:ascii="Century Gothic" w:hAnsi="Century Gothic"/>
          <w:sz w:val="19"/>
          <w:szCs w:val="19"/>
        </w:rPr>
        <w:t>Programa de la Industria Manufacturera, Maquiladora y de Servicios de Exportación</w:t>
      </w:r>
      <w:r>
        <w:rPr>
          <w:rFonts w:ascii="Century Gothic" w:hAnsi="Century Gothic"/>
          <w:sz w:val="19"/>
          <w:szCs w:val="19"/>
        </w:rPr>
        <w:t xml:space="preserve"> (IMMEX) y Estadísticas de la </w:t>
      </w:r>
      <w:r w:rsidRPr="00417E31">
        <w:rPr>
          <w:rFonts w:ascii="Century Gothic" w:hAnsi="Century Gothic"/>
          <w:sz w:val="19"/>
          <w:szCs w:val="19"/>
        </w:rPr>
        <w:t xml:space="preserve">Industria </w:t>
      </w:r>
      <w:proofErr w:type="spellStart"/>
      <w:r w:rsidRPr="00417E31">
        <w:rPr>
          <w:rFonts w:ascii="Century Gothic" w:hAnsi="Century Gothic"/>
          <w:sz w:val="19"/>
          <w:szCs w:val="19"/>
        </w:rPr>
        <w:t>Minerometalúrgica</w:t>
      </w:r>
      <w:proofErr w:type="spellEnd"/>
      <w:r>
        <w:rPr>
          <w:rFonts w:ascii="Century Gothic" w:hAnsi="Century Gothic"/>
          <w:sz w:val="19"/>
          <w:szCs w:val="19"/>
        </w:rPr>
        <w:t xml:space="preserve"> (EIMM). </w:t>
      </w:r>
    </w:p>
    <w:p w14:paraId="1F7B070A" w14:textId="77777777" w:rsidR="00284E0F" w:rsidRDefault="00284E0F" w:rsidP="00284E0F">
      <w:pPr>
        <w:spacing w:before="40" w:after="40"/>
        <w:jc w:val="both"/>
        <w:rPr>
          <w:rFonts w:ascii="Century Gothic" w:hAnsi="Century Gothic"/>
          <w:sz w:val="19"/>
          <w:szCs w:val="19"/>
        </w:rPr>
      </w:pPr>
    </w:p>
    <w:p w14:paraId="4DC9DCFA" w14:textId="77777777" w:rsidR="00284E0F" w:rsidRPr="00296E53" w:rsidRDefault="00284E0F" w:rsidP="00284E0F">
      <w:pPr>
        <w:spacing w:before="40" w:after="40"/>
        <w:jc w:val="center"/>
        <w:rPr>
          <w:rFonts w:ascii="Century Gothic" w:hAnsi="Century Gothic"/>
          <w:b/>
          <w:sz w:val="19"/>
          <w:szCs w:val="19"/>
        </w:rPr>
      </w:pPr>
      <w:r>
        <w:rPr>
          <w:rFonts w:ascii="Century Gothic" w:hAnsi="Century Gothic"/>
          <w:b/>
          <w:sz w:val="19"/>
          <w:szCs w:val="19"/>
        </w:rPr>
        <w:t>III</w:t>
      </w:r>
      <w:r w:rsidRPr="00F83968">
        <w:rPr>
          <w:rFonts w:ascii="Century Gothic" w:hAnsi="Century Gothic"/>
          <w:b/>
          <w:sz w:val="19"/>
          <w:szCs w:val="19"/>
        </w:rPr>
        <w:t xml:space="preserve">.2.3. Resultados del cálculo del indicador de oportunidad y el indicador institucional de </w:t>
      </w:r>
      <w:bookmarkStart w:id="1" w:name="_GoBack"/>
      <w:bookmarkEnd w:id="1"/>
      <w:r w:rsidRPr="00F83968">
        <w:rPr>
          <w:rFonts w:ascii="Century Gothic" w:hAnsi="Century Gothic"/>
          <w:b/>
          <w:sz w:val="19"/>
          <w:szCs w:val="19"/>
        </w:rPr>
        <w:t>oportunidad para 2021</w:t>
      </w:r>
    </w:p>
    <w:p w14:paraId="542F5490" w14:textId="77777777" w:rsidR="00284E0F" w:rsidRDefault="00284E0F" w:rsidP="00284E0F">
      <w:pPr>
        <w:spacing w:before="40" w:after="40"/>
        <w:jc w:val="center"/>
        <w:rPr>
          <w:rFonts w:ascii="Century Gothic" w:hAnsi="Century Gothic"/>
          <w:sz w:val="19"/>
          <w:szCs w:val="19"/>
        </w:rPr>
      </w:pPr>
      <w:r w:rsidRPr="00A66192">
        <w:rPr>
          <w:noProof/>
          <w:lang w:eastAsia="es-MX"/>
        </w:rPr>
        <w:drawing>
          <wp:inline distT="0" distB="0" distL="0" distR="0" wp14:anchorId="4788E5B0" wp14:editId="69E06395">
            <wp:extent cx="6094071" cy="3211801"/>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05254" cy="3217695"/>
                    </a:xfrm>
                    <a:prstGeom prst="rect">
                      <a:avLst/>
                    </a:prstGeom>
                    <a:noFill/>
                    <a:ln>
                      <a:noFill/>
                    </a:ln>
                  </pic:spPr>
                </pic:pic>
              </a:graphicData>
            </a:graphic>
          </wp:inline>
        </w:drawing>
      </w:r>
    </w:p>
    <w:p w14:paraId="36CBE7D0" w14:textId="77777777" w:rsidR="00284E0F" w:rsidRDefault="00284E0F" w:rsidP="00284E0F">
      <w:pPr>
        <w:spacing w:before="40" w:after="40"/>
        <w:jc w:val="both"/>
        <w:rPr>
          <w:rFonts w:ascii="Century Gothic" w:hAnsi="Century Gothic"/>
          <w:sz w:val="19"/>
          <w:szCs w:val="19"/>
        </w:rPr>
      </w:pPr>
      <w:r w:rsidRPr="00C42223">
        <w:rPr>
          <w:rFonts w:ascii="Century Gothic" w:hAnsi="Century Gothic"/>
          <w:sz w:val="19"/>
          <w:szCs w:val="19"/>
        </w:rPr>
        <w:t>Si bien se observa un incremento en el porcentaje de programas que cumple el parámetro de oportunidad, es necesario desarrollar estrategias para los programas que no lo cumplen, especialmente aquellos con índices más bajos.</w:t>
      </w:r>
      <w:r w:rsidRPr="009E26E3">
        <w:rPr>
          <w:rFonts w:ascii="Century Gothic" w:hAnsi="Century Gothic"/>
          <w:sz w:val="19"/>
          <w:szCs w:val="19"/>
        </w:rPr>
        <w:t xml:space="preserve">  </w:t>
      </w:r>
    </w:p>
    <w:p w14:paraId="19C45B20" w14:textId="77777777" w:rsidR="00A67A6A" w:rsidRDefault="00A67A6A"/>
    <w:sectPr w:rsidR="00A67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D3"/>
    <w:rsid w:val="00284E0F"/>
    <w:rsid w:val="00A67A6A"/>
    <w:rsid w:val="00E82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1ED7E-60C1-4CD4-8CBE-2FADD2B5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E0F"/>
  </w:style>
  <w:style w:type="paragraph" w:styleId="Ttulo1">
    <w:name w:val="heading 1"/>
    <w:basedOn w:val="Normal"/>
    <w:next w:val="Normal"/>
    <w:link w:val="Ttulo1Car"/>
    <w:uiPriority w:val="9"/>
    <w:qFormat/>
    <w:rsid w:val="00284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4E0F"/>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284E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3357</Characters>
  <Application>Microsoft Office Word</Application>
  <DocSecurity>0</DocSecurity>
  <Lines>27</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TAPIA MENDOZA ALFONSO</dc:creator>
  <cp:keywords/>
  <dc:description/>
  <cp:lastModifiedBy>TAPIA MENDOZA ALFONSO</cp:lastModifiedBy>
  <cp:revision>2</cp:revision>
  <dcterms:created xsi:type="dcterms:W3CDTF">2022-05-17T14:16:00Z</dcterms:created>
  <dcterms:modified xsi:type="dcterms:W3CDTF">2022-05-17T14:17:00Z</dcterms:modified>
</cp:coreProperties>
</file>