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EAA9" w14:textId="77777777" w:rsidR="00AC54D7" w:rsidRPr="006060C8" w:rsidRDefault="00AC54D7" w:rsidP="00AC54D7">
      <w:pPr>
        <w:pStyle w:val="Ttulo1"/>
        <w:spacing w:before="40" w:after="40"/>
        <w:ind w:left="2835" w:hanging="2835"/>
        <w:rPr>
          <w:rFonts w:ascii="Century Gothic" w:eastAsiaTheme="minorHAnsi" w:hAnsi="Century Gothic" w:cstheme="minorBidi"/>
          <w:bCs/>
          <w:color w:val="0079BF"/>
          <w:sz w:val="24"/>
          <w:szCs w:val="24"/>
        </w:rPr>
      </w:pPr>
      <w:bookmarkStart w:id="0" w:name="_Toc99626580"/>
      <w:r>
        <w:rPr>
          <w:rFonts w:ascii="Century Gothic" w:eastAsiaTheme="minorHAnsi" w:hAnsi="Century Gothic" w:cstheme="minorBidi"/>
          <w:bCs/>
          <w:color w:val="0079BF"/>
          <w:sz w:val="24"/>
          <w:szCs w:val="24"/>
        </w:rPr>
        <w:t>III.3. I</w:t>
      </w:r>
      <w:r w:rsidRPr="006060C8">
        <w:rPr>
          <w:rFonts w:ascii="Century Gothic" w:eastAsiaTheme="minorHAnsi" w:hAnsi="Century Gothic" w:cstheme="minorBidi"/>
          <w:bCs/>
          <w:color w:val="0079BF"/>
          <w:sz w:val="24"/>
          <w:szCs w:val="24"/>
        </w:rPr>
        <w:t>ndicador de accesibilidad</w:t>
      </w:r>
      <w:bookmarkEnd w:id="0"/>
      <w:r w:rsidRPr="006060C8">
        <w:rPr>
          <w:rFonts w:ascii="Century Gothic" w:eastAsiaTheme="minorHAnsi" w:hAnsi="Century Gothic" w:cstheme="minorBidi"/>
          <w:bCs/>
          <w:color w:val="0079BF"/>
          <w:sz w:val="24"/>
          <w:szCs w:val="24"/>
        </w:rPr>
        <w:t xml:space="preserve"> </w:t>
      </w:r>
    </w:p>
    <w:p w14:paraId="3FC11156" w14:textId="77777777" w:rsidR="00AC54D7" w:rsidRDefault="00AC54D7" w:rsidP="00AC54D7">
      <w:pPr>
        <w:spacing w:before="40" w:after="40"/>
        <w:jc w:val="both"/>
        <w:rPr>
          <w:rFonts w:ascii="Century Gothic" w:hAnsi="Century Gothic"/>
          <w:sz w:val="19"/>
          <w:szCs w:val="19"/>
        </w:rPr>
      </w:pPr>
      <w:bookmarkStart w:id="1" w:name="_Hlk90552892"/>
    </w:p>
    <w:p w14:paraId="6CC2F611" w14:textId="77777777" w:rsidR="00AC54D7" w:rsidRDefault="00AC54D7" w:rsidP="00AC54D7">
      <w:pPr>
        <w:spacing w:before="40" w:after="40"/>
        <w:jc w:val="both"/>
        <w:rPr>
          <w:rFonts w:ascii="Century Gothic" w:hAnsi="Century Gothic"/>
          <w:sz w:val="19"/>
          <w:szCs w:val="19"/>
        </w:rPr>
      </w:pPr>
      <w:r>
        <w:rPr>
          <w:rFonts w:ascii="Century Gothic" w:hAnsi="Century Gothic"/>
          <w:sz w:val="19"/>
          <w:szCs w:val="19"/>
        </w:rPr>
        <w:t>De c</w:t>
      </w:r>
      <w:r w:rsidRPr="00AA1496">
        <w:rPr>
          <w:rFonts w:ascii="Century Gothic" w:hAnsi="Century Gothic"/>
          <w:sz w:val="19"/>
          <w:szCs w:val="19"/>
        </w:rPr>
        <w:t>onform</w:t>
      </w:r>
      <w:r>
        <w:rPr>
          <w:rFonts w:ascii="Century Gothic" w:hAnsi="Century Gothic"/>
          <w:sz w:val="19"/>
          <w:szCs w:val="19"/>
        </w:rPr>
        <w:t>idad</w:t>
      </w:r>
      <w:r w:rsidRPr="00AA1496">
        <w:rPr>
          <w:rFonts w:ascii="Century Gothic" w:hAnsi="Century Gothic"/>
          <w:sz w:val="19"/>
          <w:szCs w:val="19"/>
        </w:rPr>
        <w:t xml:space="preserve"> con la Política de Calidad Institucional, una de las directrices del principio de accesibilidad es facilitar el uso e interpretación de la información a través de la publicación de los metadatos correspondientes. Actualmente, existen tres normas técnicas</w:t>
      </w:r>
      <w:r>
        <w:rPr>
          <w:rFonts w:ascii="Century Gothic" w:hAnsi="Century Gothic"/>
          <w:sz w:val="19"/>
          <w:szCs w:val="19"/>
        </w:rPr>
        <w:t xml:space="preserve"> </w:t>
      </w:r>
      <w:r w:rsidRPr="0064300D">
        <w:rPr>
          <w:rFonts w:ascii="Century Gothic" w:hAnsi="Century Gothic"/>
          <w:sz w:val="19"/>
          <w:szCs w:val="19"/>
        </w:rPr>
        <w:t>que establecen las directrices</w:t>
      </w:r>
      <w:r w:rsidRPr="00AA1496">
        <w:rPr>
          <w:rFonts w:ascii="Century Gothic" w:hAnsi="Century Gothic"/>
          <w:sz w:val="19"/>
          <w:szCs w:val="19"/>
        </w:rPr>
        <w:t xml:space="preserve"> para la publicación de metadatos en el INEGI, todas ellas basadas en estándares internacionales.</w:t>
      </w:r>
    </w:p>
    <w:p w14:paraId="0E66E49D" w14:textId="77777777" w:rsidR="00AC54D7" w:rsidRDefault="00AC54D7" w:rsidP="00AC54D7">
      <w:pPr>
        <w:spacing w:before="40" w:after="40"/>
        <w:jc w:val="both"/>
        <w:rPr>
          <w:rFonts w:ascii="Century Gothic" w:hAnsi="Century Gothic"/>
          <w:sz w:val="19"/>
          <w:szCs w:val="19"/>
        </w:rPr>
      </w:pPr>
    </w:p>
    <w:p w14:paraId="1C5D0705" w14:textId="77777777" w:rsidR="00AC54D7" w:rsidRPr="00AA1496" w:rsidRDefault="00AC54D7" w:rsidP="00AC54D7">
      <w:pPr>
        <w:spacing w:before="40" w:after="40"/>
        <w:jc w:val="center"/>
        <w:rPr>
          <w:rFonts w:ascii="Century Gothic" w:hAnsi="Century Gothic" w:cstheme="majorHAnsi"/>
          <w:b/>
          <w:sz w:val="19"/>
          <w:szCs w:val="19"/>
        </w:rPr>
      </w:pPr>
      <w:r>
        <w:rPr>
          <w:rFonts w:ascii="Century Gothic" w:hAnsi="Century Gothic" w:cstheme="majorHAnsi"/>
          <w:b/>
          <w:sz w:val="19"/>
          <w:szCs w:val="19"/>
        </w:rPr>
        <w:t>III.3</w:t>
      </w:r>
      <w:r w:rsidRPr="00AA1496">
        <w:rPr>
          <w:rFonts w:ascii="Century Gothic" w:hAnsi="Century Gothic" w:cstheme="majorHAnsi"/>
          <w:b/>
          <w:sz w:val="19"/>
          <w:szCs w:val="19"/>
        </w:rPr>
        <w:t>.1. Estándares internacionales adoptados en el INEGI para la documentación de metadatos</w:t>
      </w:r>
    </w:p>
    <w:tbl>
      <w:tblPr>
        <w:tblW w:w="878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3402"/>
        <w:gridCol w:w="2694"/>
        <w:gridCol w:w="2693"/>
      </w:tblGrid>
      <w:tr w:rsidR="00AC54D7" w:rsidRPr="00AA1496" w14:paraId="7C2FBBBE" w14:textId="77777777" w:rsidTr="00AC54D7">
        <w:trPr>
          <w:trHeight w:val="20"/>
        </w:trPr>
        <w:tc>
          <w:tcPr>
            <w:tcW w:w="3402" w:type="dxa"/>
            <w:shd w:val="clear" w:color="auto" w:fill="44546A" w:themeFill="text2"/>
            <w:tcMar>
              <w:top w:w="15" w:type="dxa"/>
              <w:left w:w="54" w:type="dxa"/>
              <w:bottom w:w="0" w:type="dxa"/>
              <w:right w:w="54" w:type="dxa"/>
            </w:tcMar>
            <w:vAlign w:val="center"/>
            <w:hideMark/>
          </w:tcPr>
          <w:p w14:paraId="37E31632" w14:textId="77777777" w:rsidR="00AC54D7" w:rsidRPr="00AA1496" w:rsidRDefault="00AC54D7" w:rsidP="00EF2651">
            <w:pPr>
              <w:spacing w:before="40" w:after="40" w:line="240" w:lineRule="auto"/>
              <w:jc w:val="center"/>
              <w:rPr>
                <w:rFonts w:ascii="Century Gothic" w:eastAsia="Times New Roman" w:hAnsi="Century Gothic" w:cs="Arial"/>
                <w:sz w:val="16"/>
                <w:szCs w:val="16"/>
                <w:lang w:eastAsia="es-MX"/>
              </w:rPr>
            </w:pPr>
            <w:r w:rsidRPr="00AA1496">
              <w:rPr>
                <w:rFonts w:ascii="Century Gothic" w:eastAsia="Helvetica" w:hAnsi="Century Gothic" w:cs="Helvetica"/>
                <w:b/>
                <w:bCs/>
                <w:color w:val="F2F2F2" w:themeColor="background1" w:themeShade="F2"/>
                <w:position w:val="1"/>
                <w:sz w:val="16"/>
                <w:szCs w:val="16"/>
                <w:lang w:eastAsia="es-MX"/>
              </w:rPr>
              <w:t>Norma o especificación</w:t>
            </w:r>
          </w:p>
        </w:tc>
        <w:tc>
          <w:tcPr>
            <w:tcW w:w="2694" w:type="dxa"/>
            <w:shd w:val="clear" w:color="auto" w:fill="44546A" w:themeFill="text2"/>
            <w:tcMar>
              <w:top w:w="15" w:type="dxa"/>
              <w:left w:w="54" w:type="dxa"/>
              <w:bottom w:w="0" w:type="dxa"/>
              <w:right w:w="54" w:type="dxa"/>
            </w:tcMar>
            <w:vAlign w:val="center"/>
            <w:hideMark/>
          </w:tcPr>
          <w:p w14:paraId="1DD74BAA" w14:textId="77777777" w:rsidR="00AC54D7" w:rsidRPr="00AA1496" w:rsidRDefault="00AC54D7" w:rsidP="00EF2651">
            <w:pPr>
              <w:spacing w:before="40" w:after="40" w:line="240" w:lineRule="auto"/>
              <w:jc w:val="center"/>
              <w:rPr>
                <w:rFonts w:ascii="Century Gothic" w:eastAsia="Times New Roman" w:hAnsi="Century Gothic" w:cs="Arial"/>
                <w:sz w:val="16"/>
                <w:szCs w:val="16"/>
                <w:lang w:eastAsia="es-MX"/>
              </w:rPr>
            </w:pPr>
            <w:r w:rsidRPr="00AA1496">
              <w:rPr>
                <w:rFonts w:ascii="Century Gothic" w:eastAsia="Helvetica" w:hAnsi="Century Gothic" w:cs="Helvetica"/>
                <w:b/>
                <w:bCs/>
                <w:color w:val="F2F2F2" w:themeColor="background1" w:themeShade="F2"/>
                <w:position w:val="1"/>
                <w:sz w:val="16"/>
                <w:szCs w:val="16"/>
                <w:lang w:eastAsia="es-MX"/>
              </w:rPr>
              <w:t>Estándar internacional</w:t>
            </w:r>
          </w:p>
        </w:tc>
        <w:tc>
          <w:tcPr>
            <w:tcW w:w="2693" w:type="dxa"/>
            <w:shd w:val="clear" w:color="auto" w:fill="44546A" w:themeFill="text2"/>
            <w:tcMar>
              <w:top w:w="15" w:type="dxa"/>
              <w:left w:w="54" w:type="dxa"/>
              <w:bottom w:w="0" w:type="dxa"/>
              <w:right w:w="54" w:type="dxa"/>
            </w:tcMar>
            <w:vAlign w:val="center"/>
            <w:hideMark/>
          </w:tcPr>
          <w:p w14:paraId="677E87E1" w14:textId="77777777" w:rsidR="00AC54D7" w:rsidRPr="00AA1496" w:rsidRDefault="00AC54D7" w:rsidP="00EF2651">
            <w:pPr>
              <w:spacing w:before="40" w:after="40" w:line="240" w:lineRule="auto"/>
              <w:jc w:val="center"/>
              <w:rPr>
                <w:rFonts w:ascii="Century Gothic" w:eastAsia="Times New Roman" w:hAnsi="Century Gothic" w:cs="Arial"/>
                <w:sz w:val="16"/>
                <w:szCs w:val="16"/>
                <w:lang w:eastAsia="es-MX"/>
              </w:rPr>
            </w:pPr>
            <w:r w:rsidRPr="00AA1496">
              <w:rPr>
                <w:rFonts w:ascii="Century Gothic" w:eastAsia="Helvetica" w:hAnsi="Century Gothic" w:cs="Helvetica"/>
                <w:b/>
                <w:bCs/>
                <w:color w:val="F2F2F2" w:themeColor="background1" w:themeShade="F2"/>
                <w:position w:val="1"/>
                <w:sz w:val="16"/>
                <w:szCs w:val="16"/>
                <w:lang w:eastAsia="es-MX"/>
              </w:rPr>
              <w:t>Ámbito de aplicación / Tipo de metadatos</w:t>
            </w:r>
          </w:p>
        </w:tc>
      </w:tr>
      <w:tr w:rsidR="00AC54D7" w:rsidRPr="00AA1496" w14:paraId="538F81B1" w14:textId="77777777" w:rsidTr="00AC54D7">
        <w:trPr>
          <w:trHeight w:val="20"/>
        </w:trPr>
        <w:tc>
          <w:tcPr>
            <w:tcW w:w="3402" w:type="dxa"/>
            <w:shd w:val="clear" w:color="auto" w:fill="FFFFFF" w:themeFill="background1"/>
            <w:tcMar>
              <w:top w:w="15" w:type="dxa"/>
              <w:left w:w="54" w:type="dxa"/>
              <w:bottom w:w="0" w:type="dxa"/>
              <w:right w:w="54" w:type="dxa"/>
            </w:tcMar>
            <w:vAlign w:val="center"/>
            <w:hideMark/>
          </w:tcPr>
          <w:p w14:paraId="4E4275A3" w14:textId="77777777" w:rsidR="00AC54D7" w:rsidRPr="00AA1496" w:rsidRDefault="00AC54D7" w:rsidP="00EF2651">
            <w:pPr>
              <w:spacing w:before="40" w:after="40" w:line="240" w:lineRule="auto"/>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Norma técnica para la elaboración de metadatos para proyectos de generación de información estadística básica y de los componentes estadísticos derivados de proyectos geográficos.</w:t>
            </w:r>
          </w:p>
        </w:tc>
        <w:tc>
          <w:tcPr>
            <w:tcW w:w="2694" w:type="dxa"/>
            <w:shd w:val="clear" w:color="auto" w:fill="FFFFFF" w:themeFill="background1"/>
            <w:tcMar>
              <w:top w:w="15" w:type="dxa"/>
              <w:left w:w="54" w:type="dxa"/>
              <w:bottom w:w="0" w:type="dxa"/>
              <w:right w:w="54" w:type="dxa"/>
            </w:tcMar>
            <w:vAlign w:val="center"/>
            <w:hideMark/>
          </w:tcPr>
          <w:p w14:paraId="66A7D3BE" w14:textId="77777777" w:rsidR="00AC54D7" w:rsidRPr="00AA1496" w:rsidRDefault="00AC54D7" w:rsidP="00EF2651">
            <w:pPr>
              <w:spacing w:before="40" w:after="40" w:line="240" w:lineRule="auto"/>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Iniciativa de Documentación de Datos (DDI).</w:t>
            </w:r>
          </w:p>
        </w:tc>
        <w:tc>
          <w:tcPr>
            <w:tcW w:w="2693" w:type="dxa"/>
            <w:shd w:val="clear" w:color="auto" w:fill="FFFFFF" w:themeFill="background1"/>
            <w:tcMar>
              <w:top w:w="15" w:type="dxa"/>
              <w:left w:w="54" w:type="dxa"/>
              <w:bottom w:w="0" w:type="dxa"/>
              <w:right w:w="54" w:type="dxa"/>
            </w:tcMar>
            <w:vAlign w:val="center"/>
            <w:hideMark/>
          </w:tcPr>
          <w:p w14:paraId="4F72FE95" w14:textId="77777777" w:rsidR="00AC54D7" w:rsidRPr="00AA1496" w:rsidRDefault="00AC54D7" w:rsidP="00EF2651">
            <w:pPr>
              <w:spacing w:after="0" w:line="240" w:lineRule="auto"/>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Programas de información de encuestas, registros y censos.</w:t>
            </w:r>
          </w:p>
          <w:p w14:paraId="099D7CD0" w14:textId="77777777" w:rsidR="00AC54D7" w:rsidRPr="00AA1496" w:rsidRDefault="00AC54D7" w:rsidP="00AC54D7">
            <w:pPr>
              <w:numPr>
                <w:ilvl w:val="0"/>
                <w:numId w:val="1"/>
              </w:numPr>
              <w:spacing w:after="0" w:line="240" w:lineRule="auto"/>
              <w:ind w:left="361" w:hanging="283"/>
              <w:contextualSpacing/>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Metadatos referenciales (</w:t>
            </w:r>
            <w:r w:rsidRPr="0064300D">
              <w:rPr>
                <w:rFonts w:ascii="Century Gothic" w:eastAsia="Helvetica" w:hAnsi="Century Gothic" w:cs="Helvetica"/>
                <w:bCs/>
                <w:color w:val="000000" w:themeColor="text1"/>
                <w:position w:val="1"/>
                <w:sz w:val="16"/>
                <w:szCs w:val="16"/>
                <w:lang w:eastAsia="es-MX"/>
              </w:rPr>
              <w:t>programas de información y</w:t>
            </w:r>
            <w:r>
              <w:rPr>
                <w:rFonts w:ascii="Century Gothic" w:eastAsia="Helvetica" w:hAnsi="Century Gothic" w:cs="Helvetica"/>
                <w:bCs/>
                <w:color w:val="000000" w:themeColor="text1"/>
                <w:position w:val="1"/>
                <w:sz w:val="16"/>
                <w:szCs w:val="16"/>
                <w:lang w:eastAsia="es-MX"/>
              </w:rPr>
              <w:t xml:space="preserve">/o </w:t>
            </w:r>
            <w:r w:rsidRPr="0064300D">
              <w:rPr>
                <w:rFonts w:ascii="Century Gothic" w:eastAsia="Helvetica" w:hAnsi="Century Gothic" w:cs="Helvetica"/>
                <w:bCs/>
                <w:color w:val="000000" w:themeColor="text1"/>
                <w:position w:val="1"/>
                <w:sz w:val="16"/>
                <w:szCs w:val="16"/>
                <w:lang w:eastAsia="es-MX"/>
              </w:rPr>
              <w:t>procesos de producción</w:t>
            </w:r>
            <w:r w:rsidRPr="00AA1496">
              <w:rPr>
                <w:rFonts w:ascii="Century Gothic" w:eastAsia="Helvetica" w:hAnsi="Century Gothic" w:cs="Helvetica"/>
                <w:bCs/>
                <w:color w:val="000000" w:themeColor="text1"/>
                <w:position w:val="1"/>
                <w:sz w:val="16"/>
                <w:szCs w:val="16"/>
                <w:lang w:eastAsia="es-MX"/>
              </w:rPr>
              <w:t>)</w:t>
            </w:r>
          </w:p>
          <w:p w14:paraId="79C9F380" w14:textId="77777777" w:rsidR="00AC54D7" w:rsidRPr="00AA1496" w:rsidRDefault="00AC54D7" w:rsidP="00AC54D7">
            <w:pPr>
              <w:numPr>
                <w:ilvl w:val="0"/>
                <w:numId w:val="1"/>
              </w:numPr>
              <w:spacing w:before="40" w:after="40" w:line="240" w:lineRule="auto"/>
              <w:ind w:left="361" w:hanging="283"/>
              <w:contextualSpacing/>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Metadatos estructurales (</w:t>
            </w:r>
            <w:proofErr w:type="spellStart"/>
            <w:r w:rsidRPr="00AA1496">
              <w:rPr>
                <w:rFonts w:ascii="Century Gothic" w:eastAsia="Helvetica" w:hAnsi="Century Gothic" w:cs="Helvetica"/>
                <w:bCs/>
                <w:color w:val="000000" w:themeColor="text1"/>
                <w:position w:val="1"/>
                <w:sz w:val="16"/>
                <w:szCs w:val="16"/>
                <w:lang w:eastAsia="es-MX"/>
              </w:rPr>
              <w:t>microdatos</w:t>
            </w:r>
            <w:proofErr w:type="spellEnd"/>
            <w:r w:rsidRPr="00AA1496">
              <w:rPr>
                <w:rFonts w:ascii="Century Gothic" w:eastAsia="Helvetica" w:hAnsi="Century Gothic" w:cs="Helvetica"/>
                <w:bCs/>
                <w:color w:val="000000" w:themeColor="text1"/>
                <w:position w:val="1"/>
                <w:sz w:val="16"/>
                <w:szCs w:val="16"/>
                <w:lang w:eastAsia="es-MX"/>
              </w:rPr>
              <w:t>)</w:t>
            </w:r>
          </w:p>
        </w:tc>
      </w:tr>
      <w:tr w:rsidR="00AC54D7" w:rsidRPr="00AA1496" w14:paraId="305A2272" w14:textId="77777777" w:rsidTr="00AC54D7">
        <w:trPr>
          <w:trHeight w:val="20"/>
        </w:trPr>
        <w:tc>
          <w:tcPr>
            <w:tcW w:w="3402" w:type="dxa"/>
            <w:shd w:val="clear" w:color="auto" w:fill="F2F2F2" w:themeFill="background1" w:themeFillShade="F2"/>
            <w:tcMar>
              <w:top w:w="15" w:type="dxa"/>
              <w:left w:w="54" w:type="dxa"/>
              <w:bottom w:w="0" w:type="dxa"/>
              <w:right w:w="54" w:type="dxa"/>
            </w:tcMar>
            <w:vAlign w:val="center"/>
            <w:hideMark/>
          </w:tcPr>
          <w:p w14:paraId="436F3772" w14:textId="77777777" w:rsidR="00AC54D7" w:rsidRPr="00AA1496" w:rsidRDefault="00AC54D7" w:rsidP="00EF2651">
            <w:pPr>
              <w:spacing w:before="40" w:after="40" w:line="240" w:lineRule="auto"/>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Norma técnica para la elaboración de metadatos geográficos.</w:t>
            </w:r>
          </w:p>
        </w:tc>
        <w:tc>
          <w:tcPr>
            <w:tcW w:w="2694" w:type="dxa"/>
            <w:shd w:val="clear" w:color="auto" w:fill="F2F2F2" w:themeFill="background1" w:themeFillShade="F2"/>
            <w:tcMar>
              <w:top w:w="15" w:type="dxa"/>
              <w:left w:w="54" w:type="dxa"/>
              <w:bottom w:w="0" w:type="dxa"/>
              <w:right w:w="54" w:type="dxa"/>
            </w:tcMar>
            <w:vAlign w:val="center"/>
            <w:hideMark/>
          </w:tcPr>
          <w:p w14:paraId="1CAEE995" w14:textId="77777777" w:rsidR="00AC54D7" w:rsidRPr="00AA1496" w:rsidRDefault="00AC54D7" w:rsidP="00EF2651">
            <w:pPr>
              <w:spacing w:before="40" w:after="40" w:line="240" w:lineRule="auto"/>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Sistema de referencia del estándar del FGDC-STD-001-1998;</w:t>
            </w:r>
          </w:p>
          <w:p w14:paraId="7D43B272" w14:textId="77777777" w:rsidR="00AC54D7" w:rsidRPr="00AA1496" w:rsidRDefault="00AC54D7" w:rsidP="00EF2651">
            <w:pPr>
              <w:spacing w:before="40" w:after="40" w:line="240" w:lineRule="auto"/>
              <w:rPr>
                <w:rFonts w:ascii="Century Gothic" w:eastAsia="Times New Roman" w:hAnsi="Century Gothic" w:cs="Arial"/>
                <w:sz w:val="16"/>
                <w:szCs w:val="16"/>
                <w:lang w:eastAsia="es-MX"/>
              </w:rPr>
            </w:pPr>
            <w:r w:rsidRPr="00AA1496">
              <w:rPr>
                <w:rFonts w:ascii="Century Gothic" w:eastAsia="Helvetica" w:hAnsi="Century Gothic" w:cs="Helvetica"/>
                <w:bCs/>
                <w:color w:val="000000" w:themeColor="text1"/>
                <w:position w:val="1"/>
                <w:sz w:val="16"/>
                <w:szCs w:val="16"/>
                <w:lang w:eastAsia="es-MX"/>
              </w:rPr>
              <w:t>Estándar ISO 19115:2003.</w:t>
            </w:r>
          </w:p>
        </w:tc>
        <w:tc>
          <w:tcPr>
            <w:tcW w:w="2693" w:type="dxa"/>
            <w:shd w:val="clear" w:color="auto" w:fill="F2F2F2" w:themeFill="background1" w:themeFillShade="F2"/>
            <w:tcMar>
              <w:top w:w="15" w:type="dxa"/>
              <w:left w:w="54" w:type="dxa"/>
              <w:bottom w:w="0" w:type="dxa"/>
              <w:right w:w="54" w:type="dxa"/>
            </w:tcMar>
            <w:vAlign w:val="center"/>
            <w:hideMark/>
          </w:tcPr>
          <w:p w14:paraId="2921BDE5" w14:textId="77777777" w:rsidR="00AC54D7" w:rsidRPr="002B09C6" w:rsidRDefault="00AC54D7" w:rsidP="00EF2651">
            <w:pPr>
              <w:spacing w:after="0" w:line="240" w:lineRule="auto"/>
              <w:rPr>
                <w:rFonts w:ascii="Century Gothic" w:eastAsia="Times New Roman" w:hAnsi="Century Gothic" w:cs="Arial"/>
                <w:sz w:val="16"/>
                <w:szCs w:val="16"/>
                <w:lang w:eastAsia="es-MX"/>
              </w:rPr>
            </w:pPr>
            <w:r w:rsidRPr="002B09C6">
              <w:rPr>
                <w:rFonts w:ascii="Century Gothic" w:eastAsia="Helvetica" w:hAnsi="Century Gothic" w:cs="Helvetica"/>
                <w:bCs/>
                <w:color w:val="000000" w:themeColor="text1"/>
                <w:position w:val="1"/>
                <w:sz w:val="16"/>
                <w:szCs w:val="16"/>
                <w:lang w:eastAsia="es-MX"/>
              </w:rPr>
              <w:t>Grupos de datos geográficos.</w:t>
            </w:r>
          </w:p>
          <w:p w14:paraId="0E7EC50C" w14:textId="77777777" w:rsidR="00AC54D7" w:rsidRPr="002B09C6" w:rsidRDefault="00AC54D7" w:rsidP="00AC54D7">
            <w:pPr>
              <w:numPr>
                <w:ilvl w:val="0"/>
                <w:numId w:val="2"/>
              </w:numPr>
              <w:spacing w:before="40" w:after="40" w:line="240" w:lineRule="auto"/>
              <w:ind w:left="361" w:hanging="283"/>
              <w:contextualSpacing/>
              <w:rPr>
                <w:rFonts w:ascii="Century Gothic" w:eastAsia="Times New Roman" w:hAnsi="Century Gothic" w:cs="Arial"/>
                <w:sz w:val="16"/>
                <w:szCs w:val="16"/>
                <w:lang w:eastAsia="es-MX"/>
              </w:rPr>
            </w:pPr>
            <w:r w:rsidRPr="002B09C6">
              <w:rPr>
                <w:rFonts w:ascii="Century Gothic" w:eastAsia="Helvetica" w:hAnsi="Century Gothic" w:cs="Helvetica"/>
                <w:bCs/>
                <w:color w:val="000000" w:themeColor="text1"/>
                <w:position w:val="1"/>
                <w:sz w:val="16"/>
                <w:szCs w:val="16"/>
                <w:lang w:eastAsia="es-MX"/>
              </w:rPr>
              <w:t>Metadatos referenciales</w:t>
            </w:r>
            <w:r>
              <w:rPr>
                <w:rFonts w:ascii="Century Gothic" w:eastAsia="Helvetica" w:hAnsi="Century Gothic" w:cs="Helvetica"/>
                <w:bCs/>
                <w:color w:val="000000" w:themeColor="text1"/>
                <w:position w:val="1"/>
                <w:sz w:val="16"/>
                <w:szCs w:val="16"/>
                <w:lang w:eastAsia="es-MX"/>
              </w:rPr>
              <w:t xml:space="preserve"> y estructurales (</w:t>
            </w:r>
            <w:r w:rsidRPr="0097741A">
              <w:rPr>
                <w:rFonts w:ascii="Century Gothic" w:eastAsia="Helvetica" w:hAnsi="Century Gothic" w:cs="Helvetica"/>
                <w:bCs/>
                <w:color w:val="000000" w:themeColor="text1"/>
                <w:position w:val="1"/>
                <w:sz w:val="16"/>
                <w:szCs w:val="16"/>
                <w:lang w:eastAsia="es-MX"/>
              </w:rPr>
              <w:t>Conjunto de datos o producto</w:t>
            </w:r>
            <w:r>
              <w:rPr>
                <w:rFonts w:ascii="Century Gothic" w:eastAsia="Helvetica" w:hAnsi="Century Gothic" w:cs="Helvetica"/>
                <w:bCs/>
                <w:color w:val="000000" w:themeColor="text1"/>
                <w:position w:val="1"/>
                <w:sz w:val="16"/>
                <w:szCs w:val="16"/>
                <w:lang w:eastAsia="es-MX"/>
              </w:rPr>
              <w:t>s)</w:t>
            </w:r>
          </w:p>
        </w:tc>
      </w:tr>
      <w:tr w:rsidR="00AC54D7" w:rsidRPr="00DB2929" w14:paraId="026E1E24" w14:textId="77777777" w:rsidTr="00AC54D7">
        <w:trPr>
          <w:trHeight w:val="20"/>
        </w:trPr>
        <w:tc>
          <w:tcPr>
            <w:tcW w:w="3402" w:type="dxa"/>
            <w:shd w:val="clear" w:color="auto" w:fill="FFFFFF" w:themeFill="background1"/>
            <w:tcMar>
              <w:top w:w="15" w:type="dxa"/>
              <w:left w:w="54" w:type="dxa"/>
              <w:bottom w:w="0" w:type="dxa"/>
              <w:right w:w="54" w:type="dxa"/>
            </w:tcMar>
            <w:vAlign w:val="center"/>
            <w:hideMark/>
          </w:tcPr>
          <w:p w14:paraId="0CE83507" w14:textId="77777777" w:rsidR="00AC54D7" w:rsidRPr="00DB2929" w:rsidRDefault="00AC54D7" w:rsidP="00EF2651">
            <w:pPr>
              <w:spacing w:before="40" w:after="40" w:line="240" w:lineRule="auto"/>
              <w:rPr>
                <w:rFonts w:ascii="Century Gothic" w:eastAsia="Times New Roman" w:hAnsi="Century Gothic" w:cs="Arial"/>
                <w:sz w:val="16"/>
                <w:szCs w:val="16"/>
                <w:lang w:eastAsia="es-MX"/>
              </w:rPr>
            </w:pPr>
            <w:r w:rsidRPr="00DB2929">
              <w:rPr>
                <w:rFonts w:ascii="Century Gothic" w:eastAsia="Helvetica" w:hAnsi="Century Gothic" w:cs="Helvetica"/>
                <w:bCs/>
                <w:color w:val="000000" w:themeColor="text1"/>
                <w:position w:val="1"/>
                <w:sz w:val="16"/>
                <w:szCs w:val="16"/>
                <w:lang w:eastAsia="es-MX"/>
              </w:rPr>
              <w:t>Norma técnica para el acceso y publicación de datos abiertos de la información estadística y geográfica de interés nacional.</w:t>
            </w:r>
          </w:p>
        </w:tc>
        <w:tc>
          <w:tcPr>
            <w:tcW w:w="2694" w:type="dxa"/>
            <w:shd w:val="clear" w:color="auto" w:fill="FFFFFF" w:themeFill="background1"/>
            <w:tcMar>
              <w:top w:w="15" w:type="dxa"/>
              <w:left w:w="54" w:type="dxa"/>
              <w:bottom w:w="0" w:type="dxa"/>
              <w:right w:w="54" w:type="dxa"/>
            </w:tcMar>
            <w:vAlign w:val="center"/>
            <w:hideMark/>
          </w:tcPr>
          <w:p w14:paraId="4346F734" w14:textId="77777777" w:rsidR="00AC54D7" w:rsidRPr="00DB2929" w:rsidRDefault="00AC54D7" w:rsidP="00EF2651">
            <w:pPr>
              <w:spacing w:before="40" w:after="40" w:line="240" w:lineRule="auto"/>
              <w:rPr>
                <w:rFonts w:ascii="Century Gothic" w:eastAsia="Times New Roman" w:hAnsi="Century Gothic" w:cs="Arial"/>
                <w:sz w:val="16"/>
                <w:szCs w:val="16"/>
                <w:lang w:eastAsia="es-MX"/>
              </w:rPr>
            </w:pPr>
            <w:r w:rsidRPr="00406352">
              <w:rPr>
                <w:rFonts w:ascii="Century Gothic" w:eastAsia="Helvetica" w:hAnsi="Century Gothic" w:cs="Helvetica"/>
                <w:bCs/>
                <w:i/>
                <w:color w:val="000000" w:themeColor="text1"/>
                <w:position w:val="1"/>
                <w:sz w:val="16"/>
                <w:szCs w:val="16"/>
                <w:lang w:eastAsia="es-MX"/>
              </w:rPr>
              <w:t xml:space="preserve">Data </w:t>
            </w:r>
            <w:proofErr w:type="spellStart"/>
            <w:r w:rsidRPr="00406352">
              <w:rPr>
                <w:rFonts w:ascii="Century Gothic" w:eastAsia="Helvetica" w:hAnsi="Century Gothic" w:cs="Helvetica"/>
                <w:bCs/>
                <w:i/>
                <w:color w:val="000000" w:themeColor="text1"/>
                <w:position w:val="1"/>
                <w:sz w:val="16"/>
                <w:szCs w:val="16"/>
                <w:lang w:eastAsia="es-MX"/>
              </w:rPr>
              <w:t>Catalog</w:t>
            </w:r>
            <w:proofErr w:type="spellEnd"/>
            <w:r w:rsidRPr="00406352">
              <w:rPr>
                <w:rFonts w:ascii="Century Gothic" w:eastAsia="Helvetica" w:hAnsi="Century Gothic" w:cs="Helvetica"/>
                <w:bCs/>
                <w:i/>
                <w:color w:val="000000" w:themeColor="text1"/>
                <w:position w:val="1"/>
                <w:sz w:val="16"/>
                <w:szCs w:val="16"/>
                <w:lang w:eastAsia="es-MX"/>
              </w:rPr>
              <w:t xml:space="preserve"> </w:t>
            </w:r>
            <w:proofErr w:type="spellStart"/>
            <w:r w:rsidRPr="00406352">
              <w:rPr>
                <w:rFonts w:ascii="Century Gothic" w:eastAsia="Helvetica" w:hAnsi="Century Gothic" w:cs="Helvetica"/>
                <w:bCs/>
                <w:i/>
                <w:color w:val="000000" w:themeColor="text1"/>
                <w:position w:val="1"/>
                <w:sz w:val="16"/>
                <w:szCs w:val="16"/>
                <w:lang w:eastAsia="es-MX"/>
              </w:rPr>
              <w:t>Vocabulary</w:t>
            </w:r>
            <w:proofErr w:type="spellEnd"/>
            <w:r w:rsidRPr="00DB2929">
              <w:rPr>
                <w:rFonts w:ascii="Century Gothic" w:eastAsia="Helvetica" w:hAnsi="Century Gothic" w:cs="Helvetica"/>
                <w:bCs/>
                <w:color w:val="000000" w:themeColor="text1"/>
                <w:position w:val="1"/>
                <w:sz w:val="16"/>
                <w:szCs w:val="16"/>
                <w:lang w:eastAsia="es-MX"/>
              </w:rPr>
              <w:t xml:space="preserve"> (DCAT).</w:t>
            </w:r>
          </w:p>
        </w:tc>
        <w:tc>
          <w:tcPr>
            <w:tcW w:w="2693" w:type="dxa"/>
            <w:shd w:val="clear" w:color="auto" w:fill="FFFFFF" w:themeFill="background1"/>
            <w:tcMar>
              <w:top w:w="15" w:type="dxa"/>
              <w:left w:w="54" w:type="dxa"/>
              <w:bottom w:w="0" w:type="dxa"/>
              <w:right w:w="54" w:type="dxa"/>
            </w:tcMar>
            <w:vAlign w:val="center"/>
            <w:hideMark/>
          </w:tcPr>
          <w:p w14:paraId="14865F6F" w14:textId="77777777" w:rsidR="00AC54D7" w:rsidRPr="002B09C6" w:rsidRDefault="00AC54D7" w:rsidP="00EF2651">
            <w:pPr>
              <w:spacing w:after="0" w:line="240" w:lineRule="auto"/>
              <w:rPr>
                <w:rFonts w:ascii="Century Gothic" w:eastAsia="Times New Roman" w:hAnsi="Century Gothic" w:cs="Arial"/>
                <w:sz w:val="16"/>
                <w:szCs w:val="16"/>
                <w:lang w:eastAsia="es-MX"/>
              </w:rPr>
            </w:pPr>
            <w:r w:rsidRPr="002B09C6">
              <w:rPr>
                <w:rFonts w:ascii="Century Gothic" w:eastAsia="Helvetica" w:hAnsi="Century Gothic" w:cs="Helvetica"/>
                <w:bCs/>
                <w:color w:val="000000" w:themeColor="text1"/>
                <w:position w:val="1"/>
                <w:sz w:val="16"/>
                <w:szCs w:val="16"/>
                <w:lang w:eastAsia="es-MX"/>
              </w:rPr>
              <w:t>Conjuntos de datos en formato de datos abiertos.</w:t>
            </w:r>
          </w:p>
          <w:p w14:paraId="0207DB20" w14:textId="77777777" w:rsidR="00AC54D7" w:rsidRPr="002B09C6" w:rsidRDefault="00AC54D7" w:rsidP="00AC54D7">
            <w:pPr>
              <w:numPr>
                <w:ilvl w:val="0"/>
                <w:numId w:val="3"/>
              </w:numPr>
              <w:spacing w:before="40" w:after="40" w:line="240" w:lineRule="auto"/>
              <w:ind w:left="220" w:hanging="142"/>
              <w:contextualSpacing/>
              <w:rPr>
                <w:rFonts w:ascii="Century Gothic" w:eastAsia="Times New Roman" w:hAnsi="Century Gothic" w:cs="Arial"/>
                <w:sz w:val="16"/>
                <w:szCs w:val="16"/>
                <w:lang w:eastAsia="es-MX"/>
              </w:rPr>
            </w:pPr>
            <w:r>
              <w:rPr>
                <w:rFonts w:ascii="Century Gothic" w:eastAsia="Helvetica" w:hAnsi="Century Gothic" w:cs="Helvetica"/>
                <w:bCs/>
                <w:color w:val="000000" w:themeColor="text1"/>
                <w:position w:val="1"/>
                <w:sz w:val="16"/>
                <w:szCs w:val="16"/>
                <w:lang w:eastAsia="es-MX"/>
              </w:rPr>
              <w:t>Subconjunto de m</w:t>
            </w:r>
            <w:r w:rsidRPr="002B09C6">
              <w:rPr>
                <w:rFonts w:ascii="Century Gothic" w:eastAsia="Helvetica" w:hAnsi="Century Gothic" w:cs="Helvetica"/>
                <w:bCs/>
                <w:color w:val="000000" w:themeColor="text1"/>
                <w:position w:val="1"/>
                <w:sz w:val="16"/>
                <w:szCs w:val="16"/>
                <w:lang w:eastAsia="es-MX"/>
              </w:rPr>
              <w:t>etadatos referenciales (</w:t>
            </w:r>
            <w:r w:rsidRPr="0064300D">
              <w:rPr>
                <w:rFonts w:ascii="Century Gothic" w:eastAsia="Helvetica" w:hAnsi="Century Gothic" w:cs="Helvetica"/>
                <w:bCs/>
                <w:color w:val="000000" w:themeColor="text1"/>
                <w:position w:val="1"/>
                <w:sz w:val="16"/>
                <w:szCs w:val="16"/>
                <w:lang w:eastAsia="es-MX"/>
              </w:rPr>
              <w:t>programas de información y</w:t>
            </w:r>
            <w:r>
              <w:rPr>
                <w:rFonts w:ascii="Century Gothic" w:eastAsia="Helvetica" w:hAnsi="Century Gothic" w:cs="Helvetica"/>
                <w:bCs/>
                <w:color w:val="000000" w:themeColor="text1"/>
                <w:position w:val="1"/>
                <w:sz w:val="16"/>
                <w:szCs w:val="16"/>
                <w:lang w:eastAsia="es-MX"/>
              </w:rPr>
              <w:t>/o</w:t>
            </w:r>
            <w:r w:rsidRPr="0064300D">
              <w:rPr>
                <w:rFonts w:ascii="Century Gothic" w:eastAsia="Helvetica" w:hAnsi="Century Gothic" w:cs="Helvetica"/>
                <w:bCs/>
                <w:color w:val="000000" w:themeColor="text1"/>
                <w:position w:val="1"/>
                <w:sz w:val="16"/>
                <w:szCs w:val="16"/>
                <w:lang w:eastAsia="es-MX"/>
              </w:rPr>
              <w:t xml:space="preserve"> procesos de producción</w:t>
            </w:r>
            <w:r w:rsidRPr="002B09C6">
              <w:rPr>
                <w:rFonts w:ascii="Century Gothic" w:eastAsia="Helvetica" w:hAnsi="Century Gothic" w:cs="Helvetica"/>
                <w:bCs/>
                <w:color w:val="000000" w:themeColor="text1"/>
                <w:position w:val="1"/>
                <w:sz w:val="16"/>
                <w:szCs w:val="16"/>
                <w:lang w:eastAsia="es-MX"/>
              </w:rPr>
              <w:t>)</w:t>
            </w:r>
          </w:p>
        </w:tc>
      </w:tr>
    </w:tbl>
    <w:p w14:paraId="5586F171" w14:textId="77777777" w:rsidR="00AC54D7" w:rsidRDefault="00AC54D7" w:rsidP="00AC54D7">
      <w:pPr>
        <w:spacing w:before="40" w:after="40"/>
        <w:jc w:val="both"/>
        <w:rPr>
          <w:rFonts w:ascii="Century Gothic" w:hAnsi="Century Gothic"/>
          <w:sz w:val="19"/>
          <w:szCs w:val="19"/>
        </w:rPr>
      </w:pPr>
    </w:p>
    <w:p w14:paraId="34E96CE4" w14:textId="77777777" w:rsidR="00AC54D7" w:rsidRDefault="00AC54D7" w:rsidP="00AC54D7">
      <w:pPr>
        <w:spacing w:before="40" w:after="40"/>
        <w:jc w:val="both"/>
        <w:rPr>
          <w:rFonts w:ascii="Century Gothic" w:hAnsi="Century Gothic"/>
          <w:sz w:val="19"/>
          <w:szCs w:val="19"/>
        </w:rPr>
      </w:pPr>
      <w:r w:rsidRPr="004E69F7">
        <w:rPr>
          <w:rFonts w:ascii="Century Gothic" w:hAnsi="Century Gothic"/>
          <w:sz w:val="19"/>
          <w:szCs w:val="19"/>
        </w:rPr>
        <w:t>Durante 2021 se publicaron 363 entregas de resultados (excluyendo indicadores de coyuntura) de los programas de información</w:t>
      </w:r>
      <w:r>
        <w:rPr>
          <w:rFonts w:ascii="Century Gothic" w:hAnsi="Century Gothic"/>
          <w:sz w:val="19"/>
          <w:szCs w:val="19"/>
        </w:rPr>
        <w:t>,</w:t>
      </w:r>
      <w:r w:rsidRPr="004E69F7">
        <w:rPr>
          <w:rFonts w:ascii="Century Gothic" w:hAnsi="Century Gothic"/>
          <w:sz w:val="19"/>
          <w:szCs w:val="19"/>
        </w:rPr>
        <w:t xml:space="preserve"> </w:t>
      </w:r>
      <w:r>
        <w:rPr>
          <w:rFonts w:ascii="Century Gothic" w:hAnsi="Century Gothic"/>
          <w:sz w:val="19"/>
          <w:szCs w:val="19"/>
        </w:rPr>
        <w:t>e</w:t>
      </w:r>
      <w:r w:rsidRPr="004E69F7">
        <w:rPr>
          <w:rFonts w:ascii="Century Gothic" w:hAnsi="Century Gothic"/>
          <w:sz w:val="19"/>
          <w:szCs w:val="19"/>
        </w:rPr>
        <w:t>ste es el universo para el cálculo del indicador de accesibilidad. En 2021, el 87% de los ciclos de programas de información</w:t>
      </w:r>
      <w:r>
        <w:rPr>
          <w:rFonts w:ascii="Century Gothic" w:hAnsi="Century Gothic"/>
          <w:sz w:val="19"/>
          <w:szCs w:val="19"/>
        </w:rPr>
        <w:t>,</w:t>
      </w:r>
      <w:r w:rsidRPr="004E69F7">
        <w:rPr>
          <w:rFonts w:ascii="Century Gothic" w:hAnsi="Century Gothic"/>
          <w:sz w:val="19"/>
          <w:szCs w:val="19"/>
        </w:rPr>
        <w:t xml:space="preserve"> publicaron resultados</w:t>
      </w:r>
      <w:r>
        <w:rPr>
          <w:rFonts w:ascii="Century Gothic" w:hAnsi="Century Gothic"/>
          <w:sz w:val="19"/>
          <w:szCs w:val="19"/>
        </w:rPr>
        <w:t xml:space="preserve"> en el sitio del INEGI en Internet</w:t>
      </w:r>
      <w:r w:rsidRPr="004E69F7">
        <w:rPr>
          <w:rFonts w:ascii="Century Gothic" w:hAnsi="Century Gothic"/>
          <w:sz w:val="19"/>
          <w:szCs w:val="19"/>
        </w:rPr>
        <w:t xml:space="preserve"> acompañados </w:t>
      </w:r>
      <w:r>
        <w:rPr>
          <w:rFonts w:ascii="Century Gothic" w:hAnsi="Century Gothic"/>
          <w:sz w:val="19"/>
          <w:szCs w:val="19"/>
        </w:rPr>
        <w:t>de</w:t>
      </w:r>
      <w:r w:rsidRPr="004E69F7">
        <w:rPr>
          <w:rFonts w:ascii="Century Gothic" w:hAnsi="Century Gothic"/>
          <w:sz w:val="19"/>
          <w:szCs w:val="19"/>
        </w:rPr>
        <w:t xml:space="preserve"> metadatos documentados con base en alguno de los estándares internacionales adoptados en el Instituto</w:t>
      </w:r>
      <w:r>
        <w:rPr>
          <w:rFonts w:ascii="Century Gothic" w:hAnsi="Century Gothic"/>
          <w:sz w:val="19"/>
          <w:szCs w:val="19"/>
        </w:rPr>
        <w:t>.</w:t>
      </w:r>
      <w:r w:rsidRPr="004E69F7">
        <w:rPr>
          <w:rFonts w:ascii="Century Gothic" w:hAnsi="Century Gothic"/>
          <w:sz w:val="19"/>
          <w:szCs w:val="19"/>
        </w:rPr>
        <w:t xml:space="preserve"> El 13% restante corresponde a 4</w:t>
      </w:r>
      <w:r>
        <w:rPr>
          <w:rFonts w:ascii="Century Gothic" w:hAnsi="Century Gothic"/>
          <w:sz w:val="19"/>
          <w:szCs w:val="19"/>
        </w:rPr>
        <w:t>7</w:t>
      </w:r>
      <w:r w:rsidRPr="004E69F7">
        <w:rPr>
          <w:rFonts w:ascii="Century Gothic" w:hAnsi="Century Gothic"/>
          <w:sz w:val="19"/>
          <w:szCs w:val="19"/>
        </w:rPr>
        <w:t xml:space="preserve"> ciclos de </w:t>
      </w:r>
      <w:r>
        <w:rPr>
          <w:rFonts w:ascii="Century Gothic" w:hAnsi="Century Gothic"/>
          <w:sz w:val="19"/>
          <w:szCs w:val="19"/>
        </w:rPr>
        <w:t>p</w:t>
      </w:r>
      <w:r w:rsidRPr="004E69F7">
        <w:rPr>
          <w:rFonts w:ascii="Century Gothic" w:hAnsi="Century Gothic"/>
          <w:sz w:val="19"/>
          <w:szCs w:val="19"/>
        </w:rPr>
        <w:t xml:space="preserve">rogramas de </w:t>
      </w:r>
      <w:r>
        <w:rPr>
          <w:rFonts w:ascii="Century Gothic" w:hAnsi="Century Gothic"/>
          <w:sz w:val="19"/>
          <w:szCs w:val="19"/>
        </w:rPr>
        <w:t>i</w:t>
      </w:r>
      <w:r w:rsidRPr="004E69F7">
        <w:rPr>
          <w:rFonts w:ascii="Century Gothic" w:hAnsi="Century Gothic"/>
          <w:sz w:val="19"/>
          <w:szCs w:val="19"/>
        </w:rPr>
        <w:t>nformación que no acompañaron la publicación de resultados con metadatos estandarizados</w:t>
      </w:r>
      <w:r>
        <w:rPr>
          <w:rFonts w:ascii="Century Gothic" w:hAnsi="Century Gothic" w:cstheme="majorHAnsi"/>
          <w:bCs/>
          <w:sz w:val="19"/>
          <w:szCs w:val="19"/>
        </w:rPr>
        <w:t>.</w:t>
      </w:r>
    </w:p>
    <w:p w14:paraId="7A0327CA" w14:textId="77777777" w:rsidR="00AC54D7" w:rsidRDefault="00AC54D7" w:rsidP="00AC54D7">
      <w:pPr>
        <w:spacing w:before="40" w:after="40"/>
        <w:jc w:val="both"/>
        <w:rPr>
          <w:rFonts w:ascii="Century Gothic" w:hAnsi="Century Gothic"/>
          <w:sz w:val="19"/>
          <w:szCs w:val="19"/>
        </w:rPr>
      </w:pPr>
    </w:p>
    <w:p w14:paraId="661A5CBA" w14:textId="77777777" w:rsidR="00AC54D7" w:rsidRDefault="00AC54D7" w:rsidP="00AC54D7">
      <w:pPr>
        <w:spacing w:before="40" w:after="40"/>
        <w:jc w:val="both"/>
        <w:rPr>
          <w:rFonts w:ascii="Century Gothic" w:hAnsi="Century Gothic"/>
          <w:sz w:val="19"/>
          <w:szCs w:val="19"/>
        </w:rPr>
      </w:pPr>
      <w:r>
        <w:rPr>
          <w:rFonts w:ascii="Century Gothic" w:hAnsi="Century Gothic"/>
          <w:sz w:val="19"/>
          <w:szCs w:val="19"/>
        </w:rPr>
        <w:t>En el informe de resultados del Comité del año pasado, se explicó que la caída de la publicación de metadatos fue parte de las repercusiones administrativas derivadas del reacomodo operativo que tuvieron que realizar las áreas debido a la pandemia.  Si bien se observa una recuperación de este indicador, aún no se llega al nivel observado en 2019 que correspondía a 92% (ver gráfica III.3.2.).  Es importante tener como objetivo que el 100% de la información que publica el INEGI se acompañe de metadatos estandarizados para que los usuarios puedan utilizarla de mejor manera.</w:t>
      </w:r>
    </w:p>
    <w:p w14:paraId="1C643E96" w14:textId="7392889B" w:rsidR="00AC54D7" w:rsidRDefault="00AC54D7" w:rsidP="00AC54D7">
      <w:pPr>
        <w:spacing w:before="40" w:after="40"/>
        <w:jc w:val="both"/>
        <w:rPr>
          <w:rFonts w:ascii="Century Gothic" w:hAnsi="Century Gothic"/>
          <w:sz w:val="19"/>
          <w:szCs w:val="19"/>
        </w:rPr>
      </w:pPr>
    </w:p>
    <w:p w14:paraId="578F861D" w14:textId="3818DE47" w:rsidR="00AC54D7" w:rsidRDefault="00AC54D7" w:rsidP="00AC54D7">
      <w:pPr>
        <w:spacing w:before="40" w:after="40"/>
        <w:jc w:val="both"/>
        <w:rPr>
          <w:rFonts w:ascii="Century Gothic" w:hAnsi="Century Gothic"/>
          <w:sz w:val="19"/>
          <w:szCs w:val="19"/>
        </w:rPr>
      </w:pPr>
    </w:p>
    <w:p w14:paraId="2D14182B" w14:textId="76F0034F" w:rsidR="00AC54D7" w:rsidRDefault="00AC54D7" w:rsidP="00AC54D7">
      <w:pPr>
        <w:spacing w:before="40" w:after="40"/>
        <w:jc w:val="both"/>
        <w:rPr>
          <w:rFonts w:ascii="Century Gothic" w:hAnsi="Century Gothic"/>
          <w:sz w:val="19"/>
          <w:szCs w:val="19"/>
        </w:rPr>
      </w:pPr>
    </w:p>
    <w:p w14:paraId="70BBD7CC" w14:textId="71528EBD" w:rsidR="00AC54D7" w:rsidRDefault="00AC54D7" w:rsidP="00AC54D7">
      <w:pPr>
        <w:spacing w:before="40" w:after="40"/>
        <w:jc w:val="both"/>
        <w:rPr>
          <w:rFonts w:ascii="Century Gothic" w:hAnsi="Century Gothic"/>
          <w:sz w:val="19"/>
          <w:szCs w:val="19"/>
        </w:rPr>
      </w:pPr>
    </w:p>
    <w:p w14:paraId="073ADC94" w14:textId="782CCD3D" w:rsidR="00AC54D7" w:rsidRDefault="00AC54D7" w:rsidP="00AC54D7">
      <w:pPr>
        <w:spacing w:before="40" w:after="40"/>
        <w:jc w:val="both"/>
        <w:rPr>
          <w:rFonts w:ascii="Century Gothic" w:hAnsi="Century Gothic"/>
          <w:sz w:val="19"/>
          <w:szCs w:val="19"/>
        </w:rPr>
      </w:pPr>
    </w:p>
    <w:p w14:paraId="69CA9531" w14:textId="77777777" w:rsidR="00AC54D7" w:rsidRPr="000C026F" w:rsidRDefault="00AC54D7" w:rsidP="00AC54D7">
      <w:pPr>
        <w:spacing w:before="40" w:after="40"/>
        <w:jc w:val="both"/>
        <w:rPr>
          <w:rFonts w:ascii="Century Gothic" w:hAnsi="Century Gothic"/>
          <w:sz w:val="19"/>
          <w:szCs w:val="19"/>
        </w:rPr>
      </w:pPr>
      <w:bookmarkStart w:id="2" w:name="_GoBack"/>
      <w:bookmarkEnd w:id="2"/>
    </w:p>
    <w:p w14:paraId="4CC1D35D" w14:textId="77777777" w:rsidR="00AC54D7" w:rsidRDefault="00AC54D7" w:rsidP="00AC54D7">
      <w:pPr>
        <w:spacing w:before="40" w:after="40" w:line="240" w:lineRule="auto"/>
        <w:ind w:left="-284"/>
        <w:jc w:val="center"/>
        <w:rPr>
          <w:rFonts w:ascii="Century Gothic" w:hAnsi="Century Gothic" w:cstheme="majorHAnsi"/>
          <w:b/>
          <w:sz w:val="19"/>
          <w:szCs w:val="19"/>
        </w:rPr>
      </w:pPr>
      <w:r>
        <w:rPr>
          <w:rFonts w:ascii="Century Gothic" w:hAnsi="Century Gothic" w:cstheme="majorHAnsi"/>
          <w:b/>
          <w:sz w:val="19"/>
          <w:szCs w:val="19"/>
        </w:rPr>
        <w:lastRenderedPageBreak/>
        <w:t>III.3.2.</w:t>
      </w:r>
      <w:r w:rsidRPr="0018097E">
        <w:rPr>
          <w:rFonts w:ascii="Century Gothic" w:hAnsi="Century Gothic" w:cstheme="majorHAnsi"/>
          <w:b/>
          <w:sz w:val="19"/>
          <w:szCs w:val="19"/>
        </w:rPr>
        <w:t xml:space="preserve"> Porcentaje de programas que publicaron metadatos documentados</w:t>
      </w:r>
      <w:r>
        <w:rPr>
          <w:rFonts w:ascii="Century Gothic" w:hAnsi="Century Gothic" w:cstheme="majorHAnsi"/>
          <w:b/>
          <w:sz w:val="19"/>
          <w:szCs w:val="19"/>
        </w:rPr>
        <w:t xml:space="preserve"> </w:t>
      </w:r>
      <w:r w:rsidRPr="0018097E">
        <w:rPr>
          <w:rFonts w:ascii="Century Gothic" w:hAnsi="Century Gothic" w:cstheme="majorHAnsi"/>
          <w:b/>
          <w:sz w:val="19"/>
          <w:szCs w:val="19"/>
        </w:rPr>
        <w:t>con base en un estándar internacional</w:t>
      </w:r>
    </w:p>
    <w:p w14:paraId="42D66C94" w14:textId="77777777" w:rsidR="00AC54D7" w:rsidRDefault="00AC54D7" w:rsidP="00AC54D7">
      <w:pPr>
        <w:spacing w:before="40" w:after="40" w:line="240" w:lineRule="auto"/>
        <w:ind w:left="-284"/>
        <w:jc w:val="center"/>
        <w:rPr>
          <w:rFonts w:ascii="Century Gothic" w:hAnsi="Century Gothic"/>
          <w:bCs/>
          <w:i/>
          <w:sz w:val="16"/>
          <w:szCs w:val="19"/>
        </w:rPr>
      </w:pPr>
      <w:r w:rsidRPr="00BC3ED0">
        <w:rPr>
          <w:noProof/>
          <w:lang w:eastAsia="es-MX"/>
        </w:rPr>
        <w:drawing>
          <wp:inline distT="0" distB="0" distL="0" distR="0" wp14:anchorId="2A3769EA" wp14:editId="2AE6F3C1">
            <wp:extent cx="4169067" cy="2435567"/>
            <wp:effectExtent l="0" t="0" r="317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9067" cy="2435567"/>
                    </a:xfrm>
                    <a:prstGeom prst="rect">
                      <a:avLst/>
                    </a:prstGeom>
                    <a:noFill/>
                    <a:ln>
                      <a:noFill/>
                    </a:ln>
                  </pic:spPr>
                </pic:pic>
              </a:graphicData>
            </a:graphic>
          </wp:inline>
        </w:drawing>
      </w:r>
    </w:p>
    <w:p w14:paraId="371042C8" w14:textId="77777777" w:rsidR="00AC54D7" w:rsidRPr="00296E53" w:rsidRDefault="00AC54D7" w:rsidP="00AC54D7">
      <w:pPr>
        <w:spacing w:before="40" w:after="40" w:line="240" w:lineRule="auto"/>
        <w:ind w:left="1985" w:right="2153"/>
        <w:rPr>
          <w:rFonts w:ascii="Century Gothic" w:hAnsi="Century Gothic"/>
          <w:b/>
          <w:sz w:val="18"/>
        </w:rPr>
      </w:pPr>
      <w:r w:rsidRPr="00704F4F">
        <w:rPr>
          <w:rFonts w:ascii="Century Gothic" w:hAnsi="Century Gothic"/>
          <w:bCs/>
          <w:iCs/>
          <w:sz w:val="16"/>
          <w:szCs w:val="19"/>
        </w:rPr>
        <w:t>Elaboración propia con base en los ciclos</w:t>
      </w:r>
      <w:r>
        <w:rPr>
          <w:rFonts w:ascii="Century Gothic" w:hAnsi="Century Gothic"/>
          <w:bCs/>
          <w:iCs/>
          <w:sz w:val="16"/>
          <w:szCs w:val="19"/>
        </w:rPr>
        <w:t xml:space="preserve"> de programa registrados en el C</w:t>
      </w:r>
      <w:r w:rsidRPr="00704F4F">
        <w:rPr>
          <w:rFonts w:ascii="Century Gothic" w:hAnsi="Century Gothic"/>
          <w:bCs/>
          <w:iCs/>
          <w:sz w:val="16"/>
          <w:szCs w:val="19"/>
        </w:rPr>
        <w:t xml:space="preserve">alendario de </w:t>
      </w:r>
      <w:r>
        <w:rPr>
          <w:rFonts w:ascii="Century Gothic" w:hAnsi="Century Gothic"/>
          <w:bCs/>
          <w:iCs/>
          <w:sz w:val="16"/>
          <w:szCs w:val="19"/>
        </w:rPr>
        <w:t>D</w:t>
      </w:r>
      <w:r w:rsidRPr="00704F4F">
        <w:rPr>
          <w:rFonts w:ascii="Century Gothic" w:hAnsi="Century Gothic"/>
          <w:bCs/>
          <w:iCs/>
          <w:sz w:val="16"/>
          <w:szCs w:val="19"/>
        </w:rPr>
        <w:t>ifusión de cada año y los registros de los metadatos disponibles en la Red Nacional de Metadatos y del Centro de Distribuido</w:t>
      </w:r>
      <w:r>
        <w:rPr>
          <w:rFonts w:ascii="Century Gothic" w:hAnsi="Century Gothic"/>
          <w:bCs/>
          <w:iCs/>
          <w:sz w:val="16"/>
          <w:szCs w:val="19"/>
        </w:rPr>
        <w:t>r</w:t>
      </w:r>
      <w:r w:rsidRPr="00704F4F">
        <w:rPr>
          <w:rFonts w:ascii="Century Gothic" w:hAnsi="Century Gothic"/>
          <w:bCs/>
          <w:iCs/>
          <w:sz w:val="16"/>
          <w:szCs w:val="19"/>
        </w:rPr>
        <w:t xml:space="preserve"> de Metadatos (geográficos).</w:t>
      </w:r>
    </w:p>
    <w:p w14:paraId="05DEC468" w14:textId="77777777" w:rsidR="00AC54D7" w:rsidRDefault="00AC54D7" w:rsidP="00AC54D7">
      <w:pPr>
        <w:spacing w:before="40" w:after="40"/>
        <w:jc w:val="both"/>
        <w:rPr>
          <w:rFonts w:ascii="Century Gothic" w:hAnsi="Century Gothic"/>
          <w:sz w:val="19"/>
          <w:szCs w:val="19"/>
        </w:rPr>
      </w:pPr>
    </w:p>
    <w:p w14:paraId="4E2183C6" w14:textId="77777777" w:rsidR="00AC54D7" w:rsidRDefault="00AC54D7" w:rsidP="00AC54D7">
      <w:pPr>
        <w:spacing w:before="40" w:after="40"/>
        <w:jc w:val="both"/>
        <w:rPr>
          <w:rFonts w:ascii="Century Gothic" w:hAnsi="Century Gothic"/>
          <w:sz w:val="19"/>
          <w:szCs w:val="19"/>
        </w:rPr>
      </w:pPr>
      <w:r>
        <w:rPr>
          <w:rFonts w:ascii="Century Gothic" w:hAnsi="Century Gothic"/>
          <w:sz w:val="19"/>
          <w:szCs w:val="19"/>
        </w:rPr>
        <w:t>Los p</w:t>
      </w:r>
      <w:r w:rsidRPr="00845C1C">
        <w:rPr>
          <w:rFonts w:ascii="Century Gothic" w:hAnsi="Century Gothic"/>
          <w:sz w:val="19"/>
          <w:szCs w:val="19"/>
        </w:rPr>
        <w:t xml:space="preserve">rogramas de </w:t>
      </w:r>
      <w:r>
        <w:rPr>
          <w:rFonts w:ascii="Century Gothic" w:hAnsi="Century Gothic"/>
          <w:sz w:val="19"/>
          <w:szCs w:val="19"/>
        </w:rPr>
        <w:t>i</w:t>
      </w:r>
      <w:r w:rsidRPr="00845C1C">
        <w:rPr>
          <w:rFonts w:ascii="Century Gothic" w:hAnsi="Century Gothic"/>
          <w:sz w:val="19"/>
          <w:szCs w:val="19"/>
        </w:rPr>
        <w:t>nformación que no acompañaron la publicación de resultados con metadatos</w:t>
      </w:r>
      <w:r>
        <w:rPr>
          <w:rFonts w:ascii="Century Gothic" w:hAnsi="Century Gothic"/>
          <w:sz w:val="19"/>
          <w:szCs w:val="19"/>
        </w:rPr>
        <w:t xml:space="preserve"> fueron Marco Geoestadístico, Marco de Referencia Geodésico</w:t>
      </w:r>
      <w:r w:rsidRPr="002117FF">
        <w:rPr>
          <w:rFonts w:ascii="Century Gothic" w:hAnsi="Century Gothic"/>
          <w:sz w:val="19"/>
          <w:szCs w:val="19"/>
        </w:rPr>
        <w:t xml:space="preserve">, Topografía, </w:t>
      </w:r>
      <w:r w:rsidRPr="00D301A1">
        <w:rPr>
          <w:rFonts w:ascii="Century Gothic" w:hAnsi="Century Gothic"/>
          <w:sz w:val="19"/>
          <w:szCs w:val="19"/>
        </w:rPr>
        <w:t>Encuesta para la Medición del Impacto COVID-19</w:t>
      </w:r>
      <w:r w:rsidRPr="002117FF">
        <w:rPr>
          <w:rFonts w:ascii="Century Gothic" w:hAnsi="Century Gothic"/>
          <w:sz w:val="19"/>
          <w:szCs w:val="19"/>
        </w:rPr>
        <w:t xml:space="preserve"> en</w:t>
      </w:r>
      <w:r>
        <w:rPr>
          <w:rFonts w:ascii="Century Gothic" w:hAnsi="Century Gothic"/>
          <w:sz w:val="19"/>
          <w:szCs w:val="19"/>
        </w:rPr>
        <w:t xml:space="preserve"> la Educación, Encuesta Telefónica de Ocupación y Empleo, y Estimación de Características Sociodemográficas en Áreas Pequeñas.</w:t>
      </w:r>
    </w:p>
    <w:p w14:paraId="76C93365" w14:textId="77777777" w:rsidR="00AC54D7" w:rsidRDefault="00AC54D7" w:rsidP="00AC54D7">
      <w:pPr>
        <w:spacing w:before="40" w:after="40"/>
        <w:jc w:val="both"/>
        <w:rPr>
          <w:rFonts w:ascii="Century Gothic" w:hAnsi="Century Gothic"/>
          <w:sz w:val="19"/>
          <w:szCs w:val="19"/>
        </w:rPr>
      </w:pPr>
    </w:p>
    <w:bookmarkEnd w:id="1"/>
    <w:p w14:paraId="1FC59C2F" w14:textId="77777777" w:rsidR="00AC54D7" w:rsidRPr="00734CA9" w:rsidRDefault="00AC54D7" w:rsidP="00AC54D7">
      <w:pPr>
        <w:spacing w:before="40" w:after="40"/>
        <w:jc w:val="both"/>
        <w:rPr>
          <w:rFonts w:ascii="Century Gothic" w:hAnsi="Century Gothic"/>
          <w:sz w:val="19"/>
          <w:szCs w:val="19"/>
        </w:rPr>
      </w:pPr>
      <w:r w:rsidRPr="00734CA9">
        <w:rPr>
          <w:rFonts w:ascii="Century Gothic" w:hAnsi="Century Gothic"/>
          <w:sz w:val="19"/>
          <w:szCs w:val="19"/>
        </w:rPr>
        <w:t xml:space="preserve">Si bien </w:t>
      </w:r>
      <w:r>
        <w:rPr>
          <w:rFonts w:ascii="Century Gothic" w:hAnsi="Century Gothic"/>
          <w:sz w:val="19"/>
          <w:szCs w:val="19"/>
        </w:rPr>
        <w:t xml:space="preserve">en 2021 </w:t>
      </w:r>
      <w:r w:rsidRPr="00734CA9">
        <w:rPr>
          <w:rFonts w:ascii="Century Gothic" w:hAnsi="Century Gothic"/>
          <w:sz w:val="19"/>
          <w:szCs w:val="19"/>
        </w:rPr>
        <w:t>el 87% de los pr</w:t>
      </w:r>
      <w:r>
        <w:rPr>
          <w:rFonts w:ascii="Century Gothic" w:hAnsi="Century Gothic"/>
          <w:sz w:val="19"/>
          <w:szCs w:val="19"/>
        </w:rPr>
        <w:t>ogramas de información acompañaron</w:t>
      </w:r>
      <w:r w:rsidRPr="00734CA9">
        <w:rPr>
          <w:rFonts w:ascii="Century Gothic" w:hAnsi="Century Gothic"/>
          <w:sz w:val="19"/>
          <w:szCs w:val="19"/>
        </w:rPr>
        <w:t xml:space="preserve"> la publicación de resultados con metadatos bas</w:t>
      </w:r>
      <w:r>
        <w:rPr>
          <w:rFonts w:ascii="Century Gothic" w:hAnsi="Century Gothic"/>
          <w:sz w:val="19"/>
          <w:szCs w:val="19"/>
        </w:rPr>
        <w:t>ados</w:t>
      </w:r>
      <w:r w:rsidRPr="00734CA9">
        <w:rPr>
          <w:rFonts w:ascii="Century Gothic" w:hAnsi="Century Gothic"/>
          <w:sz w:val="19"/>
          <w:szCs w:val="19"/>
        </w:rPr>
        <w:t xml:space="preserve"> en alguno de los estándares internacionales adoptados en el Instituto, </w:t>
      </w:r>
      <w:r>
        <w:rPr>
          <w:rFonts w:ascii="Century Gothic" w:hAnsi="Century Gothic"/>
          <w:sz w:val="19"/>
          <w:szCs w:val="19"/>
        </w:rPr>
        <w:t xml:space="preserve">su </w:t>
      </w:r>
      <w:r w:rsidRPr="00734CA9">
        <w:rPr>
          <w:rFonts w:ascii="Century Gothic" w:hAnsi="Century Gothic"/>
          <w:sz w:val="19"/>
          <w:szCs w:val="19"/>
        </w:rPr>
        <w:t xml:space="preserve">descripción es parcial y heterogénea. Por ejemplo, </w:t>
      </w:r>
      <w:bookmarkStart w:id="3" w:name="_Hlk97545576"/>
      <w:r w:rsidRPr="00734CA9">
        <w:rPr>
          <w:rFonts w:ascii="Century Gothic" w:hAnsi="Century Gothic"/>
          <w:sz w:val="19"/>
          <w:szCs w:val="19"/>
        </w:rPr>
        <w:t xml:space="preserve">de los 316 ciclos que publicaron resultados acompañados con metadatos estandarizados, </w:t>
      </w:r>
      <w:r>
        <w:rPr>
          <w:rFonts w:ascii="Century Gothic" w:hAnsi="Century Gothic"/>
          <w:sz w:val="19"/>
          <w:szCs w:val="19"/>
        </w:rPr>
        <w:t xml:space="preserve">los </w:t>
      </w:r>
      <w:r w:rsidRPr="00734CA9">
        <w:rPr>
          <w:rFonts w:ascii="Century Gothic" w:hAnsi="Century Gothic"/>
          <w:sz w:val="19"/>
          <w:szCs w:val="19"/>
        </w:rPr>
        <w:t>correspondiente</w:t>
      </w:r>
      <w:r>
        <w:rPr>
          <w:rFonts w:ascii="Century Gothic" w:hAnsi="Century Gothic"/>
          <w:sz w:val="19"/>
          <w:szCs w:val="19"/>
        </w:rPr>
        <w:t>s</w:t>
      </w:r>
      <w:r w:rsidRPr="00734CA9">
        <w:rPr>
          <w:rFonts w:ascii="Century Gothic" w:hAnsi="Century Gothic"/>
          <w:sz w:val="19"/>
          <w:szCs w:val="19"/>
        </w:rPr>
        <w:t xml:space="preserve"> a los procesos de estadística derivada</w:t>
      </w:r>
      <w:r>
        <w:rPr>
          <w:rFonts w:ascii="Century Gothic" w:hAnsi="Century Gothic"/>
          <w:sz w:val="19"/>
          <w:szCs w:val="19"/>
        </w:rPr>
        <w:t xml:space="preserve"> </w:t>
      </w:r>
      <w:r w:rsidRPr="00101D26">
        <w:rPr>
          <w:rFonts w:ascii="Century Gothic" w:hAnsi="Century Gothic"/>
          <w:sz w:val="19"/>
          <w:szCs w:val="19"/>
        </w:rPr>
        <w:t>(26%) solamente lo hizo bajo el estándar DCAT, cuyo nivel de descripción es limitado.  Por otro lado, a la fecha sólo el 66% de los procesos inscritos en el IPI ha documentado, por lo menos en una ocasión, metadatos referenciales con base en el estándar DDI, el más robusto de los utilizados por el Instituto.</w:t>
      </w:r>
      <w:bookmarkEnd w:id="3"/>
    </w:p>
    <w:p w14:paraId="7B057F87" w14:textId="77777777" w:rsidR="00AC54D7" w:rsidRDefault="00AC54D7" w:rsidP="00AC54D7">
      <w:pPr>
        <w:spacing w:before="40" w:after="40"/>
        <w:jc w:val="both"/>
        <w:rPr>
          <w:rFonts w:ascii="Century Gothic" w:hAnsi="Century Gothic"/>
          <w:sz w:val="19"/>
          <w:szCs w:val="19"/>
        </w:rPr>
      </w:pPr>
    </w:p>
    <w:p w14:paraId="1CFA50B0" w14:textId="77777777" w:rsidR="00AC54D7" w:rsidRPr="00734CA9" w:rsidRDefault="00AC54D7" w:rsidP="00AC54D7">
      <w:pPr>
        <w:spacing w:before="40" w:after="40"/>
        <w:jc w:val="both"/>
        <w:rPr>
          <w:rFonts w:ascii="Century Gothic" w:hAnsi="Century Gothic"/>
          <w:sz w:val="19"/>
          <w:szCs w:val="19"/>
        </w:rPr>
      </w:pPr>
      <w:r w:rsidRPr="00734CA9">
        <w:rPr>
          <w:rFonts w:ascii="Century Gothic" w:hAnsi="Century Gothic"/>
          <w:sz w:val="19"/>
          <w:szCs w:val="19"/>
        </w:rPr>
        <w:t>Por lo anterior, resulta necesaria la definición de una especificación institucional de metadatos que permita la documentación integral y homologada de los diferentes métodos de generación de información estadística y geográfica.</w:t>
      </w:r>
      <w:r>
        <w:rPr>
          <w:rFonts w:ascii="Century Gothic" w:hAnsi="Century Gothic"/>
          <w:sz w:val="19"/>
          <w:szCs w:val="19"/>
        </w:rPr>
        <w:t xml:space="preserve">  L</w:t>
      </w:r>
      <w:r w:rsidRPr="00734CA9">
        <w:rPr>
          <w:rFonts w:ascii="Century Gothic" w:hAnsi="Century Gothic"/>
          <w:sz w:val="19"/>
          <w:szCs w:val="19"/>
        </w:rPr>
        <w:t xml:space="preserve">a estrategia institucional de gestión de metadatos incluye tanto la actualización de la </w:t>
      </w:r>
      <w:r>
        <w:rPr>
          <w:rFonts w:ascii="Century Gothic" w:hAnsi="Century Gothic"/>
          <w:sz w:val="19"/>
          <w:szCs w:val="19"/>
        </w:rPr>
        <w:t>normatividad para la elaboración de metadatos</w:t>
      </w:r>
      <w:r w:rsidRPr="00734CA9">
        <w:rPr>
          <w:rFonts w:ascii="Century Gothic" w:hAnsi="Century Gothic"/>
          <w:sz w:val="19"/>
          <w:szCs w:val="19"/>
        </w:rPr>
        <w:t>, como el desarrollo del Sistema Integrador de Metadatos que favorecerá la estandarización y sistematización de su captura, actualización, transferencia, resguardo y difusión.</w:t>
      </w:r>
    </w:p>
    <w:p w14:paraId="49F6201E" w14:textId="77777777" w:rsidR="00AC54D7" w:rsidRPr="00734CA9" w:rsidRDefault="00AC54D7" w:rsidP="00AC54D7">
      <w:pPr>
        <w:spacing w:before="40" w:after="40"/>
        <w:jc w:val="both"/>
        <w:rPr>
          <w:rFonts w:ascii="Century Gothic" w:hAnsi="Century Gothic"/>
          <w:sz w:val="19"/>
          <w:szCs w:val="19"/>
        </w:rPr>
      </w:pPr>
    </w:p>
    <w:p w14:paraId="023AF0E0" w14:textId="77777777" w:rsidR="00AC54D7" w:rsidRDefault="00AC54D7" w:rsidP="00AC54D7">
      <w:pPr>
        <w:spacing w:before="40" w:after="40"/>
        <w:jc w:val="both"/>
        <w:rPr>
          <w:rFonts w:ascii="Century Gothic" w:hAnsi="Century Gothic"/>
          <w:color w:val="FF0000"/>
          <w:sz w:val="19"/>
          <w:szCs w:val="19"/>
          <w:highlight w:val="yellow"/>
        </w:rPr>
      </w:pPr>
      <w:r>
        <w:rPr>
          <w:rFonts w:ascii="Century Gothic" w:hAnsi="Century Gothic"/>
          <w:sz w:val="19"/>
          <w:szCs w:val="19"/>
        </w:rPr>
        <w:t>E</w:t>
      </w:r>
      <w:r w:rsidRPr="00734CA9">
        <w:rPr>
          <w:rFonts w:ascii="Century Gothic" w:hAnsi="Century Gothic"/>
          <w:sz w:val="19"/>
          <w:szCs w:val="19"/>
        </w:rPr>
        <w:t xml:space="preserve">s necesario </w:t>
      </w:r>
      <w:r>
        <w:rPr>
          <w:rFonts w:ascii="Century Gothic" w:hAnsi="Century Gothic"/>
          <w:sz w:val="19"/>
          <w:szCs w:val="19"/>
        </w:rPr>
        <w:t xml:space="preserve">seguir </w:t>
      </w:r>
      <w:r w:rsidRPr="00734CA9">
        <w:rPr>
          <w:rFonts w:ascii="Century Gothic" w:hAnsi="Century Gothic"/>
          <w:sz w:val="19"/>
          <w:szCs w:val="19"/>
        </w:rPr>
        <w:t>impulsa</w:t>
      </w:r>
      <w:r>
        <w:rPr>
          <w:rFonts w:ascii="Century Gothic" w:hAnsi="Century Gothic"/>
          <w:sz w:val="19"/>
          <w:szCs w:val="19"/>
        </w:rPr>
        <w:t xml:space="preserve">ndo </w:t>
      </w:r>
      <w:r w:rsidRPr="00734CA9">
        <w:rPr>
          <w:rFonts w:ascii="Century Gothic" w:hAnsi="Century Gothic"/>
          <w:sz w:val="19"/>
          <w:szCs w:val="19"/>
        </w:rPr>
        <w:t xml:space="preserve">que los metadatos sean capturados </w:t>
      </w:r>
      <w:r w:rsidRPr="00101D26">
        <w:rPr>
          <w:rFonts w:ascii="Century Gothic" w:hAnsi="Century Gothic"/>
          <w:sz w:val="19"/>
          <w:szCs w:val="19"/>
        </w:rPr>
        <w:t>conforme a ejecución de los procesos</w:t>
      </w:r>
      <w:r w:rsidRPr="00734CA9">
        <w:rPr>
          <w:rFonts w:ascii="Century Gothic" w:hAnsi="Century Gothic"/>
          <w:sz w:val="19"/>
          <w:szCs w:val="19"/>
        </w:rPr>
        <w:t xml:space="preserve"> y se publiquen a la par de los datos a los que hacen referencia.</w:t>
      </w:r>
      <w:r>
        <w:rPr>
          <w:rFonts w:ascii="Century Gothic" w:hAnsi="Century Gothic"/>
          <w:sz w:val="19"/>
          <w:szCs w:val="19"/>
        </w:rPr>
        <w:t xml:space="preserve">  Cabe señalar que</w:t>
      </w:r>
      <w:r w:rsidRPr="00904947">
        <w:rPr>
          <w:rFonts w:ascii="Century Gothic" w:hAnsi="Century Gothic"/>
          <w:sz w:val="19"/>
          <w:szCs w:val="19"/>
        </w:rPr>
        <w:t xml:space="preserve">, </w:t>
      </w:r>
      <w:r>
        <w:rPr>
          <w:rFonts w:ascii="Century Gothic" w:hAnsi="Century Gothic"/>
          <w:sz w:val="19"/>
          <w:szCs w:val="19"/>
        </w:rPr>
        <w:t xml:space="preserve">de acuerdo con el </w:t>
      </w:r>
      <w:r w:rsidRPr="00904947">
        <w:rPr>
          <w:rFonts w:ascii="Century Gothic" w:hAnsi="Century Gothic"/>
          <w:sz w:val="19"/>
          <w:szCs w:val="19"/>
        </w:rPr>
        <w:t xml:space="preserve">Calendario de </w:t>
      </w:r>
      <w:r>
        <w:rPr>
          <w:rFonts w:ascii="Century Gothic" w:hAnsi="Century Gothic"/>
          <w:sz w:val="19"/>
          <w:szCs w:val="19"/>
        </w:rPr>
        <w:t>D</w:t>
      </w:r>
      <w:r w:rsidRPr="00904947">
        <w:rPr>
          <w:rFonts w:ascii="Century Gothic" w:hAnsi="Century Gothic"/>
          <w:sz w:val="19"/>
          <w:szCs w:val="19"/>
        </w:rPr>
        <w:t>ifusión</w:t>
      </w:r>
      <w:r>
        <w:rPr>
          <w:rFonts w:ascii="Century Gothic" w:hAnsi="Century Gothic"/>
          <w:sz w:val="19"/>
          <w:szCs w:val="19"/>
        </w:rPr>
        <w:t>,</w:t>
      </w:r>
      <w:r w:rsidRPr="00904947">
        <w:rPr>
          <w:rFonts w:ascii="Century Gothic" w:hAnsi="Century Gothic"/>
          <w:sz w:val="19"/>
          <w:szCs w:val="19"/>
        </w:rPr>
        <w:t xml:space="preserve"> se otorga</w:t>
      </w:r>
      <w:r>
        <w:rPr>
          <w:rFonts w:ascii="Century Gothic" w:hAnsi="Century Gothic"/>
          <w:sz w:val="19"/>
          <w:szCs w:val="19"/>
        </w:rPr>
        <w:t>n</w:t>
      </w:r>
      <w:r w:rsidRPr="00904947">
        <w:rPr>
          <w:rFonts w:ascii="Century Gothic" w:hAnsi="Century Gothic"/>
          <w:sz w:val="19"/>
          <w:szCs w:val="19"/>
        </w:rPr>
        <w:t xml:space="preserve"> hasta 60 días naturales para la publicación de metadatos de censos de gobierno.</w:t>
      </w:r>
    </w:p>
    <w:p w14:paraId="447FF943" w14:textId="77777777" w:rsidR="00A67A6A" w:rsidRDefault="00A67A6A"/>
    <w:sectPr w:rsidR="00A67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39"/>
    <w:multiLevelType w:val="hybridMultilevel"/>
    <w:tmpl w:val="F25A2574"/>
    <w:lvl w:ilvl="0" w:tplc="4CDC2888">
      <w:start w:val="1"/>
      <w:numFmt w:val="bullet"/>
      <w:lvlText w:val="•"/>
      <w:lvlJc w:val="left"/>
      <w:pPr>
        <w:tabs>
          <w:tab w:val="num" w:pos="720"/>
        </w:tabs>
        <w:ind w:left="720" w:hanging="360"/>
      </w:pPr>
      <w:rPr>
        <w:rFonts w:ascii="Arial" w:hAnsi="Arial" w:hint="default"/>
      </w:rPr>
    </w:lvl>
    <w:lvl w:ilvl="1" w:tplc="58D6A616" w:tentative="1">
      <w:start w:val="1"/>
      <w:numFmt w:val="bullet"/>
      <w:lvlText w:val="•"/>
      <w:lvlJc w:val="left"/>
      <w:pPr>
        <w:tabs>
          <w:tab w:val="num" w:pos="1440"/>
        </w:tabs>
        <w:ind w:left="1440" w:hanging="360"/>
      </w:pPr>
      <w:rPr>
        <w:rFonts w:ascii="Arial" w:hAnsi="Arial" w:hint="default"/>
      </w:rPr>
    </w:lvl>
    <w:lvl w:ilvl="2" w:tplc="4008FED8" w:tentative="1">
      <w:start w:val="1"/>
      <w:numFmt w:val="bullet"/>
      <w:lvlText w:val="•"/>
      <w:lvlJc w:val="left"/>
      <w:pPr>
        <w:tabs>
          <w:tab w:val="num" w:pos="2160"/>
        </w:tabs>
        <w:ind w:left="2160" w:hanging="360"/>
      </w:pPr>
      <w:rPr>
        <w:rFonts w:ascii="Arial" w:hAnsi="Arial" w:hint="default"/>
      </w:rPr>
    </w:lvl>
    <w:lvl w:ilvl="3" w:tplc="6A1AD6F6" w:tentative="1">
      <w:start w:val="1"/>
      <w:numFmt w:val="bullet"/>
      <w:lvlText w:val="•"/>
      <w:lvlJc w:val="left"/>
      <w:pPr>
        <w:tabs>
          <w:tab w:val="num" w:pos="2880"/>
        </w:tabs>
        <w:ind w:left="2880" w:hanging="360"/>
      </w:pPr>
      <w:rPr>
        <w:rFonts w:ascii="Arial" w:hAnsi="Arial" w:hint="default"/>
      </w:rPr>
    </w:lvl>
    <w:lvl w:ilvl="4" w:tplc="37EEFF7C" w:tentative="1">
      <w:start w:val="1"/>
      <w:numFmt w:val="bullet"/>
      <w:lvlText w:val="•"/>
      <w:lvlJc w:val="left"/>
      <w:pPr>
        <w:tabs>
          <w:tab w:val="num" w:pos="3600"/>
        </w:tabs>
        <w:ind w:left="3600" w:hanging="360"/>
      </w:pPr>
      <w:rPr>
        <w:rFonts w:ascii="Arial" w:hAnsi="Arial" w:hint="default"/>
      </w:rPr>
    </w:lvl>
    <w:lvl w:ilvl="5" w:tplc="E15AB470" w:tentative="1">
      <w:start w:val="1"/>
      <w:numFmt w:val="bullet"/>
      <w:lvlText w:val="•"/>
      <w:lvlJc w:val="left"/>
      <w:pPr>
        <w:tabs>
          <w:tab w:val="num" w:pos="4320"/>
        </w:tabs>
        <w:ind w:left="4320" w:hanging="360"/>
      </w:pPr>
      <w:rPr>
        <w:rFonts w:ascii="Arial" w:hAnsi="Arial" w:hint="default"/>
      </w:rPr>
    </w:lvl>
    <w:lvl w:ilvl="6" w:tplc="BC56D8B4" w:tentative="1">
      <w:start w:val="1"/>
      <w:numFmt w:val="bullet"/>
      <w:lvlText w:val="•"/>
      <w:lvlJc w:val="left"/>
      <w:pPr>
        <w:tabs>
          <w:tab w:val="num" w:pos="5040"/>
        </w:tabs>
        <w:ind w:left="5040" w:hanging="360"/>
      </w:pPr>
      <w:rPr>
        <w:rFonts w:ascii="Arial" w:hAnsi="Arial" w:hint="default"/>
      </w:rPr>
    </w:lvl>
    <w:lvl w:ilvl="7" w:tplc="26CCAF50" w:tentative="1">
      <w:start w:val="1"/>
      <w:numFmt w:val="bullet"/>
      <w:lvlText w:val="•"/>
      <w:lvlJc w:val="left"/>
      <w:pPr>
        <w:tabs>
          <w:tab w:val="num" w:pos="5760"/>
        </w:tabs>
        <w:ind w:left="5760" w:hanging="360"/>
      </w:pPr>
      <w:rPr>
        <w:rFonts w:ascii="Arial" w:hAnsi="Arial" w:hint="default"/>
      </w:rPr>
    </w:lvl>
    <w:lvl w:ilvl="8" w:tplc="FC3AC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1F6247"/>
    <w:multiLevelType w:val="hybridMultilevel"/>
    <w:tmpl w:val="37CAC3F8"/>
    <w:lvl w:ilvl="0" w:tplc="869A63D4">
      <w:start w:val="1"/>
      <w:numFmt w:val="bullet"/>
      <w:lvlText w:val="•"/>
      <w:lvlJc w:val="left"/>
      <w:pPr>
        <w:tabs>
          <w:tab w:val="num" w:pos="720"/>
        </w:tabs>
        <w:ind w:left="720" w:hanging="360"/>
      </w:pPr>
      <w:rPr>
        <w:rFonts w:ascii="Arial" w:hAnsi="Arial" w:hint="default"/>
      </w:rPr>
    </w:lvl>
    <w:lvl w:ilvl="1" w:tplc="2F3EEC54" w:tentative="1">
      <w:start w:val="1"/>
      <w:numFmt w:val="bullet"/>
      <w:lvlText w:val="•"/>
      <w:lvlJc w:val="left"/>
      <w:pPr>
        <w:tabs>
          <w:tab w:val="num" w:pos="1440"/>
        </w:tabs>
        <w:ind w:left="1440" w:hanging="360"/>
      </w:pPr>
      <w:rPr>
        <w:rFonts w:ascii="Arial" w:hAnsi="Arial" w:hint="default"/>
      </w:rPr>
    </w:lvl>
    <w:lvl w:ilvl="2" w:tplc="1316B96A" w:tentative="1">
      <w:start w:val="1"/>
      <w:numFmt w:val="bullet"/>
      <w:lvlText w:val="•"/>
      <w:lvlJc w:val="left"/>
      <w:pPr>
        <w:tabs>
          <w:tab w:val="num" w:pos="2160"/>
        </w:tabs>
        <w:ind w:left="2160" w:hanging="360"/>
      </w:pPr>
      <w:rPr>
        <w:rFonts w:ascii="Arial" w:hAnsi="Arial" w:hint="default"/>
      </w:rPr>
    </w:lvl>
    <w:lvl w:ilvl="3" w:tplc="B8483890" w:tentative="1">
      <w:start w:val="1"/>
      <w:numFmt w:val="bullet"/>
      <w:lvlText w:val="•"/>
      <w:lvlJc w:val="left"/>
      <w:pPr>
        <w:tabs>
          <w:tab w:val="num" w:pos="2880"/>
        </w:tabs>
        <w:ind w:left="2880" w:hanging="360"/>
      </w:pPr>
      <w:rPr>
        <w:rFonts w:ascii="Arial" w:hAnsi="Arial" w:hint="default"/>
      </w:rPr>
    </w:lvl>
    <w:lvl w:ilvl="4" w:tplc="3BD6D91A" w:tentative="1">
      <w:start w:val="1"/>
      <w:numFmt w:val="bullet"/>
      <w:lvlText w:val="•"/>
      <w:lvlJc w:val="left"/>
      <w:pPr>
        <w:tabs>
          <w:tab w:val="num" w:pos="3600"/>
        </w:tabs>
        <w:ind w:left="3600" w:hanging="360"/>
      </w:pPr>
      <w:rPr>
        <w:rFonts w:ascii="Arial" w:hAnsi="Arial" w:hint="default"/>
      </w:rPr>
    </w:lvl>
    <w:lvl w:ilvl="5" w:tplc="7CCE9190" w:tentative="1">
      <w:start w:val="1"/>
      <w:numFmt w:val="bullet"/>
      <w:lvlText w:val="•"/>
      <w:lvlJc w:val="left"/>
      <w:pPr>
        <w:tabs>
          <w:tab w:val="num" w:pos="4320"/>
        </w:tabs>
        <w:ind w:left="4320" w:hanging="360"/>
      </w:pPr>
      <w:rPr>
        <w:rFonts w:ascii="Arial" w:hAnsi="Arial" w:hint="default"/>
      </w:rPr>
    </w:lvl>
    <w:lvl w:ilvl="6" w:tplc="E3A6EBBA" w:tentative="1">
      <w:start w:val="1"/>
      <w:numFmt w:val="bullet"/>
      <w:lvlText w:val="•"/>
      <w:lvlJc w:val="left"/>
      <w:pPr>
        <w:tabs>
          <w:tab w:val="num" w:pos="5040"/>
        </w:tabs>
        <w:ind w:left="5040" w:hanging="360"/>
      </w:pPr>
      <w:rPr>
        <w:rFonts w:ascii="Arial" w:hAnsi="Arial" w:hint="default"/>
      </w:rPr>
    </w:lvl>
    <w:lvl w:ilvl="7" w:tplc="CEF4076E" w:tentative="1">
      <w:start w:val="1"/>
      <w:numFmt w:val="bullet"/>
      <w:lvlText w:val="•"/>
      <w:lvlJc w:val="left"/>
      <w:pPr>
        <w:tabs>
          <w:tab w:val="num" w:pos="5760"/>
        </w:tabs>
        <w:ind w:left="5760" w:hanging="360"/>
      </w:pPr>
      <w:rPr>
        <w:rFonts w:ascii="Arial" w:hAnsi="Arial" w:hint="default"/>
      </w:rPr>
    </w:lvl>
    <w:lvl w:ilvl="8" w:tplc="7F22A5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1C3B74"/>
    <w:multiLevelType w:val="hybridMultilevel"/>
    <w:tmpl w:val="40F8FF8E"/>
    <w:lvl w:ilvl="0" w:tplc="8F6A3B6A">
      <w:start w:val="1"/>
      <w:numFmt w:val="bullet"/>
      <w:lvlText w:val="•"/>
      <w:lvlJc w:val="left"/>
      <w:pPr>
        <w:tabs>
          <w:tab w:val="num" w:pos="720"/>
        </w:tabs>
        <w:ind w:left="720" w:hanging="360"/>
      </w:pPr>
      <w:rPr>
        <w:rFonts w:ascii="Arial" w:hAnsi="Arial" w:hint="default"/>
      </w:rPr>
    </w:lvl>
    <w:lvl w:ilvl="1" w:tplc="B80A0CEE" w:tentative="1">
      <w:start w:val="1"/>
      <w:numFmt w:val="bullet"/>
      <w:lvlText w:val="•"/>
      <w:lvlJc w:val="left"/>
      <w:pPr>
        <w:tabs>
          <w:tab w:val="num" w:pos="1440"/>
        </w:tabs>
        <w:ind w:left="1440" w:hanging="360"/>
      </w:pPr>
      <w:rPr>
        <w:rFonts w:ascii="Arial" w:hAnsi="Arial" w:hint="default"/>
      </w:rPr>
    </w:lvl>
    <w:lvl w:ilvl="2" w:tplc="5DAAD406" w:tentative="1">
      <w:start w:val="1"/>
      <w:numFmt w:val="bullet"/>
      <w:lvlText w:val="•"/>
      <w:lvlJc w:val="left"/>
      <w:pPr>
        <w:tabs>
          <w:tab w:val="num" w:pos="2160"/>
        </w:tabs>
        <w:ind w:left="2160" w:hanging="360"/>
      </w:pPr>
      <w:rPr>
        <w:rFonts w:ascii="Arial" w:hAnsi="Arial" w:hint="default"/>
      </w:rPr>
    </w:lvl>
    <w:lvl w:ilvl="3" w:tplc="8B4AF76C" w:tentative="1">
      <w:start w:val="1"/>
      <w:numFmt w:val="bullet"/>
      <w:lvlText w:val="•"/>
      <w:lvlJc w:val="left"/>
      <w:pPr>
        <w:tabs>
          <w:tab w:val="num" w:pos="2880"/>
        </w:tabs>
        <w:ind w:left="2880" w:hanging="360"/>
      </w:pPr>
      <w:rPr>
        <w:rFonts w:ascii="Arial" w:hAnsi="Arial" w:hint="default"/>
      </w:rPr>
    </w:lvl>
    <w:lvl w:ilvl="4" w:tplc="844820CC" w:tentative="1">
      <w:start w:val="1"/>
      <w:numFmt w:val="bullet"/>
      <w:lvlText w:val="•"/>
      <w:lvlJc w:val="left"/>
      <w:pPr>
        <w:tabs>
          <w:tab w:val="num" w:pos="3600"/>
        </w:tabs>
        <w:ind w:left="3600" w:hanging="360"/>
      </w:pPr>
      <w:rPr>
        <w:rFonts w:ascii="Arial" w:hAnsi="Arial" w:hint="default"/>
      </w:rPr>
    </w:lvl>
    <w:lvl w:ilvl="5" w:tplc="815C0E38" w:tentative="1">
      <w:start w:val="1"/>
      <w:numFmt w:val="bullet"/>
      <w:lvlText w:val="•"/>
      <w:lvlJc w:val="left"/>
      <w:pPr>
        <w:tabs>
          <w:tab w:val="num" w:pos="4320"/>
        </w:tabs>
        <w:ind w:left="4320" w:hanging="360"/>
      </w:pPr>
      <w:rPr>
        <w:rFonts w:ascii="Arial" w:hAnsi="Arial" w:hint="default"/>
      </w:rPr>
    </w:lvl>
    <w:lvl w:ilvl="6" w:tplc="E19CD63C" w:tentative="1">
      <w:start w:val="1"/>
      <w:numFmt w:val="bullet"/>
      <w:lvlText w:val="•"/>
      <w:lvlJc w:val="left"/>
      <w:pPr>
        <w:tabs>
          <w:tab w:val="num" w:pos="5040"/>
        </w:tabs>
        <w:ind w:left="5040" w:hanging="360"/>
      </w:pPr>
      <w:rPr>
        <w:rFonts w:ascii="Arial" w:hAnsi="Arial" w:hint="default"/>
      </w:rPr>
    </w:lvl>
    <w:lvl w:ilvl="7" w:tplc="3438B618" w:tentative="1">
      <w:start w:val="1"/>
      <w:numFmt w:val="bullet"/>
      <w:lvlText w:val="•"/>
      <w:lvlJc w:val="left"/>
      <w:pPr>
        <w:tabs>
          <w:tab w:val="num" w:pos="5760"/>
        </w:tabs>
        <w:ind w:left="5760" w:hanging="360"/>
      </w:pPr>
      <w:rPr>
        <w:rFonts w:ascii="Arial" w:hAnsi="Arial" w:hint="default"/>
      </w:rPr>
    </w:lvl>
    <w:lvl w:ilvl="8" w:tplc="30DE29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C5"/>
    <w:rsid w:val="00895FC5"/>
    <w:rsid w:val="00A67A6A"/>
    <w:rsid w:val="00AC5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377E"/>
  <w15:chartTrackingRefBased/>
  <w15:docId w15:val="{E04B16F2-194A-4733-814E-26CA0D85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4D7"/>
  </w:style>
  <w:style w:type="paragraph" w:styleId="Ttulo1">
    <w:name w:val="heading 1"/>
    <w:basedOn w:val="Normal"/>
    <w:next w:val="Normal"/>
    <w:link w:val="Ttulo1Car"/>
    <w:uiPriority w:val="9"/>
    <w:qFormat/>
    <w:rsid w:val="00AC5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54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4208</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MENDOZA ALFONSO</dc:creator>
  <cp:keywords/>
  <dc:description/>
  <cp:lastModifiedBy>TAPIA MENDOZA ALFONSO</cp:lastModifiedBy>
  <cp:revision>2</cp:revision>
  <dcterms:created xsi:type="dcterms:W3CDTF">2022-05-17T14:18:00Z</dcterms:created>
  <dcterms:modified xsi:type="dcterms:W3CDTF">2022-05-17T14:19:00Z</dcterms:modified>
</cp:coreProperties>
</file>