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54E3" w14:textId="77777777" w:rsidR="00240D5F" w:rsidRPr="006060C8" w:rsidRDefault="00240D5F" w:rsidP="00240D5F">
      <w:pPr>
        <w:pStyle w:val="Ttulo1"/>
        <w:spacing w:before="40" w:after="40"/>
        <w:ind w:left="2835" w:hanging="2835"/>
        <w:rPr>
          <w:rFonts w:ascii="Century Gothic" w:eastAsiaTheme="minorHAnsi" w:hAnsi="Century Gothic" w:cstheme="minorBidi"/>
          <w:bCs/>
          <w:color w:val="0079BF"/>
          <w:sz w:val="24"/>
          <w:szCs w:val="24"/>
        </w:rPr>
      </w:pPr>
      <w:bookmarkStart w:id="0" w:name="_Toc99626581"/>
      <w:r>
        <w:rPr>
          <w:rFonts w:ascii="Century Gothic" w:eastAsiaTheme="minorHAnsi" w:hAnsi="Century Gothic" w:cstheme="minorBidi"/>
          <w:bCs/>
          <w:color w:val="0079BF"/>
          <w:sz w:val="24"/>
          <w:szCs w:val="24"/>
        </w:rPr>
        <w:t>III.4. I</w:t>
      </w:r>
      <w:r w:rsidRPr="006060C8">
        <w:rPr>
          <w:rFonts w:ascii="Century Gothic" w:eastAsiaTheme="minorHAnsi" w:hAnsi="Century Gothic" w:cstheme="minorBidi"/>
          <w:bCs/>
          <w:color w:val="0079BF"/>
          <w:sz w:val="24"/>
          <w:szCs w:val="24"/>
        </w:rPr>
        <w:t>ndicadores de puntualidad</w:t>
      </w:r>
      <w:bookmarkEnd w:id="0"/>
      <w:r w:rsidRPr="006060C8">
        <w:rPr>
          <w:rFonts w:ascii="Century Gothic" w:eastAsiaTheme="minorHAnsi" w:hAnsi="Century Gothic" w:cstheme="minorBidi"/>
          <w:bCs/>
          <w:color w:val="0079BF"/>
          <w:sz w:val="24"/>
          <w:szCs w:val="24"/>
        </w:rPr>
        <w:t xml:space="preserve"> </w:t>
      </w:r>
    </w:p>
    <w:p w14:paraId="7EB65CFB" w14:textId="77777777" w:rsidR="00240D5F" w:rsidRDefault="00240D5F" w:rsidP="00240D5F">
      <w:pPr>
        <w:spacing w:before="40" w:after="40"/>
        <w:jc w:val="both"/>
        <w:rPr>
          <w:rFonts w:ascii="Century Gothic" w:eastAsia="Calibri" w:hAnsi="Century Gothic"/>
          <w:spacing w:val="-1"/>
          <w:sz w:val="19"/>
          <w:szCs w:val="19"/>
        </w:rPr>
      </w:pPr>
    </w:p>
    <w:p w14:paraId="351A0531" w14:textId="77777777" w:rsidR="00240D5F" w:rsidRDefault="00240D5F" w:rsidP="00240D5F">
      <w:pPr>
        <w:spacing w:before="40" w:after="40"/>
        <w:jc w:val="both"/>
        <w:rPr>
          <w:rFonts w:ascii="Century Gothic" w:hAnsi="Century Gothic"/>
          <w:sz w:val="19"/>
          <w:szCs w:val="19"/>
        </w:rPr>
      </w:pPr>
      <w:r w:rsidRPr="00AA1496">
        <w:rPr>
          <w:rFonts w:ascii="Century Gothic" w:eastAsia="Calibri" w:hAnsi="Century Gothic"/>
          <w:spacing w:val="-1"/>
          <w:sz w:val="19"/>
          <w:szCs w:val="19"/>
        </w:rPr>
        <w:t>La puntualidad consiste en diseminar la información conforme a un calendario previamente establecido. La LSNIEG establece que, en el mes de diciembre de cada año, la Junta de Gobierno</w:t>
      </w:r>
      <w:r w:rsidRPr="00AA1496">
        <w:rPr>
          <w:rFonts w:ascii="Century Gothic" w:hAnsi="Century Gothic"/>
          <w:sz w:val="19"/>
          <w:szCs w:val="19"/>
        </w:rPr>
        <w:t xml:space="preserve"> aprueb</w:t>
      </w:r>
      <w:r>
        <w:rPr>
          <w:rFonts w:ascii="Century Gothic" w:hAnsi="Century Gothic"/>
          <w:sz w:val="19"/>
          <w:szCs w:val="19"/>
        </w:rPr>
        <w:t>e</w:t>
      </w:r>
      <w:r w:rsidRPr="00AA1496">
        <w:rPr>
          <w:rFonts w:ascii="Century Gothic" w:hAnsi="Century Gothic"/>
          <w:sz w:val="19"/>
          <w:szCs w:val="19"/>
        </w:rPr>
        <w:t xml:space="preserve"> el Calendario de Difusión </w:t>
      </w:r>
      <w:r>
        <w:rPr>
          <w:rFonts w:ascii="Century Gothic" w:hAnsi="Century Gothic"/>
          <w:sz w:val="19"/>
          <w:szCs w:val="19"/>
        </w:rPr>
        <w:t>en el cual se</w:t>
      </w:r>
      <w:r w:rsidRPr="00AA1496">
        <w:rPr>
          <w:rFonts w:ascii="Century Gothic" w:hAnsi="Century Gothic"/>
          <w:sz w:val="19"/>
          <w:szCs w:val="19"/>
        </w:rPr>
        <w:t xml:space="preserve"> establece la fecha y hora de publicación de la información estadística y geográfica para el año siguiente. Este </w:t>
      </w:r>
      <w:r>
        <w:rPr>
          <w:rFonts w:ascii="Century Gothic" w:hAnsi="Century Gothic"/>
          <w:sz w:val="19"/>
          <w:szCs w:val="19"/>
        </w:rPr>
        <w:t>c</w:t>
      </w:r>
      <w:r w:rsidRPr="00AA1496">
        <w:rPr>
          <w:rFonts w:ascii="Century Gothic" w:hAnsi="Century Gothic"/>
          <w:sz w:val="19"/>
          <w:szCs w:val="19"/>
        </w:rPr>
        <w:t>alendario se distribuye vía correo electrónico a usuarios estratégicos: periodistas, analistas, tomadores de decisiones, entre otros. Además, se publica en el sitio del INEGI en Internet</w:t>
      </w:r>
      <w:r>
        <w:rPr>
          <w:rFonts w:ascii="Century Gothic" w:hAnsi="Century Gothic"/>
          <w:sz w:val="19"/>
          <w:szCs w:val="19"/>
        </w:rPr>
        <w:t xml:space="preserve"> y </w:t>
      </w:r>
      <w:r w:rsidRPr="00AA1496">
        <w:rPr>
          <w:rFonts w:ascii="Century Gothic" w:hAnsi="Century Gothic"/>
          <w:sz w:val="19"/>
          <w:szCs w:val="19"/>
        </w:rPr>
        <w:t xml:space="preserve">se revisa de manera </w:t>
      </w:r>
      <w:r>
        <w:rPr>
          <w:rFonts w:ascii="Century Gothic" w:hAnsi="Century Gothic"/>
          <w:sz w:val="19"/>
          <w:szCs w:val="19"/>
        </w:rPr>
        <w:t>semestral</w:t>
      </w:r>
      <w:r w:rsidRPr="00AA1496">
        <w:rPr>
          <w:rFonts w:ascii="Century Gothic" w:hAnsi="Century Gothic"/>
          <w:sz w:val="19"/>
          <w:szCs w:val="19"/>
        </w:rPr>
        <w:t xml:space="preserve"> por la Junta de Gobierno del Instituto.</w:t>
      </w:r>
      <w:r>
        <w:rPr>
          <w:rFonts w:ascii="Century Gothic" w:hAnsi="Century Gothic"/>
          <w:sz w:val="19"/>
          <w:szCs w:val="19"/>
        </w:rPr>
        <w:t xml:space="preserve">  </w:t>
      </w:r>
    </w:p>
    <w:p w14:paraId="4245F3F4" w14:textId="77777777" w:rsidR="00240D5F" w:rsidRDefault="00240D5F" w:rsidP="00240D5F">
      <w:pPr>
        <w:spacing w:before="40" w:after="40"/>
        <w:jc w:val="both"/>
        <w:rPr>
          <w:rFonts w:ascii="Century Gothic" w:hAnsi="Century Gothic"/>
          <w:sz w:val="19"/>
          <w:szCs w:val="19"/>
        </w:rPr>
      </w:pPr>
    </w:p>
    <w:p w14:paraId="10ACB89A" w14:textId="77777777" w:rsidR="00240D5F" w:rsidRDefault="00240D5F" w:rsidP="00240D5F">
      <w:pPr>
        <w:spacing w:before="40" w:after="40"/>
        <w:jc w:val="both"/>
        <w:rPr>
          <w:rFonts w:ascii="Century Gothic" w:hAnsi="Century Gothic"/>
          <w:sz w:val="19"/>
          <w:szCs w:val="19"/>
        </w:rPr>
      </w:pPr>
      <w:r>
        <w:rPr>
          <w:rFonts w:ascii="Century Gothic" w:hAnsi="Century Gothic"/>
          <w:sz w:val="19"/>
          <w:szCs w:val="19"/>
        </w:rPr>
        <w:t>Como puede observarse en el cuadro III.4.1, el p</w:t>
      </w:r>
      <w:r w:rsidRPr="00350696">
        <w:rPr>
          <w:rFonts w:ascii="Century Gothic" w:hAnsi="Century Gothic"/>
          <w:sz w:val="19"/>
          <w:szCs w:val="19"/>
        </w:rPr>
        <w:t>orcentaje de programas estadísticos y geográficos publicados en el sitio del INEGI</w:t>
      </w:r>
      <w:r>
        <w:rPr>
          <w:rFonts w:ascii="Century Gothic" w:hAnsi="Century Gothic"/>
          <w:sz w:val="19"/>
          <w:szCs w:val="19"/>
        </w:rPr>
        <w:t>,</w:t>
      </w:r>
      <w:r w:rsidRPr="00350696">
        <w:rPr>
          <w:rFonts w:ascii="Century Gothic" w:hAnsi="Century Gothic"/>
          <w:sz w:val="19"/>
          <w:szCs w:val="19"/>
        </w:rPr>
        <w:t xml:space="preserve"> cuya fecha de publicación se comprometió en el </w:t>
      </w:r>
      <w:r>
        <w:rPr>
          <w:rFonts w:ascii="Century Gothic" w:hAnsi="Century Gothic"/>
          <w:sz w:val="19"/>
          <w:szCs w:val="19"/>
        </w:rPr>
        <w:t>C</w:t>
      </w:r>
      <w:r w:rsidRPr="00350696">
        <w:rPr>
          <w:rFonts w:ascii="Century Gothic" w:hAnsi="Century Gothic"/>
          <w:sz w:val="19"/>
          <w:szCs w:val="19"/>
        </w:rPr>
        <w:t xml:space="preserve">alendario de </w:t>
      </w:r>
      <w:r>
        <w:rPr>
          <w:rFonts w:ascii="Century Gothic" w:hAnsi="Century Gothic"/>
          <w:sz w:val="19"/>
          <w:szCs w:val="19"/>
        </w:rPr>
        <w:t>D</w:t>
      </w:r>
      <w:r w:rsidRPr="00350696">
        <w:rPr>
          <w:rFonts w:ascii="Century Gothic" w:hAnsi="Century Gothic"/>
          <w:sz w:val="19"/>
          <w:szCs w:val="19"/>
        </w:rPr>
        <w:t>ifusión</w:t>
      </w:r>
      <w:r>
        <w:rPr>
          <w:rFonts w:ascii="Century Gothic" w:hAnsi="Century Gothic"/>
          <w:sz w:val="19"/>
          <w:szCs w:val="19"/>
        </w:rPr>
        <w:t>, se ha mantenido por arriba del 95%, y el p</w:t>
      </w:r>
      <w:r w:rsidRPr="00350696">
        <w:rPr>
          <w:rFonts w:ascii="Century Gothic" w:hAnsi="Century Gothic"/>
          <w:sz w:val="19"/>
          <w:szCs w:val="19"/>
        </w:rPr>
        <w:t xml:space="preserve">orcentaje de programas incluidos en el </w:t>
      </w:r>
      <w:r>
        <w:rPr>
          <w:rFonts w:ascii="Century Gothic" w:hAnsi="Century Gothic"/>
          <w:sz w:val="19"/>
          <w:szCs w:val="19"/>
        </w:rPr>
        <w:t>C</w:t>
      </w:r>
      <w:r w:rsidRPr="00350696">
        <w:rPr>
          <w:rFonts w:ascii="Century Gothic" w:hAnsi="Century Gothic"/>
          <w:sz w:val="19"/>
          <w:szCs w:val="19"/>
        </w:rPr>
        <w:t xml:space="preserve">alendario de </w:t>
      </w:r>
      <w:r>
        <w:rPr>
          <w:rFonts w:ascii="Century Gothic" w:hAnsi="Century Gothic"/>
          <w:sz w:val="19"/>
          <w:szCs w:val="19"/>
        </w:rPr>
        <w:t>D</w:t>
      </w:r>
      <w:r w:rsidRPr="00350696">
        <w:rPr>
          <w:rFonts w:ascii="Century Gothic" w:hAnsi="Century Gothic"/>
          <w:sz w:val="19"/>
          <w:szCs w:val="19"/>
        </w:rPr>
        <w:t>ifusión que fueron publicados puntualmente</w:t>
      </w:r>
      <w:r>
        <w:rPr>
          <w:rFonts w:ascii="Century Gothic" w:hAnsi="Century Gothic"/>
          <w:sz w:val="19"/>
          <w:szCs w:val="19"/>
        </w:rPr>
        <w:t>, se recuperó respecto a la disminución observada en 2020 derivada de las cancelaciones y reprogramaciones de información por la emergencia sanitaria</w:t>
      </w:r>
      <w:r w:rsidRPr="00350696">
        <w:rPr>
          <w:rFonts w:ascii="Century Gothic" w:hAnsi="Century Gothic"/>
          <w:sz w:val="19"/>
          <w:szCs w:val="19"/>
        </w:rPr>
        <w:t>.</w:t>
      </w:r>
    </w:p>
    <w:p w14:paraId="4D32A112" w14:textId="77777777" w:rsidR="00240D5F" w:rsidRDefault="00240D5F" w:rsidP="00240D5F">
      <w:pPr>
        <w:spacing w:before="40" w:after="40"/>
        <w:jc w:val="both"/>
        <w:rPr>
          <w:rFonts w:ascii="Century Gothic" w:hAnsi="Century Gothic"/>
          <w:sz w:val="19"/>
          <w:szCs w:val="19"/>
        </w:rPr>
      </w:pPr>
    </w:p>
    <w:p w14:paraId="2A5A0110" w14:textId="77777777" w:rsidR="00240D5F" w:rsidRPr="00C656F0" w:rsidRDefault="00240D5F" w:rsidP="00240D5F">
      <w:pPr>
        <w:spacing w:before="40" w:after="40"/>
        <w:jc w:val="center"/>
        <w:rPr>
          <w:rFonts w:ascii="Century Gothic" w:hAnsi="Century Gothic"/>
          <w:sz w:val="19"/>
          <w:szCs w:val="19"/>
        </w:rPr>
      </w:pPr>
      <w:r>
        <w:rPr>
          <w:rFonts w:ascii="Century Gothic" w:hAnsi="Century Gothic"/>
          <w:b/>
          <w:sz w:val="19"/>
          <w:szCs w:val="19"/>
        </w:rPr>
        <w:t>III.4.1.</w:t>
      </w:r>
      <w:r w:rsidRPr="00E222C3">
        <w:rPr>
          <w:rFonts w:ascii="Century Gothic" w:hAnsi="Century Gothic"/>
          <w:b/>
          <w:sz w:val="19"/>
          <w:szCs w:val="19"/>
        </w:rPr>
        <w:t xml:space="preserve"> </w:t>
      </w:r>
      <w:r>
        <w:rPr>
          <w:rFonts w:ascii="Century Gothic" w:hAnsi="Century Gothic"/>
          <w:b/>
          <w:sz w:val="19"/>
          <w:szCs w:val="19"/>
        </w:rPr>
        <w:t>Resultados de los indicadores de puntualidad</w:t>
      </w:r>
    </w:p>
    <w:tbl>
      <w:tblPr>
        <w:tblW w:w="92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5807"/>
        <w:gridCol w:w="850"/>
        <w:gridCol w:w="851"/>
        <w:gridCol w:w="850"/>
        <w:gridCol w:w="856"/>
      </w:tblGrid>
      <w:tr w:rsidR="00240D5F" w:rsidRPr="007B0060" w14:paraId="43A27193" w14:textId="77777777" w:rsidTr="00240D5F">
        <w:trPr>
          <w:trHeight w:val="338"/>
          <w:tblHeader/>
          <w:jc w:val="center"/>
        </w:trPr>
        <w:tc>
          <w:tcPr>
            <w:tcW w:w="5807" w:type="dxa"/>
            <w:shd w:val="clear" w:color="000000" w:fill="002060"/>
            <w:vAlign w:val="center"/>
            <w:hideMark/>
          </w:tcPr>
          <w:p w14:paraId="59E78E44" w14:textId="77777777" w:rsidR="00240D5F" w:rsidRPr="005E0655" w:rsidRDefault="00240D5F"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 xml:space="preserve">Indicadores de puntualidad </w:t>
            </w:r>
          </w:p>
        </w:tc>
        <w:tc>
          <w:tcPr>
            <w:tcW w:w="850" w:type="dxa"/>
            <w:shd w:val="clear" w:color="000000" w:fill="002060"/>
            <w:vAlign w:val="center"/>
            <w:hideMark/>
          </w:tcPr>
          <w:p w14:paraId="23499D2C" w14:textId="77777777" w:rsidR="00240D5F" w:rsidRPr="005E0655" w:rsidRDefault="00240D5F"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2018</w:t>
            </w:r>
          </w:p>
        </w:tc>
        <w:tc>
          <w:tcPr>
            <w:tcW w:w="851" w:type="dxa"/>
            <w:shd w:val="clear" w:color="000000" w:fill="002060"/>
            <w:vAlign w:val="center"/>
          </w:tcPr>
          <w:p w14:paraId="5A1F6BFD" w14:textId="77777777" w:rsidR="00240D5F" w:rsidRPr="005E0655" w:rsidRDefault="00240D5F"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2019</w:t>
            </w:r>
          </w:p>
        </w:tc>
        <w:tc>
          <w:tcPr>
            <w:tcW w:w="850" w:type="dxa"/>
            <w:shd w:val="clear" w:color="000000" w:fill="002060"/>
            <w:vAlign w:val="center"/>
          </w:tcPr>
          <w:p w14:paraId="027E9BEF" w14:textId="77777777" w:rsidR="00240D5F" w:rsidRPr="005E0655" w:rsidRDefault="00240D5F"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2020</w:t>
            </w:r>
          </w:p>
        </w:tc>
        <w:tc>
          <w:tcPr>
            <w:tcW w:w="856" w:type="dxa"/>
            <w:shd w:val="clear" w:color="000000" w:fill="002060"/>
            <w:vAlign w:val="center"/>
          </w:tcPr>
          <w:p w14:paraId="4E30DD31" w14:textId="77777777" w:rsidR="00240D5F" w:rsidRPr="005E0655" w:rsidRDefault="00240D5F"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2021</w:t>
            </w:r>
          </w:p>
        </w:tc>
      </w:tr>
      <w:tr w:rsidR="00240D5F" w:rsidRPr="007B0060" w14:paraId="33EA7FA2" w14:textId="77777777" w:rsidTr="00240D5F">
        <w:trPr>
          <w:trHeight w:val="740"/>
          <w:jc w:val="center"/>
        </w:trPr>
        <w:tc>
          <w:tcPr>
            <w:tcW w:w="5807" w:type="dxa"/>
            <w:shd w:val="clear" w:color="000000" w:fill="F2F2F2"/>
            <w:noWrap/>
            <w:vAlign w:val="center"/>
          </w:tcPr>
          <w:p w14:paraId="49EBFDE7" w14:textId="77777777" w:rsidR="00240D5F" w:rsidRPr="001A084A" w:rsidRDefault="00240D5F" w:rsidP="00EF2651">
            <w:pPr>
              <w:spacing w:before="40" w:after="40"/>
              <w:ind w:left="142"/>
              <w:jc w:val="both"/>
              <w:rPr>
                <w:rFonts w:ascii="Century Gothic" w:eastAsia="Times New Roman" w:hAnsi="Century Gothic" w:cs="Calibri"/>
                <w:iCs/>
                <w:color w:val="000000"/>
                <w:sz w:val="16"/>
                <w:szCs w:val="16"/>
                <w:lang w:eastAsia="es-MX"/>
              </w:rPr>
            </w:pPr>
            <w:r w:rsidRPr="001A084A">
              <w:rPr>
                <w:rFonts w:ascii="Century Gothic" w:hAnsi="Century Gothic"/>
                <w:b/>
                <w:iCs/>
                <w:sz w:val="16"/>
                <w:szCs w:val="16"/>
              </w:rPr>
              <w:t>P1</w:t>
            </w:r>
            <w:r w:rsidRPr="001A084A">
              <w:rPr>
                <w:rFonts w:ascii="Century Gothic" w:hAnsi="Century Gothic"/>
                <w:iCs/>
                <w:sz w:val="16"/>
                <w:szCs w:val="16"/>
              </w:rPr>
              <w:t xml:space="preserve">. Porcentaje de </w:t>
            </w:r>
            <w:r>
              <w:rPr>
                <w:rFonts w:ascii="Century Gothic" w:hAnsi="Century Gothic"/>
                <w:iCs/>
                <w:sz w:val="16"/>
                <w:szCs w:val="16"/>
              </w:rPr>
              <w:t>productos</w:t>
            </w:r>
            <w:r w:rsidRPr="001A084A">
              <w:rPr>
                <w:rFonts w:ascii="Century Gothic" w:hAnsi="Century Gothic"/>
                <w:iCs/>
                <w:sz w:val="16"/>
                <w:szCs w:val="16"/>
              </w:rPr>
              <w:t xml:space="preserve"> estadísticos y geográficos publicados en el sitio del INEGI cuya fecha de pu</w:t>
            </w:r>
            <w:r>
              <w:rPr>
                <w:rFonts w:ascii="Century Gothic" w:hAnsi="Century Gothic"/>
                <w:iCs/>
                <w:sz w:val="16"/>
                <w:szCs w:val="16"/>
              </w:rPr>
              <w:t>blicación se comprometió en el C</w:t>
            </w:r>
            <w:r w:rsidRPr="001A084A">
              <w:rPr>
                <w:rFonts w:ascii="Century Gothic" w:hAnsi="Century Gothic"/>
                <w:iCs/>
                <w:sz w:val="16"/>
                <w:szCs w:val="16"/>
              </w:rPr>
              <w:t xml:space="preserve">alendario de </w:t>
            </w:r>
            <w:r>
              <w:rPr>
                <w:rFonts w:ascii="Century Gothic" w:hAnsi="Century Gothic"/>
                <w:iCs/>
                <w:sz w:val="16"/>
                <w:szCs w:val="16"/>
              </w:rPr>
              <w:t>D</w:t>
            </w:r>
            <w:r w:rsidRPr="001A084A">
              <w:rPr>
                <w:rFonts w:ascii="Century Gothic" w:hAnsi="Century Gothic"/>
                <w:iCs/>
                <w:sz w:val="16"/>
                <w:szCs w:val="16"/>
              </w:rPr>
              <w:t>ifusión de información estadística y geográfica y de Interés Nacional del INEGI.</w:t>
            </w:r>
          </w:p>
        </w:tc>
        <w:tc>
          <w:tcPr>
            <w:tcW w:w="850" w:type="dxa"/>
            <w:shd w:val="clear" w:color="000000" w:fill="F2F2F2"/>
            <w:noWrap/>
            <w:vAlign w:val="center"/>
          </w:tcPr>
          <w:p w14:paraId="7D78572A"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95%</w:t>
            </w:r>
          </w:p>
        </w:tc>
        <w:tc>
          <w:tcPr>
            <w:tcW w:w="851" w:type="dxa"/>
            <w:shd w:val="clear" w:color="000000" w:fill="F2F2F2"/>
            <w:vAlign w:val="center"/>
          </w:tcPr>
          <w:p w14:paraId="0CB4D4B5"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97%</w:t>
            </w:r>
          </w:p>
        </w:tc>
        <w:tc>
          <w:tcPr>
            <w:tcW w:w="850" w:type="dxa"/>
            <w:shd w:val="clear" w:color="000000" w:fill="F2F2F2"/>
            <w:vAlign w:val="center"/>
          </w:tcPr>
          <w:p w14:paraId="1050CD58"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96</w:t>
            </w:r>
            <w:r>
              <w:rPr>
                <w:rFonts w:ascii="Century Gothic" w:eastAsia="Times New Roman" w:hAnsi="Century Gothic" w:cs="Calibri"/>
                <w:color w:val="000000"/>
                <w:sz w:val="16"/>
                <w:szCs w:val="16"/>
                <w:lang w:eastAsia="es-MX"/>
              </w:rPr>
              <w:t>.0</w:t>
            </w:r>
            <w:r w:rsidRPr="005E0655">
              <w:rPr>
                <w:rFonts w:ascii="Century Gothic" w:eastAsia="Times New Roman" w:hAnsi="Century Gothic" w:cs="Calibri"/>
                <w:color w:val="000000"/>
                <w:sz w:val="16"/>
                <w:szCs w:val="16"/>
                <w:lang w:eastAsia="es-MX"/>
              </w:rPr>
              <w:t>%</w:t>
            </w:r>
          </w:p>
        </w:tc>
        <w:tc>
          <w:tcPr>
            <w:tcW w:w="856" w:type="dxa"/>
            <w:shd w:val="clear" w:color="000000" w:fill="F2F2F2"/>
            <w:vAlign w:val="center"/>
          </w:tcPr>
          <w:p w14:paraId="06E2552E"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97</w:t>
            </w:r>
            <w:r w:rsidRPr="005E0655">
              <w:rPr>
                <w:rFonts w:ascii="Century Gothic" w:eastAsia="Times New Roman" w:hAnsi="Century Gothic" w:cs="Calibri"/>
                <w:sz w:val="16"/>
                <w:szCs w:val="16"/>
                <w:lang w:eastAsia="es-MX"/>
              </w:rPr>
              <w:t>%</w:t>
            </w:r>
          </w:p>
        </w:tc>
      </w:tr>
      <w:tr w:rsidR="00240D5F" w:rsidRPr="007B0060" w14:paraId="4F186B37" w14:textId="77777777" w:rsidTr="00240D5F">
        <w:trPr>
          <w:trHeight w:val="737"/>
          <w:jc w:val="center"/>
        </w:trPr>
        <w:tc>
          <w:tcPr>
            <w:tcW w:w="5807" w:type="dxa"/>
            <w:shd w:val="clear" w:color="000000" w:fill="BDD7EE"/>
            <w:noWrap/>
            <w:vAlign w:val="center"/>
          </w:tcPr>
          <w:p w14:paraId="462F2CFD" w14:textId="77777777" w:rsidR="00240D5F" w:rsidRPr="001A084A" w:rsidRDefault="00240D5F" w:rsidP="00EF2651">
            <w:pPr>
              <w:spacing w:before="40" w:after="40"/>
              <w:ind w:left="142"/>
              <w:jc w:val="both"/>
              <w:rPr>
                <w:rFonts w:ascii="Century Gothic" w:eastAsia="Times New Roman" w:hAnsi="Century Gothic" w:cs="Calibri"/>
                <w:iCs/>
                <w:color w:val="000000"/>
                <w:sz w:val="16"/>
                <w:szCs w:val="16"/>
                <w:lang w:eastAsia="es-MX"/>
              </w:rPr>
            </w:pPr>
            <w:r w:rsidRPr="001A084A">
              <w:rPr>
                <w:rFonts w:ascii="Century Gothic" w:hAnsi="Century Gothic"/>
                <w:b/>
                <w:iCs/>
                <w:sz w:val="16"/>
                <w:szCs w:val="16"/>
              </w:rPr>
              <w:t>P2.</w:t>
            </w:r>
            <w:r w:rsidRPr="001A084A">
              <w:rPr>
                <w:rFonts w:ascii="Century Gothic" w:hAnsi="Century Gothic"/>
                <w:iCs/>
                <w:sz w:val="16"/>
                <w:szCs w:val="16"/>
              </w:rPr>
              <w:t xml:space="preserve"> Porcentaje de </w:t>
            </w:r>
            <w:r>
              <w:rPr>
                <w:rFonts w:ascii="Century Gothic" w:hAnsi="Century Gothic"/>
                <w:iCs/>
                <w:sz w:val="16"/>
                <w:szCs w:val="16"/>
              </w:rPr>
              <w:t>productos</w:t>
            </w:r>
            <w:r w:rsidRPr="001A084A">
              <w:rPr>
                <w:rFonts w:ascii="Century Gothic" w:hAnsi="Century Gothic"/>
                <w:iCs/>
                <w:sz w:val="16"/>
                <w:szCs w:val="16"/>
              </w:rPr>
              <w:t xml:space="preserve"> estadísticos y geográ</w:t>
            </w:r>
            <w:r>
              <w:rPr>
                <w:rFonts w:ascii="Century Gothic" w:hAnsi="Century Gothic"/>
                <w:iCs/>
                <w:sz w:val="16"/>
                <w:szCs w:val="16"/>
              </w:rPr>
              <w:t>ficos incluidos en el C</w:t>
            </w:r>
            <w:r w:rsidRPr="001A084A">
              <w:rPr>
                <w:rFonts w:ascii="Century Gothic" w:hAnsi="Century Gothic"/>
                <w:iCs/>
                <w:sz w:val="16"/>
                <w:szCs w:val="16"/>
              </w:rPr>
              <w:t xml:space="preserve">alendario de </w:t>
            </w:r>
            <w:r>
              <w:rPr>
                <w:rFonts w:ascii="Century Gothic" w:hAnsi="Century Gothic"/>
                <w:iCs/>
                <w:sz w:val="16"/>
                <w:szCs w:val="16"/>
              </w:rPr>
              <w:t>D</w:t>
            </w:r>
            <w:r w:rsidRPr="001A084A">
              <w:rPr>
                <w:rFonts w:ascii="Century Gothic" w:hAnsi="Century Gothic"/>
                <w:iCs/>
                <w:sz w:val="16"/>
                <w:szCs w:val="16"/>
              </w:rPr>
              <w:t>ifusión de información estadística y geográfica y de Interés Nacional del INEGI que fueron publicados puntualmente.</w:t>
            </w:r>
          </w:p>
        </w:tc>
        <w:tc>
          <w:tcPr>
            <w:tcW w:w="850" w:type="dxa"/>
            <w:shd w:val="clear" w:color="000000" w:fill="BDD7EE"/>
            <w:noWrap/>
            <w:vAlign w:val="center"/>
          </w:tcPr>
          <w:p w14:paraId="1ADDB629"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99%</w:t>
            </w:r>
          </w:p>
        </w:tc>
        <w:tc>
          <w:tcPr>
            <w:tcW w:w="851" w:type="dxa"/>
            <w:shd w:val="clear" w:color="000000" w:fill="BDD7EE"/>
            <w:vAlign w:val="center"/>
          </w:tcPr>
          <w:p w14:paraId="46A20AFA"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99%</w:t>
            </w:r>
          </w:p>
        </w:tc>
        <w:tc>
          <w:tcPr>
            <w:tcW w:w="850" w:type="dxa"/>
            <w:shd w:val="clear" w:color="000000" w:fill="BDD7EE"/>
            <w:vAlign w:val="center"/>
          </w:tcPr>
          <w:p w14:paraId="518BE89E" w14:textId="77777777" w:rsidR="00240D5F" w:rsidRPr="005E0655" w:rsidRDefault="00240D5F" w:rsidP="00EF2651">
            <w:pPr>
              <w:spacing w:before="40" w:after="40" w:line="240" w:lineRule="auto"/>
              <w:contextualSpacing/>
              <w:jc w:val="center"/>
              <w:rPr>
                <w:rFonts w:ascii="Century Gothic" w:eastAsia="Times New Roman" w:hAnsi="Century Gothic" w:cs="Calibri"/>
                <w:sz w:val="16"/>
                <w:szCs w:val="16"/>
                <w:lang w:eastAsia="es-MX"/>
              </w:rPr>
            </w:pPr>
            <w:r w:rsidRPr="005E0655">
              <w:rPr>
                <w:rFonts w:ascii="Century Gothic" w:eastAsia="Times New Roman" w:hAnsi="Century Gothic" w:cs="Calibri"/>
                <w:color w:val="000000"/>
                <w:sz w:val="16"/>
                <w:szCs w:val="16"/>
                <w:lang w:eastAsia="es-MX"/>
              </w:rPr>
              <w:t>9</w:t>
            </w:r>
            <w:r>
              <w:rPr>
                <w:rFonts w:ascii="Century Gothic" w:eastAsia="Times New Roman" w:hAnsi="Century Gothic" w:cs="Calibri"/>
                <w:color w:val="000000"/>
                <w:sz w:val="16"/>
                <w:szCs w:val="16"/>
                <w:lang w:eastAsia="es-MX"/>
              </w:rPr>
              <w:t>6</w:t>
            </w:r>
            <w:r w:rsidRPr="005E0655">
              <w:rPr>
                <w:rFonts w:ascii="Century Gothic" w:eastAsia="Times New Roman" w:hAnsi="Century Gothic" w:cs="Calibri"/>
                <w:sz w:val="16"/>
                <w:szCs w:val="16"/>
                <w:lang w:eastAsia="es-MX"/>
              </w:rPr>
              <w:t>%</w:t>
            </w:r>
          </w:p>
        </w:tc>
        <w:tc>
          <w:tcPr>
            <w:tcW w:w="856" w:type="dxa"/>
            <w:shd w:val="clear" w:color="000000" w:fill="BDD7EE"/>
            <w:vAlign w:val="center"/>
          </w:tcPr>
          <w:p w14:paraId="7F67E064" w14:textId="77777777" w:rsidR="00240D5F" w:rsidRPr="005E0655" w:rsidRDefault="00240D5F" w:rsidP="00EF2651">
            <w:pPr>
              <w:spacing w:before="40" w:after="40" w:line="240" w:lineRule="auto"/>
              <w:contextualSpacing/>
              <w:jc w:val="center"/>
              <w:rPr>
                <w:rFonts w:ascii="Century Gothic" w:eastAsia="Times New Roman" w:hAnsi="Century Gothic" w:cs="Calibri"/>
                <w:color w:val="000000"/>
                <w:sz w:val="16"/>
                <w:szCs w:val="16"/>
                <w:lang w:eastAsia="es-MX"/>
              </w:rPr>
            </w:pPr>
            <w:r w:rsidRPr="005E0655">
              <w:rPr>
                <w:rFonts w:ascii="Century Gothic" w:eastAsia="Times New Roman" w:hAnsi="Century Gothic" w:cs="Calibri"/>
                <w:color w:val="000000"/>
                <w:sz w:val="16"/>
                <w:szCs w:val="16"/>
                <w:lang w:eastAsia="es-MX"/>
              </w:rPr>
              <w:t>100</w:t>
            </w:r>
            <w:r w:rsidRPr="005E0655">
              <w:rPr>
                <w:rFonts w:ascii="Century Gothic" w:eastAsia="Times New Roman" w:hAnsi="Century Gothic" w:cs="Calibri"/>
                <w:sz w:val="16"/>
                <w:szCs w:val="16"/>
                <w:lang w:eastAsia="es-MX"/>
              </w:rPr>
              <w:t>%</w:t>
            </w:r>
          </w:p>
        </w:tc>
      </w:tr>
    </w:tbl>
    <w:p w14:paraId="76D605CD" w14:textId="77777777" w:rsidR="00240D5F" w:rsidRDefault="00240D5F" w:rsidP="00240D5F">
      <w:pPr>
        <w:spacing w:before="40" w:after="40"/>
        <w:jc w:val="both"/>
        <w:rPr>
          <w:rFonts w:ascii="Century Gothic" w:hAnsi="Century Gothic"/>
          <w:sz w:val="19"/>
          <w:szCs w:val="19"/>
        </w:rPr>
      </w:pPr>
    </w:p>
    <w:p w14:paraId="0BA98E19" w14:textId="77777777" w:rsidR="00240D5F" w:rsidRDefault="00240D5F" w:rsidP="00240D5F">
      <w:pPr>
        <w:spacing w:before="40" w:after="40"/>
        <w:jc w:val="both"/>
        <w:rPr>
          <w:rFonts w:ascii="Century Gothic" w:hAnsi="Century Gothic"/>
          <w:sz w:val="19"/>
          <w:szCs w:val="19"/>
        </w:rPr>
      </w:pPr>
      <w:r>
        <w:rPr>
          <w:rFonts w:ascii="Century Gothic" w:hAnsi="Century Gothic"/>
          <w:sz w:val="19"/>
          <w:szCs w:val="19"/>
        </w:rPr>
        <w:t>Si bien el porcentaje de productos de información que se incluyen en el Calendario de Difusión es alto (97%), es importante continuar los esfuerzos para que los usuarios conozcan las fechas en que se publicará la información en la página del Instituto. De los 11</w:t>
      </w:r>
      <w:r w:rsidRPr="00C940FE">
        <w:rPr>
          <w:rFonts w:ascii="Century Gothic" w:hAnsi="Century Gothic"/>
          <w:sz w:val="19"/>
          <w:szCs w:val="19"/>
        </w:rPr>
        <w:t xml:space="preserve"> programas que no fueron </w:t>
      </w:r>
      <w:r>
        <w:rPr>
          <w:rFonts w:ascii="Century Gothic" w:hAnsi="Century Gothic"/>
          <w:sz w:val="19"/>
          <w:szCs w:val="19"/>
        </w:rPr>
        <w:t>incluidos en el C</w:t>
      </w:r>
      <w:r w:rsidRPr="00C940FE">
        <w:rPr>
          <w:rFonts w:ascii="Century Gothic" w:hAnsi="Century Gothic"/>
          <w:sz w:val="19"/>
          <w:szCs w:val="19"/>
        </w:rPr>
        <w:t xml:space="preserve">alendario </w:t>
      </w:r>
      <w:r>
        <w:rPr>
          <w:rFonts w:ascii="Century Gothic" w:hAnsi="Century Gothic"/>
          <w:sz w:val="19"/>
          <w:szCs w:val="19"/>
        </w:rPr>
        <w:t xml:space="preserve">de Difusión, financiados exclusivamente con recursos del INEGI, sólo dos </w:t>
      </w:r>
      <w:r w:rsidRPr="00C940FE">
        <w:rPr>
          <w:rFonts w:ascii="Century Gothic" w:hAnsi="Century Gothic"/>
          <w:sz w:val="19"/>
          <w:szCs w:val="19"/>
        </w:rPr>
        <w:t>corresponde</w:t>
      </w:r>
      <w:r>
        <w:rPr>
          <w:rFonts w:ascii="Century Gothic" w:hAnsi="Century Gothic"/>
          <w:sz w:val="19"/>
          <w:szCs w:val="19"/>
        </w:rPr>
        <w:t>n</w:t>
      </w:r>
      <w:r w:rsidRPr="00C940FE">
        <w:rPr>
          <w:rFonts w:ascii="Century Gothic" w:hAnsi="Century Gothic"/>
          <w:sz w:val="19"/>
          <w:szCs w:val="19"/>
        </w:rPr>
        <w:t xml:space="preserve"> a programas </w:t>
      </w:r>
      <w:r>
        <w:rPr>
          <w:rFonts w:ascii="Century Gothic" w:hAnsi="Century Gothic"/>
          <w:sz w:val="19"/>
          <w:szCs w:val="19"/>
        </w:rPr>
        <w:t>experimentales.  En el cuadro III.4.2. se listan los programas de información que se encuentran en esta situación.</w:t>
      </w:r>
    </w:p>
    <w:p w14:paraId="02BD1C0B" w14:textId="77777777" w:rsidR="00240D5F" w:rsidRDefault="00240D5F" w:rsidP="00240D5F">
      <w:pPr>
        <w:spacing w:before="40" w:after="40"/>
        <w:jc w:val="both"/>
        <w:rPr>
          <w:rFonts w:ascii="Century Gothic" w:hAnsi="Century Gothic"/>
          <w:sz w:val="19"/>
          <w:szCs w:val="19"/>
        </w:rPr>
      </w:pPr>
    </w:p>
    <w:p w14:paraId="2BE985FF" w14:textId="77777777" w:rsidR="00240D5F" w:rsidRDefault="00240D5F" w:rsidP="00240D5F">
      <w:pPr>
        <w:spacing w:before="40" w:after="40"/>
        <w:jc w:val="center"/>
        <w:rPr>
          <w:rFonts w:ascii="Century Gothic" w:hAnsi="Century Gothic"/>
          <w:sz w:val="19"/>
          <w:szCs w:val="19"/>
        </w:rPr>
      </w:pPr>
      <w:r>
        <w:rPr>
          <w:rFonts w:ascii="Century Gothic" w:hAnsi="Century Gothic"/>
          <w:b/>
          <w:sz w:val="19"/>
          <w:szCs w:val="19"/>
        </w:rPr>
        <w:t>III.4.2.</w:t>
      </w:r>
      <w:r w:rsidRPr="00E222C3">
        <w:rPr>
          <w:rFonts w:ascii="Century Gothic" w:hAnsi="Century Gothic"/>
          <w:b/>
          <w:sz w:val="19"/>
          <w:szCs w:val="19"/>
        </w:rPr>
        <w:t xml:space="preserve"> Programas de información estadística y geográfica </w:t>
      </w:r>
      <w:r>
        <w:rPr>
          <w:rFonts w:ascii="Century Gothic" w:hAnsi="Century Gothic"/>
          <w:b/>
          <w:sz w:val="19"/>
          <w:szCs w:val="19"/>
        </w:rPr>
        <w:t>financiados únicamente con recursos del INEGI</w:t>
      </w:r>
      <w:r w:rsidRPr="00E222C3">
        <w:rPr>
          <w:rFonts w:ascii="Century Gothic" w:hAnsi="Century Gothic"/>
          <w:b/>
          <w:sz w:val="19"/>
          <w:szCs w:val="19"/>
        </w:rPr>
        <w:t xml:space="preserve"> </w:t>
      </w:r>
      <w:r>
        <w:rPr>
          <w:rFonts w:ascii="Century Gothic" w:hAnsi="Century Gothic"/>
          <w:b/>
          <w:sz w:val="19"/>
          <w:szCs w:val="19"/>
        </w:rPr>
        <w:br/>
      </w:r>
      <w:r w:rsidRPr="00E222C3">
        <w:rPr>
          <w:rFonts w:ascii="Century Gothic" w:hAnsi="Century Gothic"/>
          <w:b/>
          <w:sz w:val="19"/>
          <w:szCs w:val="19"/>
        </w:rPr>
        <w:t xml:space="preserve">que no fueron incluidos en el </w:t>
      </w:r>
      <w:r>
        <w:rPr>
          <w:rFonts w:ascii="Century Gothic" w:hAnsi="Century Gothic"/>
          <w:b/>
          <w:sz w:val="19"/>
          <w:szCs w:val="19"/>
        </w:rPr>
        <w:t>Calendario de D</w:t>
      </w:r>
      <w:r w:rsidRPr="00E222C3">
        <w:rPr>
          <w:rFonts w:ascii="Century Gothic" w:hAnsi="Century Gothic"/>
          <w:b/>
          <w:sz w:val="19"/>
          <w:szCs w:val="19"/>
        </w:rPr>
        <w:t>ifusión 2021</w:t>
      </w:r>
    </w:p>
    <w:tbl>
      <w:tblPr>
        <w:tblW w:w="94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6941"/>
        <w:gridCol w:w="1134"/>
        <w:gridCol w:w="1336"/>
      </w:tblGrid>
      <w:tr w:rsidR="00240D5F" w:rsidRPr="007B0060" w14:paraId="1F24D580" w14:textId="77777777" w:rsidTr="00240D5F">
        <w:trPr>
          <w:trHeight w:val="20"/>
          <w:tblHeader/>
          <w:jc w:val="center"/>
        </w:trPr>
        <w:tc>
          <w:tcPr>
            <w:tcW w:w="6941" w:type="dxa"/>
            <w:shd w:val="clear" w:color="000000" w:fill="002060"/>
            <w:vAlign w:val="center"/>
            <w:hideMark/>
          </w:tcPr>
          <w:p w14:paraId="38C663BA" w14:textId="77777777" w:rsidR="00240D5F" w:rsidRPr="00E222C3" w:rsidRDefault="00240D5F" w:rsidP="00EF2651">
            <w:pPr>
              <w:spacing w:before="40" w:after="40" w:line="240" w:lineRule="auto"/>
              <w:contextualSpacing/>
              <w:jc w:val="center"/>
              <w:rPr>
                <w:rFonts w:ascii="Century Gothic" w:eastAsia="Times New Roman" w:hAnsi="Century Gothic" w:cs="Calibri"/>
                <w:b/>
                <w:bCs/>
                <w:color w:val="FFFFFF"/>
                <w:sz w:val="16"/>
                <w:szCs w:val="16"/>
                <w:lang w:eastAsia="es-MX"/>
              </w:rPr>
            </w:pPr>
            <w:bookmarkStart w:id="1" w:name="_GoBack"/>
            <w:r w:rsidRPr="00E222C3">
              <w:rPr>
                <w:rFonts w:ascii="Century Gothic" w:eastAsia="Times New Roman" w:hAnsi="Century Gothic" w:cs="Calibri"/>
                <w:b/>
                <w:bCs/>
                <w:color w:val="FFFFFF"/>
                <w:sz w:val="16"/>
                <w:szCs w:val="16"/>
                <w:lang w:eastAsia="es-MX"/>
              </w:rPr>
              <w:t xml:space="preserve">Programa de Información </w:t>
            </w:r>
          </w:p>
        </w:tc>
        <w:tc>
          <w:tcPr>
            <w:tcW w:w="1134" w:type="dxa"/>
            <w:shd w:val="clear" w:color="000000" w:fill="002060"/>
            <w:vAlign w:val="center"/>
          </w:tcPr>
          <w:p w14:paraId="2DECAA1E" w14:textId="77777777" w:rsidR="00240D5F" w:rsidRPr="004117AA" w:rsidRDefault="00240D5F" w:rsidP="00EF2651">
            <w:pPr>
              <w:spacing w:before="40" w:after="40" w:line="240" w:lineRule="auto"/>
              <w:ind w:left="-67"/>
              <w:jc w:val="center"/>
              <w:rPr>
                <w:rFonts w:ascii="Century Gothic" w:eastAsia="Times New Roman" w:hAnsi="Century Gothic" w:cs="Calibri"/>
                <w:b/>
                <w:bCs/>
                <w:color w:val="FFFFFF"/>
                <w:sz w:val="16"/>
                <w:szCs w:val="16"/>
                <w:lang w:eastAsia="es-MX"/>
              </w:rPr>
            </w:pPr>
            <w:r w:rsidRPr="004117AA">
              <w:rPr>
                <w:rFonts w:ascii="Century Gothic" w:eastAsia="Times New Roman" w:hAnsi="Century Gothic" w:cs="Calibri"/>
                <w:b/>
                <w:bCs/>
                <w:color w:val="FFFFFF"/>
                <w:sz w:val="16"/>
                <w:szCs w:val="16"/>
                <w:lang w:eastAsia="es-MX"/>
              </w:rPr>
              <w:t>Acrónimo</w:t>
            </w:r>
          </w:p>
        </w:tc>
        <w:tc>
          <w:tcPr>
            <w:tcW w:w="1336" w:type="dxa"/>
            <w:shd w:val="clear" w:color="000000" w:fill="002060"/>
            <w:vAlign w:val="center"/>
          </w:tcPr>
          <w:p w14:paraId="6B4708AD" w14:textId="77777777" w:rsidR="00240D5F" w:rsidRPr="004117AA" w:rsidRDefault="00240D5F" w:rsidP="00EF2651">
            <w:pPr>
              <w:spacing w:before="40" w:after="40" w:line="240" w:lineRule="auto"/>
              <w:ind w:left="-74"/>
              <w:jc w:val="center"/>
              <w:rPr>
                <w:rFonts w:ascii="Century Gothic" w:eastAsia="Times New Roman" w:hAnsi="Century Gothic" w:cs="Calibri"/>
                <w:b/>
                <w:bCs/>
                <w:color w:val="FFFFFF"/>
                <w:sz w:val="16"/>
                <w:szCs w:val="16"/>
                <w:lang w:eastAsia="es-MX"/>
              </w:rPr>
            </w:pPr>
            <w:r w:rsidRPr="004117AA">
              <w:rPr>
                <w:rFonts w:ascii="Century Gothic" w:eastAsia="Times New Roman" w:hAnsi="Century Gothic" w:cs="Calibri"/>
                <w:b/>
                <w:bCs/>
                <w:color w:val="FFFFFF"/>
                <w:sz w:val="16"/>
                <w:szCs w:val="16"/>
                <w:lang w:eastAsia="es-MX"/>
              </w:rPr>
              <w:t>Grado de madurez</w:t>
            </w:r>
          </w:p>
        </w:tc>
      </w:tr>
      <w:tr w:rsidR="00240D5F" w:rsidRPr="00E222C3" w14:paraId="6A4FD5BA" w14:textId="77777777" w:rsidTr="00240D5F">
        <w:trPr>
          <w:trHeight w:val="20"/>
          <w:jc w:val="center"/>
        </w:trPr>
        <w:tc>
          <w:tcPr>
            <w:tcW w:w="6941" w:type="dxa"/>
            <w:shd w:val="clear" w:color="auto" w:fill="auto"/>
            <w:noWrap/>
            <w:vAlign w:val="center"/>
          </w:tcPr>
          <w:p w14:paraId="631F64B1" w14:textId="77777777" w:rsidR="00240D5F" w:rsidRPr="00E222C3"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E222C3">
              <w:rPr>
                <w:rFonts w:ascii="Century Gothic" w:eastAsia="Times New Roman" w:hAnsi="Century Gothic" w:cs="Calibri"/>
                <w:color w:val="000000"/>
                <w:sz w:val="16"/>
                <w:szCs w:val="16"/>
                <w:lang w:eastAsia="es-MX"/>
              </w:rPr>
              <w:t>Censo Nacional de Gobierno Federal 2020</w:t>
            </w:r>
          </w:p>
        </w:tc>
        <w:tc>
          <w:tcPr>
            <w:tcW w:w="1134" w:type="dxa"/>
          </w:tcPr>
          <w:p w14:paraId="4666C84C"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CNGF</w:t>
            </w:r>
          </w:p>
        </w:tc>
        <w:tc>
          <w:tcPr>
            <w:tcW w:w="1336" w:type="dxa"/>
          </w:tcPr>
          <w:p w14:paraId="701ED7F5"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205269B8" w14:textId="77777777" w:rsidTr="00240D5F">
        <w:trPr>
          <w:trHeight w:val="20"/>
          <w:jc w:val="center"/>
        </w:trPr>
        <w:tc>
          <w:tcPr>
            <w:tcW w:w="6941" w:type="dxa"/>
            <w:shd w:val="clear" w:color="auto" w:fill="auto"/>
            <w:noWrap/>
            <w:vAlign w:val="center"/>
          </w:tcPr>
          <w:p w14:paraId="13C72700" w14:textId="77777777" w:rsidR="00240D5F" w:rsidRPr="00217030"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83216D">
              <w:rPr>
                <w:rFonts w:ascii="Century Gothic" w:eastAsia="Times New Roman" w:hAnsi="Century Gothic" w:cs="Calibri"/>
                <w:color w:val="000000"/>
                <w:sz w:val="16"/>
                <w:szCs w:val="16"/>
                <w:lang w:eastAsia="es-MX"/>
              </w:rPr>
              <w:t>Encuesta para la Medición del Impacto COVID-19 en la Educación (ECOVID-ED) 2020</w:t>
            </w:r>
            <w:r>
              <w:rPr>
                <w:rFonts w:ascii="Century Gothic" w:eastAsia="Times New Roman" w:hAnsi="Century Gothic" w:cs="Calibri"/>
                <w:color w:val="000000"/>
                <w:sz w:val="16"/>
                <w:szCs w:val="16"/>
                <w:lang w:eastAsia="es-MX"/>
              </w:rPr>
              <w:t>*</w:t>
            </w:r>
          </w:p>
        </w:tc>
        <w:tc>
          <w:tcPr>
            <w:tcW w:w="1134" w:type="dxa"/>
          </w:tcPr>
          <w:p w14:paraId="5A2FEA17"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ECOVID-ED</w:t>
            </w:r>
          </w:p>
        </w:tc>
        <w:tc>
          <w:tcPr>
            <w:tcW w:w="1336" w:type="dxa"/>
          </w:tcPr>
          <w:p w14:paraId="7B344BF1"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Experimental</w:t>
            </w:r>
          </w:p>
        </w:tc>
      </w:tr>
      <w:tr w:rsidR="00240D5F" w:rsidRPr="00313A47" w14:paraId="32353A1A" w14:textId="77777777" w:rsidTr="00240D5F">
        <w:trPr>
          <w:trHeight w:val="20"/>
          <w:jc w:val="center"/>
        </w:trPr>
        <w:tc>
          <w:tcPr>
            <w:tcW w:w="6941" w:type="dxa"/>
            <w:shd w:val="clear" w:color="auto" w:fill="auto"/>
            <w:noWrap/>
            <w:vAlign w:val="center"/>
          </w:tcPr>
          <w:p w14:paraId="14AE736A" w14:textId="77777777" w:rsidR="00240D5F" w:rsidRPr="00BC3DF4"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t>Censo Nacional de Transparencia, Acceso a la Información Pública y Protección d</w:t>
            </w:r>
            <w:r>
              <w:rPr>
                <w:rFonts w:ascii="Century Gothic" w:eastAsia="Times New Roman" w:hAnsi="Century Gothic" w:cs="Calibri"/>
                <w:color w:val="000000"/>
                <w:sz w:val="16"/>
                <w:szCs w:val="16"/>
                <w:lang w:eastAsia="es-MX"/>
              </w:rPr>
              <w:t>e Datos Personales Federal 2020</w:t>
            </w:r>
          </w:p>
        </w:tc>
        <w:tc>
          <w:tcPr>
            <w:tcW w:w="1134" w:type="dxa"/>
          </w:tcPr>
          <w:p w14:paraId="038E6C7F"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CNTAIPPDPF</w:t>
            </w:r>
          </w:p>
        </w:tc>
        <w:tc>
          <w:tcPr>
            <w:tcW w:w="1336" w:type="dxa"/>
          </w:tcPr>
          <w:p w14:paraId="09E50674"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54FA3CD4" w14:textId="77777777" w:rsidTr="00240D5F">
        <w:trPr>
          <w:trHeight w:val="20"/>
          <w:jc w:val="center"/>
        </w:trPr>
        <w:tc>
          <w:tcPr>
            <w:tcW w:w="6941" w:type="dxa"/>
            <w:shd w:val="clear" w:color="auto" w:fill="F2F2F2" w:themeFill="background1" w:themeFillShade="F2"/>
            <w:noWrap/>
            <w:vAlign w:val="center"/>
          </w:tcPr>
          <w:p w14:paraId="3F02C67F" w14:textId="77777777" w:rsidR="00240D5F" w:rsidRPr="00103F58"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103F58">
              <w:rPr>
                <w:rFonts w:ascii="Century Gothic" w:eastAsia="Times New Roman" w:hAnsi="Century Gothic" w:cs="Calibri"/>
                <w:color w:val="000000"/>
                <w:sz w:val="16"/>
                <w:szCs w:val="16"/>
                <w:lang w:eastAsia="es-MX"/>
              </w:rPr>
              <w:t>Módulo</w:t>
            </w:r>
            <w:r>
              <w:rPr>
                <w:rFonts w:ascii="Century Gothic" w:eastAsia="Times New Roman" w:hAnsi="Century Gothic" w:cs="Calibri"/>
                <w:color w:val="000000"/>
                <w:sz w:val="16"/>
                <w:szCs w:val="16"/>
                <w:lang w:eastAsia="es-MX"/>
              </w:rPr>
              <w:t xml:space="preserve"> sobre Ciberacoso (MOCIBA) 2020</w:t>
            </w:r>
          </w:p>
        </w:tc>
        <w:tc>
          <w:tcPr>
            <w:tcW w:w="1134" w:type="dxa"/>
            <w:shd w:val="clear" w:color="auto" w:fill="F2F2F2" w:themeFill="background1" w:themeFillShade="F2"/>
          </w:tcPr>
          <w:p w14:paraId="6885C1D0"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MOCIBA</w:t>
            </w:r>
          </w:p>
        </w:tc>
        <w:tc>
          <w:tcPr>
            <w:tcW w:w="1336" w:type="dxa"/>
            <w:shd w:val="clear" w:color="auto" w:fill="F2F2F2" w:themeFill="background1" w:themeFillShade="F2"/>
          </w:tcPr>
          <w:p w14:paraId="6E6933EF"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006F9A79" w14:textId="77777777" w:rsidTr="00240D5F">
        <w:trPr>
          <w:trHeight w:val="20"/>
          <w:jc w:val="center"/>
        </w:trPr>
        <w:tc>
          <w:tcPr>
            <w:tcW w:w="6941" w:type="dxa"/>
            <w:shd w:val="clear" w:color="auto" w:fill="auto"/>
            <w:noWrap/>
            <w:vAlign w:val="center"/>
          </w:tcPr>
          <w:p w14:paraId="1EFC652A" w14:textId="77777777" w:rsidR="00240D5F" w:rsidRPr="00E222C3"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BC3DF4">
              <w:rPr>
                <w:rFonts w:ascii="Century Gothic" w:eastAsia="Times New Roman" w:hAnsi="Century Gothic" w:cs="Calibri"/>
                <w:color w:val="000000"/>
                <w:sz w:val="16"/>
                <w:szCs w:val="16"/>
                <w:lang w:eastAsia="es-MX"/>
              </w:rPr>
              <w:t>Censo Nacional de Seguridad Pública Federal 2021</w:t>
            </w:r>
          </w:p>
        </w:tc>
        <w:tc>
          <w:tcPr>
            <w:tcW w:w="1134" w:type="dxa"/>
          </w:tcPr>
          <w:p w14:paraId="53C1AF0F"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CNSPF</w:t>
            </w:r>
          </w:p>
        </w:tc>
        <w:tc>
          <w:tcPr>
            <w:tcW w:w="1336" w:type="dxa"/>
          </w:tcPr>
          <w:p w14:paraId="4865B222"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032EFC6F" w14:textId="77777777" w:rsidTr="00240D5F">
        <w:trPr>
          <w:trHeight w:val="20"/>
          <w:jc w:val="center"/>
        </w:trPr>
        <w:tc>
          <w:tcPr>
            <w:tcW w:w="6941" w:type="dxa"/>
            <w:shd w:val="clear" w:color="000000" w:fill="F2F2F2"/>
            <w:noWrap/>
            <w:vAlign w:val="center"/>
          </w:tcPr>
          <w:p w14:paraId="5485B872" w14:textId="77777777" w:rsidR="00240D5F" w:rsidRPr="00BC3DF4"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t>Encuesta Nacional de Ingresos y Gastos de los Hogares Estacional</w:t>
            </w:r>
            <w:r>
              <w:rPr>
                <w:rFonts w:ascii="Century Gothic" w:eastAsia="Times New Roman" w:hAnsi="Century Gothic" w:cs="Calibri"/>
                <w:color w:val="000000"/>
                <w:sz w:val="16"/>
                <w:szCs w:val="16"/>
                <w:lang w:eastAsia="es-MX"/>
              </w:rPr>
              <w:t>*</w:t>
            </w:r>
          </w:p>
        </w:tc>
        <w:tc>
          <w:tcPr>
            <w:tcW w:w="1134" w:type="dxa"/>
            <w:shd w:val="clear" w:color="000000" w:fill="F2F2F2"/>
          </w:tcPr>
          <w:p w14:paraId="2901D8DD"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ENIGH_A</w:t>
            </w:r>
          </w:p>
        </w:tc>
        <w:tc>
          <w:tcPr>
            <w:tcW w:w="1336" w:type="dxa"/>
            <w:shd w:val="clear" w:color="000000" w:fill="F2F2F2"/>
          </w:tcPr>
          <w:p w14:paraId="46E9675C"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344626E0" w14:textId="77777777" w:rsidTr="00240D5F">
        <w:trPr>
          <w:trHeight w:val="20"/>
          <w:jc w:val="center"/>
        </w:trPr>
        <w:tc>
          <w:tcPr>
            <w:tcW w:w="6941" w:type="dxa"/>
            <w:shd w:val="clear" w:color="auto" w:fill="auto"/>
            <w:noWrap/>
            <w:vAlign w:val="center"/>
          </w:tcPr>
          <w:p w14:paraId="3C96D0CB" w14:textId="77777777" w:rsidR="00240D5F"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t>Censo Nacional de Procuración de Justicia Federal 2021</w:t>
            </w:r>
          </w:p>
        </w:tc>
        <w:tc>
          <w:tcPr>
            <w:tcW w:w="1134" w:type="dxa"/>
          </w:tcPr>
          <w:p w14:paraId="00D4C482"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CNPJF</w:t>
            </w:r>
          </w:p>
        </w:tc>
        <w:tc>
          <w:tcPr>
            <w:tcW w:w="1336" w:type="dxa"/>
          </w:tcPr>
          <w:p w14:paraId="7D8361A6"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5D23332C" w14:textId="77777777" w:rsidTr="00240D5F">
        <w:trPr>
          <w:trHeight w:val="20"/>
          <w:jc w:val="center"/>
        </w:trPr>
        <w:tc>
          <w:tcPr>
            <w:tcW w:w="6941" w:type="dxa"/>
            <w:shd w:val="clear" w:color="auto" w:fill="EDEDED" w:themeFill="accent3" w:themeFillTint="33"/>
            <w:noWrap/>
            <w:vAlign w:val="center"/>
          </w:tcPr>
          <w:p w14:paraId="024E3147" w14:textId="77777777" w:rsidR="00240D5F" w:rsidRPr="00A60BAA"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lastRenderedPageBreak/>
              <w:t>Encuesta Nacional de Población Privada de la Libertad (ENPOL) 2021</w:t>
            </w:r>
          </w:p>
        </w:tc>
        <w:tc>
          <w:tcPr>
            <w:tcW w:w="1134" w:type="dxa"/>
            <w:shd w:val="clear" w:color="auto" w:fill="EDEDED" w:themeFill="accent3" w:themeFillTint="33"/>
          </w:tcPr>
          <w:p w14:paraId="0CC5125D"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ENPOL</w:t>
            </w:r>
          </w:p>
        </w:tc>
        <w:tc>
          <w:tcPr>
            <w:tcW w:w="1336" w:type="dxa"/>
            <w:shd w:val="clear" w:color="auto" w:fill="EDEDED" w:themeFill="accent3" w:themeFillTint="33"/>
          </w:tcPr>
          <w:p w14:paraId="7F5E3BA5"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28231B8F" w14:textId="77777777" w:rsidTr="00240D5F">
        <w:trPr>
          <w:trHeight w:val="20"/>
          <w:jc w:val="center"/>
        </w:trPr>
        <w:tc>
          <w:tcPr>
            <w:tcW w:w="6941" w:type="dxa"/>
            <w:shd w:val="clear" w:color="auto" w:fill="auto"/>
            <w:noWrap/>
            <w:vAlign w:val="center"/>
          </w:tcPr>
          <w:p w14:paraId="2A6F14D9" w14:textId="77777777" w:rsidR="00240D5F" w:rsidRPr="00BC3DF4"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t>Encuesta Nacional sobre Confianza del Consumidor. Ampliada</w:t>
            </w:r>
          </w:p>
        </w:tc>
        <w:tc>
          <w:tcPr>
            <w:tcW w:w="1134" w:type="dxa"/>
          </w:tcPr>
          <w:p w14:paraId="027F97F6"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ENCO</w:t>
            </w:r>
          </w:p>
        </w:tc>
        <w:tc>
          <w:tcPr>
            <w:tcW w:w="1336" w:type="dxa"/>
          </w:tcPr>
          <w:p w14:paraId="73F564A6"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r w:rsidR="00240D5F" w:rsidRPr="007B0060" w14:paraId="690AD368" w14:textId="77777777" w:rsidTr="00240D5F">
        <w:trPr>
          <w:trHeight w:val="20"/>
          <w:jc w:val="center"/>
        </w:trPr>
        <w:tc>
          <w:tcPr>
            <w:tcW w:w="6941" w:type="dxa"/>
            <w:shd w:val="clear" w:color="000000" w:fill="F2F2F2"/>
            <w:noWrap/>
            <w:vAlign w:val="center"/>
          </w:tcPr>
          <w:p w14:paraId="65E5130A" w14:textId="77777777" w:rsidR="00240D5F" w:rsidRPr="00A60BAA"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t>Recopilación de Información de los Cementerios Públicos en las Zonas Metropolitanas del País 2020</w:t>
            </w:r>
            <w:r>
              <w:rPr>
                <w:rFonts w:ascii="Century Gothic" w:eastAsia="Times New Roman" w:hAnsi="Century Gothic" w:cs="Calibri"/>
                <w:color w:val="000000"/>
                <w:sz w:val="16"/>
                <w:szCs w:val="16"/>
                <w:lang w:eastAsia="es-MX"/>
              </w:rPr>
              <w:t>*</w:t>
            </w:r>
          </w:p>
        </w:tc>
        <w:tc>
          <w:tcPr>
            <w:tcW w:w="1134" w:type="dxa"/>
            <w:shd w:val="clear" w:color="000000" w:fill="F2F2F2"/>
          </w:tcPr>
          <w:p w14:paraId="20185B86"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RICPZM</w:t>
            </w:r>
          </w:p>
        </w:tc>
        <w:tc>
          <w:tcPr>
            <w:tcW w:w="1336" w:type="dxa"/>
            <w:shd w:val="clear" w:color="000000" w:fill="F2F2F2"/>
          </w:tcPr>
          <w:p w14:paraId="617BE4F1"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Experimental</w:t>
            </w:r>
          </w:p>
        </w:tc>
      </w:tr>
      <w:tr w:rsidR="00240D5F" w:rsidRPr="007B0060" w14:paraId="7DB39BD1" w14:textId="77777777" w:rsidTr="00240D5F">
        <w:trPr>
          <w:trHeight w:val="20"/>
          <w:jc w:val="center"/>
        </w:trPr>
        <w:tc>
          <w:tcPr>
            <w:tcW w:w="6941" w:type="dxa"/>
            <w:shd w:val="clear" w:color="auto" w:fill="auto"/>
            <w:noWrap/>
            <w:vAlign w:val="center"/>
          </w:tcPr>
          <w:p w14:paraId="5F5D1F29" w14:textId="77777777" w:rsidR="00240D5F" w:rsidRPr="00A60BAA" w:rsidRDefault="00240D5F" w:rsidP="00240D5F">
            <w:pPr>
              <w:pStyle w:val="Prrafodelista"/>
              <w:numPr>
                <w:ilvl w:val="0"/>
                <w:numId w:val="1"/>
              </w:numPr>
              <w:spacing w:before="40" w:after="40" w:line="240" w:lineRule="auto"/>
              <w:ind w:left="353" w:hanging="284"/>
              <w:jc w:val="both"/>
              <w:rPr>
                <w:rFonts w:ascii="Century Gothic" w:eastAsia="Times New Roman" w:hAnsi="Century Gothic" w:cs="Calibri"/>
                <w:color w:val="000000"/>
                <w:sz w:val="16"/>
                <w:szCs w:val="16"/>
                <w:lang w:eastAsia="es-MX"/>
              </w:rPr>
            </w:pPr>
            <w:r w:rsidRPr="00A60BAA">
              <w:rPr>
                <w:rFonts w:ascii="Century Gothic" w:eastAsia="Times New Roman" w:hAnsi="Century Gothic" w:cs="Calibri"/>
                <w:color w:val="000000"/>
                <w:sz w:val="16"/>
                <w:szCs w:val="16"/>
                <w:lang w:eastAsia="es-MX"/>
              </w:rPr>
              <w:t>Encuesta Nacional de Calidad Regulatoria e Impacto Gubernamental en Empresas</w:t>
            </w:r>
          </w:p>
        </w:tc>
        <w:tc>
          <w:tcPr>
            <w:tcW w:w="1134" w:type="dxa"/>
          </w:tcPr>
          <w:p w14:paraId="128154B2" w14:textId="77777777" w:rsidR="00240D5F" w:rsidRPr="004117AA" w:rsidRDefault="00240D5F" w:rsidP="00EF2651">
            <w:pPr>
              <w:spacing w:before="40" w:after="40" w:line="240" w:lineRule="auto"/>
              <w:ind w:left="-67"/>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ENCRIGE</w:t>
            </w:r>
          </w:p>
        </w:tc>
        <w:tc>
          <w:tcPr>
            <w:tcW w:w="1336" w:type="dxa"/>
          </w:tcPr>
          <w:p w14:paraId="069ADA41" w14:textId="77777777" w:rsidR="00240D5F" w:rsidRPr="004117AA" w:rsidRDefault="00240D5F" w:rsidP="00EF2651">
            <w:pPr>
              <w:spacing w:before="40" w:after="40" w:line="240" w:lineRule="auto"/>
              <w:ind w:left="360" w:hanging="406"/>
              <w:jc w:val="center"/>
              <w:rPr>
                <w:rFonts w:ascii="Century Gothic" w:eastAsia="Times New Roman" w:hAnsi="Century Gothic" w:cs="Calibri"/>
                <w:color w:val="000000"/>
                <w:sz w:val="16"/>
                <w:szCs w:val="16"/>
                <w:lang w:eastAsia="es-MX"/>
              </w:rPr>
            </w:pPr>
            <w:r w:rsidRPr="004117AA">
              <w:rPr>
                <w:rFonts w:ascii="Century Gothic" w:eastAsia="Times New Roman" w:hAnsi="Century Gothic" w:cs="Calibri"/>
                <w:color w:val="000000"/>
                <w:sz w:val="16"/>
                <w:szCs w:val="16"/>
                <w:lang w:eastAsia="es-MX"/>
              </w:rPr>
              <w:t>Consolidado</w:t>
            </w:r>
          </w:p>
        </w:tc>
      </w:tr>
    </w:tbl>
    <w:bookmarkEnd w:id="1"/>
    <w:p w14:paraId="6E6DA792" w14:textId="77777777" w:rsidR="00240D5F" w:rsidRPr="002705C8" w:rsidRDefault="00240D5F" w:rsidP="00240D5F">
      <w:pPr>
        <w:spacing w:before="40" w:after="40"/>
        <w:jc w:val="both"/>
        <w:rPr>
          <w:rFonts w:ascii="Century Gothic" w:hAnsi="Century Gothic"/>
          <w:sz w:val="14"/>
          <w:szCs w:val="14"/>
        </w:rPr>
      </w:pPr>
      <w:r w:rsidRPr="002705C8">
        <w:rPr>
          <w:rFonts w:ascii="Century Gothic" w:hAnsi="Century Gothic"/>
          <w:sz w:val="14"/>
          <w:szCs w:val="14"/>
        </w:rPr>
        <w:t>* Programas de reciente creación</w:t>
      </w:r>
    </w:p>
    <w:p w14:paraId="7FC2759C" w14:textId="77777777" w:rsidR="00240D5F" w:rsidRDefault="00240D5F" w:rsidP="00240D5F">
      <w:pPr>
        <w:spacing w:before="40" w:after="40"/>
        <w:jc w:val="both"/>
        <w:rPr>
          <w:rFonts w:ascii="Century Gothic" w:hAnsi="Century Gothic"/>
          <w:sz w:val="19"/>
          <w:szCs w:val="19"/>
        </w:rPr>
      </w:pPr>
    </w:p>
    <w:p w14:paraId="6226DF53" w14:textId="77777777" w:rsidR="00240D5F" w:rsidRDefault="00240D5F" w:rsidP="00240D5F">
      <w:pPr>
        <w:spacing w:before="40" w:after="40"/>
        <w:jc w:val="both"/>
        <w:rPr>
          <w:rFonts w:ascii="Century Gothic" w:hAnsi="Century Gothic"/>
          <w:sz w:val="19"/>
          <w:szCs w:val="19"/>
        </w:rPr>
      </w:pPr>
      <w:r>
        <w:rPr>
          <w:rFonts w:ascii="Century Gothic" w:hAnsi="Century Gothic"/>
          <w:sz w:val="19"/>
          <w:szCs w:val="19"/>
        </w:rPr>
        <w:t>El Comité acordó que los indicadores de puntualidad no consideren los programas en cofinanciamiento, puesto que es difícil establecer las fechas de publicación.  En 2021 se publicaron tres programas con estas características: la Encuesta Nacional de Cultura Cívica (ENCU</w:t>
      </w:r>
      <w:r w:rsidRPr="006E722D">
        <w:rPr>
          <w:rFonts w:ascii="Century Gothic" w:hAnsi="Century Gothic"/>
          <w:sz w:val="19"/>
          <w:szCs w:val="19"/>
        </w:rPr>
        <w:t xml:space="preserve">CI), </w:t>
      </w:r>
      <w:r w:rsidRPr="006E722D">
        <w:rPr>
          <w:rFonts w:ascii="Century Gothic" w:hAnsi="Century Gothic"/>
          <w:sz w:val="19"/>
        </w:rPr>
        <w:t>la Encuesta Nacional sobre Productividad y Competitividad de las Micro, Pequeñas y Medianas Empresas (ENAPROCE)</w:t>
      </w:r>
      <w:r w:rsidRPr="006E722D">
        <w:rPr>
          <w:rFonts w:ascii="Century Gothic" w:hAnsi="Century Gothic"/>
          <w:sz w:val="19"/>
          <w:szCs w:val="19"/>
        </w:rPr>
        <w:t xml:space="preserve"> y l</w:t>
      </w:r>
      <w:r>
        <w:rPr>
          <w:rFonts w:ascii="Century Gothic" w:hAnsi="Century Gothic"/>
          <w:sz w:val="19"/>
          <w:szCs w:val="19"/>
        </w:rPr>
        <w:t xml:space="preserve">a </w:t>
      </w:r>
      <w:r w:rsidRPr="00601045">
        <w:rPr>
          <w:rFonts w:ascii="Century Gothic" w:hAnsi="Century Gothic"/>
          <w:sz w:val="19"/>
          <w:szCs w:val="19"/>
        </w:rPr>
        <w:t>Encuesta Nacional sobre las Finanzas de los Hogares</w:t>
      </w:r>
      <w:r>
        <w:rPr>
          <w:rFonts w:ascii="Century Gothic" w:hAnsi="Century Gothic"/>
          <w:sz w:val="19"/>
          <w:szCs w:val="19"/>
        </w:rPr>
        <w:t xml:space="preserve"> (ENFIH).  Adicionalmente, se publicó información cuya fuente no está identificada como </w:t>
      </w:r>
      <w:r w:rsidRPr="00D301A1">
        <w:rPr>
          <w:rFonts w:ascii="Century Gothic" w:hAnsi="Century Gothic"/>
          <w:sz w:val="19"/>
          <w:szCs w:val="19"/>
        </w:rPr>
        <w:t xml:space="preserve">programa de información: </w:t>
      </w:r>
      <w:r w:rsidRPr="00D301A1">
        <w:rPr>
          <w:rFonts w:ascii="Century Gothic" w:hAnsi="Century Gothic"/>
          <w:sz w:val="19"/>
        </w:rPr>
        <w:t>Indicador Mensual Oportuno de la Actividad Manufacturera, Cuentas de los Ecosistemas de México</w:t>
      </w:r>
      <w:r w:rsidRPr="00D301A1">
        <w:rPr>
          <w:rFonts w:ascii="Century Gothic" w:hAnsi="Century Gothic"/>
          <w:sz w:val="19"/>
          <w:szCs w:val="19"/>
        </w:rPr>
        <w:t>, Modelo</w:t>
      </w:r>
      <w:r w:rsidRPr="00113824">
        <w:rPr>
          <w:rFonts w:ascii="Century Gothic" w:hAnsi="Century Gothic"/>
          <w:sz w:val="19"/>
          <w:szCs w:val="19"/>
        </w:rPr>
        <w:t xml:space="preserve"> Estadístico 2020 para la continuidad del MCS-ENIGH</w:t>
      </w:r>
      <w:r>
        <w:rPr>
          <w:rFonts w:ascii="Century Gothic" w:hAnsi="Century Gothic"/>
          <w:sz w:val="19"/>
          <w:szCs w:val="19"/>
        </w:rPr>
        <w:t xml:space="preserve"> y </w:t>
      </w:r>
      <w:r w:rsidRPr="00113824">
        <w:rPr>
          <w:rFonts w:ascii="Century Gothic" w:hAnsi="Century Gothic"/>
          <w:sz w:val="19"/>
          <w:szCs w:val="19"/>
        </w:rPr>
        <w:t xml:space="preserve">Clase </w:t>
      </w:r>
      <w:r>
        <w:rPr>
          <w:rFonts w:ascii="Century Gothic" w:hAnsi="Century Gothic"/>
          <w:sz w:val="19"/>
          <w:szCs w:val="19"/>
        </w:rPr>
        <w:t>M</w:t>
      </w:r>
      <w:r w:rsidRPr="00113824">
        <w:rPr>
          <w:rFonts w:ascii="Century Gothic" w:hAnsi="Century Gothic"/>
          <w:sz w:val="19"/>
          <w:szCs w:val="19"/>
        </w:rPr>
        <w:t>edia</w:t>
      </w:r>
      <w:r>
        <w:rPr>
          <w:rFonts w:ascii="Century Gothic" w:hAnsi="Century Gothic"/>
          <w:sz w:val="19"/>
          <w:szCs w:val="19"/>
        </w:rPr>
        <w:t xml:space="preserve">.  Es conveniente que el Comité delibere si este tipo de publicaciones debieran estar incluidas en el Calendario de Difusión. </w:t>
      </w:r>
    </w:p>
    <w:p w14:paraId="656D2209" w14:textId="77777777" w:rsidR="00A67A6A" w:rsidRDefault="00A67A6A"/>
    <w:sectPr w:rsidR="00A67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1B"/>
    <w:rsid w:val="00240D5F"/>
    <w:rsid w:val="00A67A6A"/>
    <w:rsid w:val="00BF2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0409D-9972-4FA3-AFF0-3B103271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D5F"/>
  </w:style>
  <w:style w:type="paragraph" w:styleId="Ttulo1">
    <w:name w:val="heading 1"/>
    <w:basedOn w:val="Normal"/>
    <w:next w:val="Normal"/>
    <w:link w:val="Ttulo1Car"/>
    <w:uiPriority w:val="9"/>
    <w:qFormat/>
    <w:rsid w:val="00240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0D5F"/>
    <w:rPr>
      <w:rFonts w:asciiTheme="majorHAnsi" w:eastAsiaTheme="majorEastAsia" w:hAnsiTheme="majorHAnsi" w:cstheme="majorBidi"/>
      <w:color w:val="2F5496" w:themeColor="accent1" w:themeShade="BF"/>
      <w:sz w:val="32"/>
      <w:szCs w:val="32"/>
    </w:rPr>
  </w:style>
  <w:style w:type="paragraph" w:styleId="Prrafodelista">
    <w:name w:val="List Paragraph"/>
    <w:aliases w:val="TITUTOS"/>
    <w:basedOn w:val="Normal"/>
    <w:link w:val="PrrafodelistaCar"/>
    <w:uiPriority w:val="34"/>
    <w:qFormat/>
    <w:rsid w:val="00240D5F"/>
    <w:pPr>
      <w:ind w:left="720"/>
      <w:contextualSpacing/>
    </w:pPr>
  </w:style>
  <w:style w:type="character" w:customStyle="1" w:styleId="PrrafodelistaCar">
    <w:name w:val="Párrafo de lista Car"/>
    <w:aliases w:val="TITUTOS Car"/>
    <w:basedOn w:val="Fuentedeprrafopredeter"/>
    <w:link w:val="Prrafodelista"/>
    <w:uiPriority w:val="34"/>
    <w:rsid w:val="0024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MENDOZA ALFONSO</dc:creator>
  <cp:keywords/>
  <dc:description/>
  <cp:lastModifiedBy>TAPIA MENDOZA ALFONSO</cp:lastModifiedBy>
  <cp:revision>2</cp:revision>
  <dcterms:created xsi:type="dcterms:W3CDTF">2022-05-17T14:19:00Z</dcterms:created>
  <dcterms:modified xsi:type="dcterms:W3CDTF">2022-05-17T14:20:00Z</dcterms:modified>
</cp:coreProperties>
</file>