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D26D" w14:textId="77777777" w:rsidR="00381867" w:rsidRPr="006060C8" w:rsidRDefault="00381867" w:rsidP="00381867">
      <w:pPr>
        <w:pStyle w:val="Ttulo1"/>
        <w:spacing w:before="40" w:after="40"/>
        <w:ind w:left="567" w:hanging="567"/>
        <w:rPr>
          <w:rFonts w:ascii="Century Gothic" w:eastAsiaTheme="minorHAnsi" w:hAnsi="Century Gothic" w:cstheme="minorBidi"/>
          <w:bCs/>
          <w:color w:val="0079BF"/>
          <w:sz w:val="24"/>
          <w:szCs w:val="24"/>
        </w:rPr>
      </w:pPr>
      <w:bookmarkStart w:id="0" w:name="_Toc99626582"/>
      <w:r>
        <w:rPr>
          <w:rFonts w:ascii="Century Gothic" w:eastAsiaTheme="minorHAnsi" w:hAnsi="Century Gothic" w:cstheme="minorBidi"/>
          <w:bCs/>
          <w:color w:val="0079BF"/>
          <w:sz w:val="24"/>
          <w:szCs w:val="24"/>
        </w:rPr>
        <w:t>III.5. I</w:t>
      </w:r>
      <w:r w:rsidRPr="006060C8">
        <w:rPr>
          <w:rFonts w:ascii="Century Gothic" w:eastAsiaTheme="minorHAnsi" w:hAnsi="Century Gothic" w:cstheme="minorBidi"/>
          <w:bCs/>
          <w:color w:val="0079BF"/>
          <w:sz w:val="24"/>
          <w:szCs w:val="24"/>
        </w:rPr>
        <w:t>ndicadores de precisión de programas cuyo único insumo son</w:t>
      </w:r>
      <w:r>
        <w:rPr>
          <w:rFonts w:ascii="Century Gothic" w:eastAsiaTheme="minorHAnsi" w:hAnsi="Century Gothic" w:cstheme="minorBidi"/>
          <w:bCs/>
          <w:color w:val="0079BF"/>
          <w:sz w:val="24"/>
          <w:szCs w:val="24"/>
        </w:rPr>
        <w:t xml:space="preserve"> </w:t>
      </w:r>
      <w:r w:rsidRPr="006060C8">
        <w:rPr>
          <w:rFonts w:ascii="Century Gothic" w:eastAsiaTheme="minorHAnsi" w:hAnsi="Century Gothic" w:cstheme="minorBidi"/>
          <w:bCs/>
          <w:color w:val="0079BF"/>
          <w:sz w:val="24"/>
          <w:szCs w:val="24"/>
        </w:rPr>
        <w:t>registros administrativos</w:t>
      </w:r>
      <w:bookmarkEnd w:id="0"/>
      <w:r w:rsidRPr="006060C8">
        <w:rPr>
          <w:rFonts w:ascii="Century Gothic" w:eastAsiaTheme="minorHAnsi" w:hAnsi="Century Gothic" w:cstheme="minorBidi"/>
          <w:bCs/>
          <w:color w:val="0079BF"/>
          <w:sz w:val="24"/>
          <w:szCs w:val="24"/>
        </w:rPr>
        <w:t xml:space="preserve"> </w:t>
      </w:r>
    </w:p>
    <w:p w14:paraId="7CEF5F82" w14:textId="77777777" w:rsidR="00381867" w:rsidRDefault="00381867" w:rsidP="00381867">
      <w:pPr>
        <w:spacing w:before="40" w:after="40"/>
        <w:rPr>
          <w:rFonts w:ascii="Century Gothic" w:hAnsi="Century Gothic"/>
          <w:sz w:val="19"/>
          <w:szCs w:val="19"/>
        </w:rPr>
      </w:pPr>
    </w:p>
    <w:p w14:paraId="062FFC1C" w14:textId="77777777" w:rsidR="00381867" w:rsidRDefault="00381867" w:rsidP="00381867">
      <w:pPr>
        <w:spacing w:before="40" w:after="40"/>
        <w:jc w:val="both"/>
        <w:rPr>
          <w:rFonts w:ascii="Century Gothic" w:hAnsi="Century Gothic"/>
        </w:rPr>
      </w:pPr>
      <w:r w:rsidRPr="00296E53">
        <w:rPr>
          <w:rFonts w:ascii="Century Gothic" w:hAnsi="Century Gothic"/>
          <w:sz w:val="19"/>
          <w:szCs w:val="19"/>
        </w:rPr>
        <w:t xml:space="preserve">En 2019, el Comité aprobó tres indicadores de precisión para los programas de información cuyo </w:t>
      </w:r>
      <w:r>
        <w:rPr>
          <w:rFonts w:ascii="Century Gothic" w:hAnsi="Century Gothic"/>
          <w:sz w:val="19"/>
          <w:szCs w:val="19"/>
        </w:rPr>
        <w:t xml:space="preserve">único </w:t>
      </w:r>
      <w:r w:rsidRPr="00296E53">
        <w:rPr>
          <w:rFonts w:ascii="Century Gothic" w:hAnsi="Century Gothic"/>
          <w:sz w:val="19"/>
          <w:szCs w:val="19"/>
        </w:rPr>
        <w:t>insumo son registros administrativos</w:t>
      </w:r>
      <w:r>
        <w:rPr>
          <w:rFonts w:ascii="Century Gothic" w:hAnsi="Century Gothic"/>
          <w:sz w:val="19"/>
          <w:szCs w:val="19"/>
        </w:rPr>
        <w:t>: Tasa de sobrecobertura, Tasa de no respuesta a nivel unidad y Tasa de no respuesta a nivel variable</w:t>
      </w:r>
      <w:r w:rsidRPr="00296E53">
        <w:rPr>
          <w:rFonts w:ascii="Century Gothic" w:hAnsi="Century Gothic"/>
          <w:sz w:val="19"/>
          <w:szCs w:val="19"/>
        </w:rPr>
        <w:t>. Para</w:t>
      </w:r>
      <w:r>
        <w:rPr>
          <w:rFonts w:ascii="Century Gothic" w:hAnsi="Century Gothic"/>
          <w:sz w:val="19"/>
          <w:szCs w:val="19"/>
        </w:rPr>
        <w:t xml:space="preserve"> una mejor comprensión de estos indicadores ver el Anexo 3.</w:t>
      </w:r>
    </w:p>
    <w:p w14:paraId="79E777A3" w14:textId="77777777" w:rsidR="00381867" w:rsidRDefault="00381867" w:rsidP="00381867">
      <w:pPr>
        <w:spacing w:before="40" w:after="40"/>
        <w:jc w:val="both"/>
        <w:rPr>
          <w:rFonts w:ascii="Century Gothic" w:hAnsi="Century Gothic"/>
          <w:sz w:val="19"/>
          <w:szCs w:val="19"/>
        </w:rPr>
      </w:pPr>
    </w:p>
    <w:p w14:paraId="3FE5B4A1" w14:textId="77777777" w:rsidR="00381867" w:rsidRDefault="00381867" w:rsidP="00381867">
      <w:pPr>
        <w:spacing w:before="40" w:after="40"/>
        <w:jc w:val="both"/>
        <w:rPr>
          <w:rFonts w:ascii="Century Gothic" w:hAnsi="Century Gothic" w:cstheme="minorHAnsi"/>
          <w:sz w:val="19"/>
          <w:szCs w:val="19"/>
        </w:rPr>
      </w:pPr>
      <w:r>
        <w:rPr>
          <w:rFonts w:ascii="Century Gothic" w:hAnsi="Century Gothic"/>
          <w:sz w:val="19"/>
          <w:szCs w:val="19"/>
        </w:rPr>
        <w:t>A</w:t>
      </w:r>
      <w:r w:rsidRPr="00BE6941">
        <w:rPr>
          <w:rFonts w:ascii="Century Gothic" w:hAnsi="Century Gothic"/>
          <w:sz w:val="19"/>
          <w:szCs w:val="19"/>
        </w:rPr>
        <w:t>l</w:t>
      </w:r>
      <w:r w:rsidRPr="00240357">
        <w:rPr>
          <w:rFonts w:ascii="Century Gothic" w:hAnsi="Century Gothic"/>
          <w:sz w:val="19"/>
          <w:szCs w:val="19"/>
        </w:rPr>
        <w:t xml:space="preserve"> 31 de diciembre del 2021,</w:t>
      </w:r>
      <w:r>
        <w:rPr>
          <w:rFonts w:ascii="Century Gothic" w:hAnsi="Century Gothic"/>
          <w:sz w:val="19"/>
          <w:szCs w:val="19"/>
        </w:rPr>
        <w:t xml:space="preserve"> se</w:t>
      </w:r>
      <w:r w:rsidRPr="00240357">
        <w:rPr>
          <w:rFonts w:ascii="Century Gothic" w:hAnsi="Century Gothic"/>
          <w:sz w:val="19"/>
          <w:szCs w:val="19"/>
        </w:rPr>
        <w:t xml:space="preserve"> publicaron resultados</w:t>
      </w:r>
      <w:r>
        <w:rPr>
          <w:rFonts w:ascii="Century Gothic" w:hAnsi="Century Gothic"/>
          <w:sz w:val="19"/>
          <w:szCs w:val="19"/>
        </w:rPr>
        <w:t xml:space="preserve"> de</w:t>
      </w:r>
      <w:r w:rsidRPr="00240357">
        <w:rPr>
          <w:rFonts w:ascii="Century Gothic" w:hAnsi="Century Gothic"/>
          <w:sz w:val="19"/>
          <w:szCs w:val="19"/>
        </w:rPr>
        <w:t xml:space="preserve"> </w:t>
      </w:r>
      <w:r w:rsidRPr="00BE6941">
        <w:rPr>
          <w:rFonts w:ascii="Century Gothic" w:hAnsi="Century Gothic"/>
          <w:sz w:val="19"/>
          <w:szCs w:val="19"/>
        </w:rPr>
        <w:t xml:space="preserve">49 ciclos </w:t>
      </w:r>
      <w:r>
        <w:rPr>
          <w:rFonts w:ascii="Century Gothic" w:hAnsi="Century Gothic"/>
          <w:sz w:val="19"/>
          <w:szCs w:val="19"/>
        </w:rPr>
        <w:t>correspondientes a</w:t>
      </w:r>
      <w:r w:rsidRPr="00BE6941">
        <w:rPr>
          <w:rFonts w:ascii="Century Gothic" w:hAnsi="Century Gothic"/>
          <w:sz w:val="19"/>
          <w:szCs w:val="19"/>
        </w:rPr>
        <w:t xml:space="preserve"> 14 </w:t>
      </w:r>
      <w:r>
        <w:rPr>
          <w:rFonts w:ascii="Century Gothic" w:hAnsi="Century Gothic"/>
          <w:sz w:val="19"/>
          <w:szCs w:val="19"/>
        </w:rPr>
        <w:t>p</w:t>
      </w:r>
      <w:r w:rsidRPr="00BE6941">
        <w:rPr>
          <w:rFonts w:ascii="Century Gothic" w:hAnsi="Century Gothic"/>
          <w:sz w:val="19"/>
          <w:szCs w:val="19"/>
        </w:rPr>
        <w:t xml:space="preserve">rogramas de </w:t>
      </w:r>
      <w:r>
        <w:rPr>
          <w:rFonts w:ascii="Century Gothic" w:hAnsi="Century Gothic"/>
          <w:sz w:val="19"/>
          <w:szCs w:val="19"/>
        </w:rPr>
        <w:t>i</w:t>
      </w:r>
      <w:r w:rsidRPr="00BE6941">
        <w:rPr>
          <w:rFonts w:ascii="Century Gothic" w:hAnsi="Century Gothic"/>
          <w:sz w:val="19"/>
          <w:szCs w:val="19"/>
        </w:rPr>
        <w:t>nformación</w:t>
      </w:r>
      <w:r w:rsidRPr="00240357">
        <w:rPr>
          <w:rFonts w:ascii="Century Gothic" w:hAnsi="Century Gothic"/>
          <w:sz w:val="19"/>
          <w:szCs w:val="19"/>
        </w:rPr>
        <w:t xml:space="preserve"> cuyas fuentes son s</w:t>
      </w:r>
      <w:r>
        <w:rPr>
          <w:rFonts w:ascii="Century Gothic" w:hAnsi="Century Gothic"/>
          <w:sz w:val="19"/>
          <w:szCs w:val="19"/>
        </w:rPr>
        <w:t>ó</w:t>
      </w:r>
      <w:r w:rsidRPr="00240357">
        <w:rPr>
          <w:rFonts w:ascii="Century Gothic" w:hAnsi="Century Gothic"/>
          <w:sz w:val="19"/>
          <w:szCs w:val="19"/>
        </w:rPr>
        <w:t xml:space="preserve">lo </w:t>
      </w:r>
      <w:r>
        <w:rPr>
          <w:rFonts w:ascii="Century Gothic" w:hAnsi="Century Gothic"/>
          <w:sz w:val="19"/>
          <w:szCs w:val="19"/>
        </w:rPr>
        <w:t>r</w:t>
      </w:r>
      <w:r w:rsidRPr="00240357">
        <w:rPr>
          <w:rFonts w:ascii="Century Gothic" w:hAnsi="Century Gothic"/>
          <w:sz w:val="19"/>
          <w:szCs w:val="19"/>
        </w:rPr>
        <w:t xml:space="preserve">egistros </w:t>
      </w:r>
      <w:r>
        <w:rPr>
          <w:rFonts w:ascii="Century Gothic" w:hAnsi="Century Gothic"/>
          <w:sz w:val="19"/>
          <w:szCs w:val="19"/>
        </w:rPr>
        <w:t>a</w:t>
      </w:r>
      <w:r w:rsidRPr="00240357">
        <w:rPr>
          <w:rFonts w:ascii="Century Gothic" w:hAnsi="Century Gothic"/>
          <w:sz w:val="19"/>
          <w:szCs w:val="19"/>
        </w:rPr>
        <w:t>dministrativos</w:t>
      </w:r>
      <w:r>
        <w:rPr>
          <w:rFonts w:ascii="Century Gothic" w:hAnsi="Century Gothic"/>
          <w:sz w:val="19"/>
          <w:szCs w:val="19"/>
        </w:rPr>
        <w:t xml:space="preserve">.  Cabe señalar que el único programa clasificado como registro administrativo en el IPI que no reportó indicadores de precisión estadística fue </w:t>
      </w:r>
      <w:r w:rsidRPr="008343E8">
        <w:rPr>
          <w:rFonts w:ascii="Century Gothic" w:hAnsi="Century Gothic" w:cstheme="minorHAnsi"/>
          <w:sz w:val="19"/>
          <w:szCs w:val="19"/>
        </w:rPr>
        <w:t xml:space="preserve">el programa </w:t>
      </w:r>
      <w:r w:rsidRPr="00BE6941">
        <w:rPr>
          <w:rFonts w:ascii="Century Gothic" w:hAnsi="Century Gothic" w:cstheme="minorHAnsi"/>
          <w:sz w:val="19"/>
          <w:szCs w:val="19"/>
        </w:rPr>
        <w:t>Recopilación de Información de los Cementerios Públicos en las Zonas Metropolitanas del País.</w:t>
      </w:r>
    </w:p>
    <w:p w14:paraId="6A4F6D9C" w14:textId="77777777" w:rsidR="00381867" w:rsidRDefault="00381867" w:rsidP="00381867">
      <w:pPr>
        <w:spacing w:before="40" w:after="40"/>
        <w:jc w:val="both"/>
        <w:rPr>
          <w:rFonts w:ascii="Century Gothic" w:hAnsi="Century Gothic" w:cstheme="minorHAnsi"/>
          <w:sz w:val="19"/>
          <w:szCs w:val="19"/>
        </w:rPr>
      </w:pPr>
    </w:p>
    <w:p w14:paraId="042CF3CF" w14:textId="77777777" w:rsidR="00381867" w:rsidRDefault="00381867" w:rsidP="00381867">
      <w:pPr>
        <w:spacing w:before="40" w:after="40"/>
        <w:jc w:val="both"/>
        <w:rPr>
          <w:rFonts w:ascii="Century Gothic" w:eastAsia="Times New Roman" w:hAnsi="Century Gothic" w:cs="Calibri"/>
          <w:color w:val="000000"/>
          <w:sz w:val="19"/>
          <w:szCs w:val="19"/>
          <w:lang w:eastAsia="es-MX"/>
        </w:rPr>
      </w:pPr>
      <w:r>
        <w:rPr>
          <w:rFonts w:ascii="Century Gothic" w:eastAsia="Times New Roman" w:hAnsi="Century Gothic" w:cs="Calibri"/>
          <w:color w:val="000000"/>
          <w:sz w:val="19"/>
          <w:szCs w:val="19"/>
          <w:lang w:eastAsia="es-MX"/>
        </w:rPr>
        <w:t>En cuanto a las tasas de sobrecobertura, se observa consistencia a lo largo del tiempo en la mayoría de los programas (ver Anexo 3).</w:t>
      </w:r>
    </w:p>
    <w:p w14:paraId="4B920286" w14:textId="77777777" w:rsidR="00381867" w:rsidRDefault="00381867" w:rsidP="00381867">
      <w:pPr>
        <w:spacing w:before="40" w:after="40"/>
        <w:jc w:val="both"/>
        <w:rPr>
          <w:rFonts w:ascii="Century Gothic" w:eastAsia="Times New Roman" w:hAnsi="Century Gothic" w:cs="Calibri"/>
          <w:color w:val="000000"/>
          <w:sz w:val="19"/>
          <w:szCs w:val="19"/>
          <w:lang w:eastAsia="es-MX"/>
        </w:rPr>
      </w:pPr>
    </w:p>
    <w:p w14:paraId="3B779C9B" w14:textId="77777777" w:rsidR="00381867" w:rsidRDefault="00381867" w:rsidP="00381867">
      <w:pPr>
        <w:spacing w:before="40" w:after="40"/>
        <w:jc w:val="both"/>
        <w:rPr>
          <w:rFonts w:ascii="Century Gothic" w:eastAsia="Times New Roman" w:hAnsi="Century Gothic" w:cs="Calibri"/>
          <w:color w:val="000000"/>
          <w:sz w:val="19"/>
          <w:szCs w:val="19"/>
          <w:lang w:eastAsia="es-MX"/>
        </w:rPr>
      </w:pPr>
      <w:r>
        <w:rPr>
          <w:rFonts w:ascii="Century Gothic" w:hAnsi="Century Gothic"/>
          <w:sz w:val="19"/>
          <w:szCs w:val="19"/>
        </w:rPr>
        <w:t xml:space="preserve">En el caso de la tasa de no respuesta a nivel unidad se observa una </w:t>
      </w:r>
      <w:proofErr w:type="gramStart"/>
      <w:r>
        <w:rPr>
          <w:rFonts w:ascii="Century Gothic" w:hAnsi="Century Gothic"/>
          <w:sz w:val="19"/>
          <w:szCs w:val="19"/>
        </w:rPr>
        <w:t>recuperación ,</w:t>
      </w:r>
      <w:proofErr w:type="gramEnd"/>
      <w:r>
        <w:rPr>
          <w:rFonts w:ascii="Century Gothic" w:hAnsi="Century Gothic"/>
          <w:sz w:val="19"/>
          <w:szCs w:val="19"/>
        </w:rPr>
        <w:t xml:space="preserve"> dado que durante 2021 la tasa promedio fue de 1.1% mientras que en 2020 y 2019 fue de 1.4% y 1.0%, respectivamente, lo cual refleja el compromiso de las áreas por mantener la calidad en la información que se publica.  El único programa cuya tasa de no respuesta aumentó fue </w:t>
      </w:r>
      <w:r>
        <w:rPr>
          <w:rFonts w:ascii="Century Gothic" w:eastAsia="Times New Roman" w:hAnsi="Century Gothic" w:cs="Calibri"/>
          <w:color w:val="000000"/>
          <w:sz w:val="19"/>
          <w:szCs w:val="19"/>
          <w:lang w:eastAsia="es-MX"/>
        </w:rPr>
        <w:t xml:space="preserve">la Estadística de Museos (ver Anexo 3). </w:t>
      </w:r>
    </w:p>
    <w:p w14:paraId="76BFBC8C" w14:textId="77777777" w:rsidR="00381867" w:rsidRDefault="00381867" w:rsidP="00381867">
      <w:pPr>
        <w:spacing w:before="40" w:after="40"/>
        <w:jc w:val="both"/>
        <w:rPr>
          <w:rFonts w:ascii="Century Gothic" w:eastAsia="Times New Roman" w:hAnsi="Century Gothic" w:cs="Calibri"/>
          <w:color w:val="000000"/>
          <w:sz w:val="19"/>
          <w:szCs w:val="19"/>
          <w:lang w:eastAsia="es-MX"/>
        </w:rPr>
      </w:pPr>
    </w:p>
    <w:p w14:paraId="34B149AF" w14:textId="77777777" w:rsidR="00381867" w:rsidRDefault="00381867" w:rsidP="00381867">
      <w:pPr>
        <w:spacing w:before="40" w:after="40"/>
        <w:jc w:val="center"/>
        <w:rPr>
          <w:rFonts w:ascii="Century Gothic" w:hAnsi="Century Gothic"/>
        </w:rPr>
      </w:pPr>
      <w:r>
        <w:rPr>
          <w:rFonts w:ascii="Century Gothic" w:hAnsi="Century Gothic"/>
          <w:b/>
          <w:sz w:val="19"/>
          <w:szCs w:val="19"/>
        </w:rPr>
        <w:t>III</w:t>
      </w:r>
      <w:r w:rsidRPr="00E222C3">
        <w:rPr>
          <w:rFonts w:ascii="Century Gothic" w:hAnsi="Century Gothic"/>
          <w:b/>
          <w:sz w:val="19"/>
          <w:szCs w:val="19"/>
        </w:rPr>
        <w:t>.</w:t>
      </w:r>
      <w:r>
        <w:rPr>
          <w:rFonts w:ascii="Century Gothic" w:hAnsi="Century Gothic"/>
          <w:b/>
          <w:sz w:val="19"/>
          <w:szCs w:val="19"/>
        </w:rPr>
        <w:t>5</w:t>
      </w:r>
      <w:r w:rsidRPr="00E222C3">
        <w:rPr>
          <w:rFonts w:ascii="Century Gothic" w:hAnsi="Century Gothic"/>
          <w:b/>
          <w:sz w:val="19"/>
          <w:szCs w:val="19"/>
        </w:rPr>
        <w:t>.1</w:t>
      </w:r>
      <w:r>
        <w:rPr>
          <w:rFonts w:ascii="Century Gothic" w:hAnsi="Century Gothic"/>
          <w:b/>
          <w:sz w:val="19"/>
          <w:szCs w:val="19"/>
        </w:rPr>
        <w:t>.</w:t>
      </w:r>
      <w:r w:rsidRPr="00E222C3">
        <w:rPr>
          <w:rFonts w:ascii="Century Gothic" w:hAnsi="Century Gothic"/>
          <w:b/>
          <w:sz w:val="19"/>
          <w:szCs w:val="19"/>
        </w:rPr>
        <w:t xml:space="preserve"> </w:t>
      </w:r>
      <w:r>
        <w:rPr>
          <w:rFonts w:ascii="Century Gothic" w:hAnsi="Century Gothic"/>
          <w:b/>
          <w:sz w:val="19"/>
          <w:szCs w:val="19"/>
        </w:rPr>
        <w:t>Resultados generales de los indicadores de precisión para registros administrativos</w:t>
      </w:r>
    </w:p>
    <w:tbl>
      <w:tblPr>
        <w:tblW w:w="880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6658"/>
        <w:gridCol w:w="709"/>
        <w:gridCol w:w="709"/>
        <w:gridCol w:w="730"/>
      </w:tblGrid>
      <w:tr w:rsidR="00381867" w:rsidRPr="005E0655" w14:paraId="25CA333A" w14:textId="77777777" w:rsidTr="00381867">
        <w:trPr>
          <w:trHeight w:val="338"/>
          <w:tblHeader/>
          <w:jc w:val="center"/>
        </w:trPr>
        <w:tc>
          <w:tcPr>
            <w:tcW w:w="6658" w:type="dxa"/>
            <w:shd w:val="clear" w:color="000000" w:fill="002060"/>
            <w:vAlign w:val="center"/>
            <w:hideMark/>
          </w:tcPr>
          <w:p w14:paraId="10649E1C" w14:textId="77777777" w:rsidR="00381867" w:rsidRPr="005E0655" w:rsidRDefault="00381867" w:rsidP="00EF2651">
            <w:pPr>
              <w:spacing w:before="40" w:after="40" w:line="240" w:lineRule="auto"/>
              <w:contextualSpacing/>
              <w:jc w:val="center"/>
              <w:rPr>
                <w:rFonts w:ascii="Century Gothic" w:eastAsia="Times New Roman" w:hAnsi="Century Gothic" w:cs="Calibri"/>
                <w:b/>
                <w:bCs/>
                <w:color w:val="FFFFFF"/>
                <w:sz w:val="16"/>
                <w:szCs w:val="16"/>
                <w:lang w:eastAsia="es-MX"/>
              </w:rPr>
            </w:pPr>
            <w:bookmarkStart w:id="1" w:name="_GoBack"/>
          </w:p>
        </w:tc>
        <w:tc>
          <w:tcPr>
            <w:tcW w:w="709" w:type="dxa"/>
            <w:shd w:val="clear" w:color="000000" w:fill="002060"/>
          </w:tcPr>
          <w:p w14:paraId="7F126259" w14:textId="77777777" w:rsidR="00381867" w:rsidRPr="005E0655" w:rsidRDefault="00381867"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2019</w:t>
            </w:r>
          </w:p>
        </w:tc>
        <w:tc>
          <w:tcPr>
            <w:tcW w:w="709" w:type="dxa"/>
            <w:shd w:val="clear" w:color="000000" w:fill="002060"/>
          </w:tcPr>
          <w:p w14:paraId="7F53E9CA" w14:textId="77777777" w:rsidR="00381867" w:rsidRPr="005E0655" w:rsidRDefault="00381867"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2020</w:t>
            </w:r>
          </w:p>
        </w:tc>
        <w:tc>
          <w:tcPr>
            <w:tcW w:w="730" w:type="dxa"/>
            <w:shd w:val="clear" w:color="000000" w:fill="002060"/>
          </w:tcPr>
          <w:p w14:paraId="513CD528" w14:textId="77777777" w:rsidR="00381867" w:rsidRPr="005E0655" w:rsidRDefault="00381867"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2021</w:t>
            </w:r>
          </w:p>
        </w:tc>
      </w:tr>
      <w:tr w:rsidR="00381867" w:rsidRPr="005E0655" w14:paraId="488567A0" w14:textId="77777777" w:rsidTr="00381867">
        <w:trPr>
          <w:trHeight w:val="466"/>
          <w:jc w:val="center"/>
        </w:trPr>
        <w:tc>
          <w:tcPr>
            <w:tcW w:w="6658" w:type="dxa"/>
            <w:shd w:val="clear" w:color="000000" w:fill="F2F2F2"/>
            <w:noWrap/>
            <w:vAlign w:val="center"/>
          </w:tcPr>
          <w:p w14:paraId="591C0DC9" w14:textId="77777777" w:rsidR="00381867" w:rsidRPr="00E750AC" w:rsidRDefault="00381867" w:rsidP="00EF2651">
            <w:pPr>
              <w:spacing w:before="40" w:after="40"/>
              <w:ind w:left="142"/>
              <w:jc w:val="both"/>
              <w:rPr>
                <w:rFonts w:ascii="Century Gothic" w:eastAsia="Times New Roman" w:hAnsi="Century Gothic" w:cs="Calibri"/>
                <w:sz w:val="17"/>
                <w:szCs w:val="17"/>
                <w:lang w:eastAsia="es-MX"/>
              </w:rPr>
            </w:pPr>
            <w:r w:rsidRPr="00E750AC">
              <w:rPr>
                <w:rFonts w:ascii="Century Gothic" w:hAnsi="Century Gothic"/>
                <w:sz w:val="17"/>
                <w:szCs w:val="17"/>
              </w:rPr>
              <w:t>Promedio de las tasas de no respuesta por unidad de los programas cuyo único insum</w:t>
            </w:r>
            <w:r>
              <w:rPr>
                <w:rFonts w:ascii="Century Gothic" w:hAnsi="Century Gothic"/>
                <w:sz w:val="17"/>
                <w:szCs w:val="17"/>
              </w:rPr>
              <w:t>o son registros administrativos</w:t>
            </w:r>
          </w:p>
        </w:tc>
        <w:tc>
          <w:tcPr>
            <w:tcW w:w="709" w:type="dxa"/>
            <w:shd w:val="clear" w:color="000000" w:fill="F2F2F2"/>
            <w:vAlign w:val="center"/>
          </w:tcPr>
          <w:p w14:paraId="2449D06E" w14:textId="77777777" w:rsidR="00381867" w:rsidRPr="00E750AC" w:rsidRDefault="00381867" w:rsidP="00EF2651">
            <w:pPr>
              <w:spacing w:before="40" w:after="40" w:line="240" w:lineRule="auto"/>
              <w:contextualSpacing/>
              <w:jc w:val="center"/>
              <w:rPr>
                <w:rFonts w:ascii="Century Gothic" w:eastAsia="Times New Roman" w:hAnsi="Century Gothic" w:cs="Calibri"/>
                <w:sz w:val="17"/>
                <w:szCs w:val="17"/>
                <w:lang w:eastAsia="es-MX"/>
              </w:rPr>
            </w:pPr>
            <w:r w:rsidRPr="00E750AC">
              <w:rPr>
                <w:rFonts w:ascii="Century Gothic" w:hAnsi="Century Gothic"/>
                <w:sz w:val="17"/>
                <w:szCs w:val="17"/>
              </w:rPr>
              <w:t>1.0%</w:t>
            </w:r>
          </w:p>
        </w:tc>
        <w:tc>
          <w:tcPr>
            <w:tcW w:w="709" w:type="dxa"/>
            <w:shd w:val="clear" w:color="000000" w:fill="F2F2F2"/>
            <w:vAlign w:val="center"/>
          </w:tcPr>
          <w:p w14:paraId="3ECDE1D4" w14:textId="77777777" w:rsidR="00381867" w:rsidRPr="00E750AC" w:rsidRDefault="00381867" w:rsidP="00EF2651">
            <w:pPr>
              <w:spacing w:before="40" w:after="40" w:line="240" w:lineRule="auto"/>
              <w:contextualSpacing/>
              <w:jc w:val="center"/>
              <w:rPr>
                <w:rFonts w:ascii="Century Gothic" w:eastAsia="Times New Roman" w:hAnsi="Century Gothic" w:cs="Calibri"/>
                <w:sz w:val="17"/>
                <w:szCs w:val="17"/>
                <w:lang w:eastAsia="es-MX"/>
              </w:rPr>
            </w:pPr>
            <w:r w:rsidRPr="00E750AC">
              <w:rPr>
                <w:rFonts w:ascii="Century Gothic" w:hAnsi="Century Gothic"/>
                <w:sz w:val="17"/>
                <w:szCs w:val="17"/>
              </w:rPr>
              <w:t>1.4%</w:t>
            </w:r>
          </w:p>
        </w:tc>
        <w:tc>
          <w:tcPr>
            <w:tcW w:w="730" w:type="dxa"/>
            <w:shd w:val="clear" w:color="000000" w:fill="F2F2F2"/>
            <w:vAlign w:val="center"/>
          </w:tcPr>
          <w:p w14:paraId="7B5D61FF" w14:textId="77777777" w:rsidR="00381867" w:rsidRPr="00E750AC" w:rsidRDefault="00381867" w:rsidP="00EF2651">
            <w:pPr>
              <w:spacing w:before="40" w:after="40" w:line="240" w:lineRule="auto"/>
              <w:contextualSpacing/>
              <w:jc w:val="center"/>
              <w:rPr>
                <w:rFonts w:ascii="Century Gothic" w:eastAsia="Times New Roman" w:hAnsi="Century Gothic" w:cs="Calibri"/>
                <w:sz w:val="17"/>
                <w:szCs w:val="17"/>
                <w:lang w:eastAsia="es-MX"/>
              </w:rPr>
            </w:pPr>
            <w:r w:rsidRPr="00E750AC">
              <w:rPr>
                <w:rFonts w:ascii="Century Gothic" w:hAnsi="Century Gothic"/>
                <w:sz w:val="17"/>
                <w:szCs w:val="17"/>
              </w:rPr>
              <w:t>1.1%</w:t>
            </w:r>
          </w:p>
        </w:tc>
      </w:tr>
      <w:bookmarkEnd w:id="1"/>
    </w:tbl>
    <w:p w14:paraId="40E545DC" w14:textId="77777777" w:rsidR="00381867" w:rsidRDefault="00381867" w:rsidP="00381867">
      <w:pPr>
        <w:spacing w:before="40" w:after="40"/>
        <w:jc w:val="both"/>
        <w:rPr>
          <w:rFonts w:ascii="Century Gothic" w:hAnsi="Century Gothic"/>
          <w:sz w:val="19"/>
          <w:szCs w:val="19"/>
        </w:rPr>
      </w:pPr>
    </w:p>
    <w:p w14:paraId="36B5CF81" w14:textId="77777777" w:rsidR="00381867" w:rsidRDefault="00381867" w:rsidP="00381867">
      <w:pPr>
        <w:spacing w:before="40" w:after="40"/>
        <w:jc w:val="both"/>
        <w:rPr>
          <w:rFonts w:ascii="Century Gothic" w:hAnsi="Century Gothic"/>
          <w:sz w:val="19"/>
          <w:szCs w:val="19"/>
        </w:rPr>
      </w:pPr>
      <w:r w:rsidRPr="00296E53">
        <w:rPr>
          <w:rFonts w:ascii="Century Gothic" w:hAnsi="Century Gothic"/>
          <w:sz w:val="19"/>
          <w:szCs w:val="19"/>
        </w:rPr>
        <w:t xml:space="preserve">En el cuadro </w:t>
      </w:r>
      <w:r>
        <w:rPr>
          <w:rFonts w:ascii="Century Gothic" w:hAnsi="Century Gothic"/>
          <w:sz w:val="19"/>
          <w:szCs w:val="19"/>
        </w:rPr>
        <w:t>III</w:t>
      </w:r>
      <w:r w:rsidRPr="00296E53">
        <w:rPr>
          <w:rFonts w:ascii="Century Gothic" w:hAnsi="Century Gothic"/>
          <w:sz w:val="19"/>
          <w:szCs w:val="19"/>
        </w:rPr>
        <w:t>.5</w:t>
      </w:r>
      <w:r w:rsidRPr="008343E8">
        <w:rPr>
          <w:rFonts w:ascii="Century Gothic" w:hAnsi="Century Gothic"/>
          <w:sz w:val="19"/>
          <w:szCs w:val="19"/>
        </w:rPr>
        <w:t>.</w:t>
      </w:r>
      <w:r>
        <w:rPr>
          <w:rFonts w:ascii="Century Gothic" w:hAnsi="Century Gothic"/>
          <w:sz w:val="19"/>
          <w:szCs w:val="19"/>
        </w:rPr>
        <w:t>2</w:t>
      </w:r>
      <w:r w:rsidRPr="008343E8">
        <w:rPr>
          <w:rFonts w:ascii="Century Gothic" w:hAnsi="Century Gothic"/>
          <w:sz w:val="19"/>
          <w:szCs w:val="19"/>
        </w:rPr>
        <w:t>., se</w:t>
      </w:r>
      <w:r w:rsidRPr="00296E53">
        <w:rPr>
          <w:rFonts w:ascii="Century Gothic" w:hAnsi="Century Gothic"/>
          <w:sz w:val="19"/>
          <w:szCs w:val="19"/>
        </w:rPr>
        <w:t xml:space="preserve"> presentan </w:t>
      </w:r>
      <w:r>
        <w:rPr>
          <w:rFonts w:ascii="Century Gothic" w:hAnsi="Century Gothic"/>
          <w:sz w:val="19"/>
          <w:szCs w:val="19"/>
        </w:rPr>
        <w:t>los programas para los que se observaron tasas de no respuesta a nivel variable mayores a cero</w:t>
      </w:r>
      <w:r w:rsidRPr="00296E53">
        <w:rPr>
          <w:rFonts w:ascii="Century Gothic" w:hAnsi="Century Gothic"/>
          <w:sz w:val="19"/>
          <w:szCs w:val="19"/>
        </w:rPr>
        <w:t>.</w:t>
      </w:r>
      <w:r>
        <w:rPr>
          <w:rFonts w:ascii="Century Gothic" w:hAnsi="Century Gothic"/>
          <w:sz w:val="19"/>
          <w:szCs w:val="19"/>
        </w:rPr>
        <w:t xml:space="preserve">  Si bien las tasas de no respuesta media a nivel variable se han recuperado respecto al año anterior para prácticamente todos los programas, al revisar las tasas de no respuesta máximas reportadas se observa que los programas Estadísticas de Defunciones Fetales, Estadísticas de Nacimientos Registrados, Estadística de Divorcios y Estadísticas sobre Relaciones Laborales de Jurisdicción Local presentan casos de variables con no respuesta superiores a 75%, por lo que es necesario revisar si estas variables contribuyen al objetivo del programa y, en su caso, definir estrategias para mejorar la respuesta.</w:t>
      </w:r>
    </w:p>
    <w:p w14:paraId="77E665BF" w14:textId="77777777" w:rsidR="00381867" w:rsidRDefault="00381867" w:rsidP="00381867">
      <w:pPr>
        <w:spacing w:before="40" w:after="40"/>
        <w:jc w:val="both"/>
        <w:rPr>
          <w:rFonts w:ascii="Century Gothic" w:hAnsi="Century Gothic"/>
          <w:sz w:val="19"/>
          <w:szCs w:val="19"/>
        </w:rPr>
      </w:pPr>
    </w:p>
    <w:p w14:paraId="5CDA4114" w14:textId="77777777" w:rsidR="00381867" w:rsidRDefault="00381867" w:rsidP="00381867">
      <w:pPr>
        <w:spacing w:before="40" w:after="40"/>
        <w:jc w:val="both"/>
        <w:rPr>
          <w:rFonts w:ascii="Century Gothic" w:eastAsia="Times New Roman" w:hAnsi="Century Gothic" w:cs="Calibri"/>
          <w:color w:val="000000"/>
          <w:sz w:val="19"/>
          <w:szCs w:val="19"/>
          <w:lang w:eastAsia="es-MX"/>
        </w:rPr>
      </w:pPr>
      <w:r w:rsidRPr="0038626F">
        <w:rPr>
          <w:rFonts w:ascii="Century Gothic" w:hAnsi="Century Gothic"/>
          <w:sz w:val="19"/>
          <w:szCs w:val="19"/>
        </w:rPr>
        <w:t>Es importante determinar las causas de la no respuesta a nivel variable para ciertos programas de información que destacan por sus elevadas tasas reportadas en 2021. En este mismo sentido, s</w:t>
      </w:r>
      <w:r w:rsidRPr="0038626F">
        <w:rPr>
          <w:rFonts w:ascii="Century Gothic" w:eastAsia="Times New Roman" w:hAnsi="Century Gothic" w:cs="Calibri"/>
          <w:color w:val="000000"/>
          <w:sz w:val="19"/>
          <w:szCs w:val="19"/>
          <w:lang w:eastAsia="es-MX"/>
        </w:rPr>
        <w:t xml:space="preserve">e recomienda revisar el listado de indicadores </w:t>
      </w:r>
      <w:proofErr w:type="gramStart"/>
      <w:r w:rsidRPr="0038626F">
        <w:rPr>
          <w:rFonts w:ascii="Century Gothic" w:eastAsia="Times New Roman" w:hAnsi="Century Gothic" w:cs="Calibri"/>
          <w:color w:val="000000"/>
          <w:sz w:val="19"/>
          <w:szCs w:val="19"/>
          <w:lang w:eastAsia="es-MX"/>
        </w:rPr>
        <w:t>objetivo asociados</w:t>
      </w:r>
      <w:proofErr w:type="gramEnd"/>
      <w:r w:rsidRPr="0038626F">
        <w:rPr>
          <w:rFonts w:ascii="Century Gothic" w:eastAsia="Times New Roman" w:hAnsi="Century Gothic" w:cs="Calibri"/>
          <w:color w:val="000000"/>
          <w:sz w:val="19"/>
          <w:szCs w:val="19"/>
          <w:lang w:eastAsia="es-MX"/>
        </w:rPr>
        <w:t xml:space="preserve"> a variables principales para los que se está reportando la tasa de no respuesta a nivel variable, ya que en algunos programas se observan tasas de no respuesta a nivel variable superi</w:t>
      </w:r>
      <w:r>
        <w:rPr>
          <w:rFonts w:ascii="Century Gothic" w:eastAsia="Times New Roman" w:hAnsi="Century Gothic" w:cs="Calibri"/>
          <w:color w:val="000000"/>
          <w:sz w:val="19"/>
          <w:szCs w:val="19"/>
          <w:lang w:eastAsia="es-MX"/>
        </w:rPr>
        <w:t>ores a 75 y hasta 100%.</w:t>
      </w:r>
    </w:p>
    <w:p w14:paraId="3BFF7D4C" w14:textId="77777777" w:rsidR="00381867" w:rsidRDefault="00381867" w:rsidP="00381867">
      <w:pPr>
        <w:spacing w:before="40" w:after="40"/>
        <w:jc w:val="both"/>
        <w:rPr>
          <w:rFonts w:ascii="Century Gothic" w:hAnsi="Century Gothic"/>
          <w:sz w:val="19"/>
          <w:szCs w:val="19"/>
        </w:rPr>
      </w:pPr>
    </w:p>
    <w:p w14:paraId="5376AF10" w14:textId="77777777" w:rsidR="00381867" w:rsidRDefault="00381867" w:rsidP="00381867">
      <w:pPr>
        <w:spacing w:before="40" w:after="40"/>
        <w:jc w:val="both"/>
        <w:rPr>
          <w:rFonts w:ascii="Century Gothic" w:hAnsi="Century Gothic"/>
          <w:sz w:val="19"/>
          <w:szCs w:val="19"/>
        </w:rPr>
      </w:pPr>
      <w:r>
        <w:rPr>
          <w:rFonts w:ascii="Century Gothic" w:hAnsi="Century Gothic"/>
          <w:sz w:val="19"/>
          <w:szCs w:val="19"/>
        </w:rPr>
        <w:t xml:space="preserve">Los programas de Finanzas </w:t>
      </w:r>
      <w:r w:rsidRPr="00A905C4">
        <w:rPr>
          <w:rFonts w:ascii="Century Gothic" w:hAnsi="Century Gothic"/>
          <w:sz w:val="19"/>
          <w:szCs w:val="19"/>
        </w:rPr>
        <w:t>Públicas Estatales y Municipales</w:t>
      </w:r>
      <w:r>
        <w:rPr>
          <w:rFonts w:ascii="Century Gothic" w:hAnsi="Century Gothic"/>
          <w:sz w:val="19"/>
          <w:szCs w:val="19"/>
        </w:rPr>
        <w:t xml:space="preserve">, </w:t>
      </w:r>
      <w:r w:rsidRPr="00A905C4">
        <w:rPr>
          <w:rFonts w:ascii="Century Gothic" w:hAnsi="Century Gothic"/>
          <w:sz w:val="19"/>
          <w:szCs w:val="19"/>
        </w:rPr>
        <w:t>Transporte Urbano de Pasajeros</w:t>
      </w:r>
      <w:r>
        <w:rPr>
          <w:rFonts w:ascii="Century Gothic" w:hAnsi="Century Gothic"/>
          <w:sz w:val="19"/>
          <w:szCs w:val="19"/>
        </w:rPr>
        <w:t xml:space="preserve">, </w:t>
      </w:r>
      <w:r w:rsidRPr="00A905C4">
        <w:rPr>
          <w:rFonts w:ascii="Century Gothic" w:hAnsi="Century Gothic"/>
          <w:sz w:val="19"/>
          <w:szCs w:val="19"/>
        </w:rPr>
        <w:t>Sacrificio de Ganado en Rastros Municipales</w:t>
      </w:r>
      <w:r>
        <w:rPr>
          <w:rFonts w:ascii="Century Gothic" w:hAnsi="Century Gothic"/>
          <w:sz w:val="19"/>
          <w:szCs w:val="19"/>
        </w:rPr>
        <w:t>,</w:t>
      </w:r>
      <w:r w:rsidRPr="00A905C4">
        <w:rPr>
          <w:rFonts w:ascii="Century Gothic" w:hAnsi="Century Gothic"/>
          <w:sz w:val="19"/>
          <w:szCs w:val="19"/>
        </w:rPr>
        <w:t xml:space="preserve"> Vehículos de Motor Registrados en Circulación</w:t>
      </w:r>
      <w:r>
        <w:rPr>
          <w:rFonts w:ascii="Century Gothic" w:hAnsi="Century Gothic"/>
          <w:sz w:val="19"/>
          <w:szCs w:val="19"/>
        </w:rPr>
        <w:t xml:space="preserve"> y </w:t>
      </w:r>
      <w:r w:rsidRPr="00A905C4">
        <w:rPr>
          <w:rFonts w:ascii="Century Gothic" w:hAnsi="Century Gothic"/>
          <w:sz w:val="19"/>
          <w:szCs w:val="19"/>
        </w:rPr>
        <w:t>Estadísticas de Salud en Establecimientos Particulares</w:t>
      </w:r>
      <w:r>
        <w:rPr>
          <w:rFonts w:ascii="Century Gothic" w:hAnsi="Century Gothic"/>
          <w:sz w:val="19"/>
          <w:szCs w:val="19"/>
        </w:rPr>
        <w:t xml:space="preserve"> reportaron tasas de no respuesta a nivel variable de 0%.</w:t>
      </w:r>
    </w:p>
    <w:p w14:paraId="0B26EC95" w14:textId="77777777" w:rsidR="00381867" w:rsidRDefault="00381867" w:rsidP="00381867">
      <w:pPr>
        <w:spacing w:before="40" w:after="40"/>
        <w:jc w:val="both"/>
        <w:rPr>
          <w:rFonts w:ascii="Century Gothic" w:hAnsi="Century Gothic"/>
          <w:sz w:val="19"/>
          <w:szCs w:val="19"/>
        </w:rPr>
      </w:pPr>
    </w:p>
    <w:p w14:paraId="6F4EB597" w14:textId="77777777" w:rsidR="00381867" w:rsidRDefault="00381867" w:rsidP="00381867">
      <w:pPr>
        <w:spacing w:before="40" w:after="40"/>
        <w:ind w:left="284"/>
        <w:jc w:val="center"/>
        <w:rPr>
          <w:rFonts w:ascii="Century Gothic" w:hAnsi="Century Gothic"/>
          <w:b/>
          <w:sz w:val="20"/>
          <w:szCs w:val="20"/>
        </w:rPr>
      </w:pPr>
      <w:r>
        <w:rPr>
          <w:rFonts w:ascii="Century Gothic" w:hAnsi="Century Gothic"/>
          <w:b/>
          <w:bCs/>
          <w:sz w:val="20"/>
          <w:szCs w:val="20"/>
        </w:rPr>
        <w:t>III</w:t>
      </w:r>
      <w:r w:rsidRPr="00296E53">
        <w:rPr>
          <w:rFonts w:ascii="Century Gothic" w:hAnsi="Century Gothic"/>
          <w:b/>
          <w:bCs/>
          <w:sz w:val="20"/>
          <w:szCs w:val="20"/>
        </w:rPr>
        <w:t>.5.</w:t>
      </w:r>
      <w:r>
        <w:rPr>
          <w:rFonts w:ascii="Century Gothic" w:hAnsi="Century Gothic"/>
          <w:b/>
          <w:bCs/>
          <w:sz w:val="20"/>
          <w:szCs w:val="20"/>
        </w:rPr>
        <w:t>2.</w:t>
      </w:r>
      <w:r w:rsidRPr="00296E53">
        <w:rPr>
          <w:rFonts w:ascii="Century Gothic" w:hAnsi="Century Gothic"/>
          <w:b/>
          <w:bCs/>
          <w:sz w:val="20"/>
          <w:szCs w:val="20"/>
        </w:rPr>
        <w:t xml:space="preserve"> </w:t>
      </w:r>
      <w:r>
        <w:rPr>
          <w:rFonts w:ascii="Century Gothic" w:hAnsi="Century Gothic"/>
          <w:b/>
          <w:bCs/>
          <w:sz w:val="20"/>
          <w:szCs w:val="20"/>
        </w:rPr>
        <w:t>Programas con</w:t>
      </w:r>
      <w:r w:rsidRPr="00296E53">
        <w:rPr>
          <w:rFonts w:ascii="Century Gothic" w:hAnsi="Century Gothic"/>
          <w:b/>
          <w:bCs/>
          <w:sz w:val="20"/>
          <w:szCs w:val="20"/>
        </w:rPr>
        <w:t xml:space="preserve"> tasa</w:t>
      </w:r>
      <w:r>
        <w:rPr>
          <w:rFonts w:ascii="Century Gothic" w:hAnsi="Century Gothic"/>
          <w:b/>
          <w:bCs/>
          <w:sz w:val="20"/>
          <w:szCs w:val="20"/>
        </w:rPr>
        <w:t>s</w:t>
      </w:r>
      <w:r w:rsidRPr="00296E53">
        <w:rPr>
          <w:rFonts w:ascii="Century Gothic" w:hAnsi="Century Gothic"/>
          <w:b/>
          <w:bCs/>
          <w:sz w:val="20"/>
          <w:szCs w:val="20"/>
        </w:rPr>
        <w:t xml:space="preserve"> de no respuesta </w:t>
      </w:r>
      <w:r>
        <w:rPr>
          <w:rFonts w:ascii="Century Gothic" w:hAnsi="Century Gothic"/>
          <w:b/>
          <w:bCs/>
          <w:sz w:val="20"/>
          <w:szCs w:val="20"/>
        </w:rPr>
        <w:t>a nivel</w:t>
      </w:r>
      <w:r w:rsidRPr="00296E53">
        <w:rPr>
          <w:rFonts w:ascii="Century Gothic" w:hAnsi="Century Gothic"/>
          <w:b/>
          <w:bCs/>
          <w:sz w:val="20"/>
          <w:szCs w:val="20"/>
        </w:rPr>
        <w:t xml:space="preserve"> variable</w:t>
      </w:r>
      <w:r>
        <w:rPr>
          <w:rFonts w:ascii="Century Gothic" w:hAnsi="Century Gothic"/>
          <w:b/>
          <w:bCs/>
          <w:sz w:val="20"/>
          <w:szCs w:val="20"/>
        </w:rPr>
        <w:t xml:space="preserve"> mayores a cero</w:t>
      </w:r>
    </w:p>
    <w:tbl>
      <w:tblPr>
        <w:tblW w:w="5000" w:type="pct"/>
        <w:jc w:val="center"/>
        <w:tblLayout w:type="fixed"/>
        <w:tblCellMar>
          <w:left w:w="70" w:type="dxa"/>
          <w:right w:w="70" w:type="dxa"/>
        </w:tblCellMar>
        <w:tblLook w:val="04A0" w:firstRow="1" w:lastRow="0" w:firstColumn="1" w:lastColumn="0" w:noHBand="0" w:noVBand="1"/>
      </w:tblPr>
      <w:tblGrid>
        <w:gridCol w:w="2893"/>
        <w:gridCol w:w="815"/>
        <w:gridCol w:w="580"/>
        <w:gridCol w:w="580"/>
        <w:gridCol w:w="580"/>
        <w:gridCol w:w="559"/>
        <w:gridCol w:w="489"/>
        <w:gridCol w:w="582"/>
        <w:gridCol w:w="582"/>
        <w:gridCol w:w="580"/>
        <w:gridCol w:w="578"/>
      </w:tblGrid>
      <w:tr w:rsidR="00381867" w:rsidRPr="00880BCA" w14:paraId="2FE05033" w14:textId="77777777" w:rsidTr="00EF2651">
        <w:trPr>
          <w:trHeight w:val="315"/>
          <w:tblHeader/>
          <w:jc w:val="center"/>
        </w:trPr>
        <w:tc>
          <w:tcPr>
            <w:tcW w:w="1640" w:type="pct"/>
            <w:vMerge w:val="restart"/>
            <w:tcBorders>
              <w:top w:val="single" w:sz="8" w:space="0" w:color="FFFFFF"/>
              <w:left w:val="single" w:sz="8" w:space="0" w:color="FFFFFF"/>
              <w:bottom w:val="single" w:sz="8" w:space="0" w:color="FFFFFF"/>
              <w:right w:val="single" w:sz="8" w:space="0" w:color="FFFFFF"/>
            </w:tcBorders>
            <w:shd w:val="clear" w:color="000000" w:fill="D9D9D9"/>
            <w:vAlign w:val="center"/>
            <w:hideMark/>
          </w:tcPr>
          <w:p w14:paraId="39995B2A"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Programa</w:t>
            </w:r>
          </w:p>
        </w:tc>
        <w:tc>
          <w:tcPr>
            <w:tcW w:w="462" w:type="pct"/>
            <w:vMerge w:val="restart"/>
            <w:tcBorders>
              <w:top w:val="single" w:sz="8" w:space="0" w:color="FFFFFF"/>
              <w:left w:val="single" w:sz="8" w:space="0" w:color="FFFFFF"/>
              <w:bottom w:val="single" w:sz="8" w:space="0" w:color="FFFFFF"/>
              <w:right w:val="single" w:sz="8" w:space="0" w:color="FFFFFF"/>
            </w:tcBorders>
            <w:shd w:val="clear" w:color="000000" w:fill="D9D9D9"/>
            <w:vAlign w:val="center"/>
            <w:hideMark/>
          </w:tcPr>
          <w:p w14:paraId="4B4B3718"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Acrónimo</w:t>
            </w:r>
          </w:p>
        </w:tc>
        <w:tc>
          <w:tcPr>
            <w:tcW w:w="987" w:type="pct"/>
            <w:gridSpan w:val="3"/>
            <w:vMerge w:val="restart"/>
            <w:tcBorders>
              <w:top w:val="single" w:sz="8" w:space="0" w:color="FFFFFF"/>
              <w:left w:val="single" w:sz="8" w:space="0" w:color="FFFFFF"/>
              <w:bottom w:val="single" w:sz="8" w:space="0" w:color="FFFFFF"/>
              <w:right w:val="single" w:sz="8" w:space="0" w:color="FFFFFF"/>
            </w:tcBorders>
            <w:shd w:val="clear" w:color="000000" w:fill="D9D9D9"/>
            <w:vAlign w:val="center"/>
            <w:hideMark/>
          </w:tcPr>
          <w:p w14:paraId="1F8D6F95"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Número de variables</w:t>
            </w:r>
          </w:p>
        </w:tc>
        <w:tc>
          <w:tcPr>
            <w:tcW w:w="1912" w:type="pct"/>
            <w:gridSpan w:val="6"/>
            <w:tcBorders>
              <w:top w:val="single" w:sz="8" w:space="0" w:color="FFFFFF"/>
              <w:left w:val="nil"/>
              <w:bottom w:val="single" w:sz="8" w:space="0" w:color="FFFFFF"/>
              <w:right w:val="single" w:sz="8" w:space="0" w:color="FFFFFF"/>
            </w:tcBorders>
            <w:shd w:val="clear" w:color="000000" w:fill="FFE599"/>
            <w:vAlign w:val="center"/>
            <w:hideMark/>
          </w:tcPr>
          <w:p w14:paraId="0FFE7522"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 xml:space="preserve">Tasa de no respuesta </w:t>
            </w:r>
            <w:r>
              <w:rPr>
                <w:rFonts w:ascii="Century Gothic" w:eastAsia="Times New Roman" w:hAnsi="Century Gothic" w:cs="Calibri"/>
                <w:b/>
                <w:bCs/>
                <w:color w:val="000000"/>
                <w:sz w:val="17"/>
                <w:szCs w:val="17"/>
                <w:lang w:eastAsia="es-MX"/>
              </w:rPr>
              <w:t>a nivel</w:t>
            </w:r>
            <w:r w:rsidRPr="00880BCA">
              <w:rPr>
                <w:rFonts w:ascii="Century Gothic" w:eastAsia="Times New Roman" w:hAnsi="Century Gothic" w:cs="Calibri"/>
                <w:b/>
                <w:bCs/>
                <w:color w:val="000000"/>
                <w:sz w:val="17"/>
                <w:szCs w:val="17"/>
                <w:lang w:eastAsia="es-MX"/>
              </w:rPr>
              <w:t xml:space="preserve"> variable (%)</w:t>
            </w:r>
          </w:p>
        </w:tc>
      </w:tr>
      <w:tr w:rsidR="00381867" w:rsidRPr="00880BCA" w14:paraId="13F08FE7" w14:textId="77777777" w:rsidTr="00EF2651">
        <w:trPr>
          <w:trHeight w:val="315"/>
          <w:tblHeader/>
          <w:jc w:val="center"/>
        </w:trPr>
        <w:tc>
          <w:tcPr>
            <w:tcW w:w="1640" w:type="pct"/>
            <w:vMerge/>
            <w:tcBorders>
              <w:top w:val="single" w:sz="8" w:space="0" w:color="FFFFFF"/>
              <w:left w:val="single" w:sz="8" w:space="0" w:color="FFFFFF"/>
              <w:bottom w:val="single" w:sz="8" w:space="0" w:color="FFFFFF"/>
              <w:right w:val="single" w:sz="8" w:space="0" w:color="FFFFFF"/>
            </w:tcBorders>
            <w:vAlign w:val="center"/>
            <w:hideMark/>
          </w:tcPr>
          <w:p w14:paraId="4B718CDE" w14:textId="77777777" w:rsidR="00381867" w:rsidRPr="00880BCA" w:rsidRDefault="00381867" w:rsidP="00EF2651">
            <w:pPr>
              <w:spacing w:before="40" w:after="40" w:line="240" w:lineRule="auto"/>
              <w:rPr>
                <w:rFonts w:ascii="Century Gothic" w:eastAsia="Times New Roman" w:hAnsi="Century Gothic" w:cs="Calibri"/>
                <w:b/>
                <w:bCs/>
                <w:color w:val="000000"/>
                <w:sz w:val="17"/>
                <w:szCs w:val="17"/>
                <w:lang w:eastAsia="es-MX"/>
              </w:rPr>
            </w:pPr>
          </w:p>
        </w:tc>
        <w:tc>
          <w:tcPr>
            <w:tcW w:w="462" w:type="pct"/>
            <w:vMerge/>
            <w:tcBorders>
              <w:top w:val="single" w:sz="8" w:space="0" w:color="FFFFFF"/>
              <w:left w:val="single" w:sz="8" w:space="0" w:color="FFFFFF"/>
              <w:bottom w:val="single" w:sz="8" w:space="0" w:color="FFFFFF"/>
              <w:right w:val="single" w:sz="8" w:space="0" w:color="FFFFFF"/>
            </w:tcBorders>
            <w:vAlign w:val="center"/>
            <w:hideMark/>
          </w:tcPr>
          <w:p w14:paraId="5E360068" w14:textId="77777777" w:rsidR="00381867" w:rsidRPr="00880BCA" w:rsidRDefault="00381867" w:rsidP="00EF2651">
            <w:pPr>
              <w:spacing w:before="40" w:after="40" w:line="240" w:lineRule="auto"/>
              <w:rPr>
                <w:rFonts w:ascii="Century Gothic" w:eastAsia="Times New Roman" w:hAnsi="Century Gothic" w:cs="Calibri"/>
                <w:b/>
                <w:bCs/>
                <w:color w:val="000000"/>
                <w:sz w:val="17"/>
                <w:szCs w:val="17"/>
                <w:lang w:eastAsia="es-MX"/>
              </w:rPr>
            </w:pPr>
          </w:p>
        </w:tc>
        <w:tc>
          <w:tcPr>
            <w:tcW w:w="987" w:type="pct"/>
            <w:gridSpan w:val="3"/>
            <w:vMerge/>
            <w:tcBorders>
              <w:top w:val="single" w:sz="8" w:space="0" w:color="FFFFFF"/>
              <w:left w:val="single" w:sz="8" w:space="0" w:color="FFFFFF"/>
              <w:bottom w:val="single" w:sz="8" w:space="0" w:color="FFFFFF"/>
              <w:right w:val="single" w:sz="8" w:space="0" w:color="FFFFFF"/>
            </w:tcBorders>
            <w:vAlign w:val="center"/>
            <w:hideMark/>
          </w:tcPr>
          <w:p w14:paraId="58BA74DD" w14:textId="77777777" w:rsidR="00381867" w:rsidRPr="00880BCA" w:rsidRDefault="00381867" w:rsidP="00EF2651">
            <w:pPr>
              <w:spacing w:before="40" w:after="40" w:line="240" w:lineRule="auto"/>
              <w:rPr>
                <w:rFonts w:ascii="Century Gothic" w:eastAsia="Times New Roman" w:hAnsi="Century Gothic" w:cs="Calibri"/>
                <w:b/>
                <w:bCs/>
                <w:color w:val="000000"/>
                <w:sz w:val="17"/>
                <w:szCs w:val="17"/>
                <w:lang w:eastAsia="es-MX"/>
              </w:rPr>
            </w:pPr>
          </w:p>
        </w:tc>
        <w:tc>
          <w:tcPr>
            <w:tcW w:w="923" w:type="pct"/>
            <w:gridSpan w:val="3"/>
            <w:tcBorders>
              <w:top w:val="single" w:sz="8" w:space="0" w:color="FFFFFF"/>
              <w:left w:val="nil"/>
              <w:bottom w:val="single" w:sz="8" w:space="0" w:color="FFFFFF"/>
              <w:right w:val="single" w:sz="8" w:space="0" w:color="FFFFFF"/>
            </w:tcBorders>
            <w:shd w:val="clear" w:color="000000" w:fill="FFE599"/>
            <w:vAlign w:val="center"/>
            <w:hideMark/>
          </w:tcPr>
          <w:p w14:paraId="04222F62"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Media</w:t>
            </w:r>
          </w:p>
        </w:tc>
        <w:tc>
          <w:tcPr>
            <w:tcW w:w="988" w:type="pct"/>
            <w:gridSpan w:val="3"/>
            <w:tcBorders>
              <w:top w:val="single" w:sz="8" w:space="0" w:color="FFFFFF"/>
              <w:left w:val="nil"/>
              <w:bottom w:val="single" w:sz="8" w:space="0" w:color="FFFFFF"/>
              <w:right w:val="single" w:sz="8" w:space="0" w:color="FFFFFF"/>
            </w:tcBorders>
            <w:shd w:val="clear" w:color="000000" w:fill="FFE599"/>
            <w:vAlign w:val="center"/>
            <w:hideMark/>
          </w:tcPr>
          <w:p w14:paraId="2E808810"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Máxima</w:t>
            </w:r>
          </w:p>
        </w:tc>
      </w:tr>
      <w:tr w:rsidR="00381867" w:rsidRPr="00880BCA" w14:paraId="597176AF" w14:textId="77777777" w:rsidTr="00EF2651">
        <w:trPr>
          <w:trHeight w:val="315"/>
          <w:tblHeader/>
          <w:jc w:val="center"/>
        </w:trPr>
        <w:tc>
          <w:tcPr>
            <w:tcW w:w="1640" w:type="pct"/>
            <w:vMerge/>
            <w:tcBorders>
              <w:top w:val="single" w:sz="8" w:space="0" w:color="FFFFFF"/>
              <w:left w:val="single" w:sz="8" w:space="0" w:color="FFFFFF"/>
              <w:bottom w:val="single" w:sz="8" w:space="0" w:color="FFFFFF"/>
              <w:right w:val="single" w:sz="8" w:space="0" w:color="FFFFFF"/>
            </w:tcBorders>
            <w:vAlign w:val="center"/>
            <w:hideMark/>
          </w:tcPr>
          <w:p w14:paraId="0ECD4C57" w14:textId="77777777" w:rsidR="00381867" w:rsidRPr="00880BCA" w:rsidRDefault="00381867" w:rsidP="00EF2651">
            <w:pPr>
              <w:spacing w:before="40" w:after="40" w:line="240" w:lineRule="auto"/>
              <w:rPr>
                <w:rFonts w:ascii="Century Gothic" w:eastAsia="Times New Roman" w:hAnsi="Century Gothic" w:cs="Calibri"/>
                <w:b/>
                <w:bCs/>
                <w:color w:val="000000"/>
                <w:sz w:val="17"/>
                <w:szCs w:val="17"/>
                <w:lang w:eastAsia="es-MX"/>
              </w:rPr>
            </w:pPr>
          </w:p>
        </w:tc>
        <w:tc>
          <w:tcPr>
            <w:tcW w:w="462" w:type="pct"/>
            <w:vMerge/>
            <w:tcBorders>
              <w:top w:val="single" w:sz="8" w:space="0" w:color="FFFFFF"/>
              <w:left w:val="single" w:sz="8" w:space="0" w:color="FFFFFF"/>
              <w:bottom w:val="single" w:sz="8" w:space="0" w:color="FFFFFF"/>
              <w:right w:val="single" w:sz="8" w:space="0" w:color="FFFFFF"/>
            </w:tcBorders>
            <w:vAlign w:val="center"/>
            <w:hideMark/>
          </w:tcPr>
          <w:p w14:paraId="74F65AA7" w14:textId="77777777" w:rsidR="00381867" w:rsidRPr="00880BCA" w:rsidRDefault="00381867" w:rsidP="00EF2651">
            <w:pPr>
              <w:spacing w:before="40" w:after="40" w:line="240" w:lineRule="auto"/>
              <w:rPr>
                <w:rFonts w:ascii="Century Gothic" w:eastAsia="Times New Roman" w:hAnsi="Century Gothic" w:cs="Calibri"/>
                <w:b/>
                <w:bCs/>
                <w:color w:val="000000"/>
                <w:sz w:val="17"/>
                <w:szCs w:val="17"/>
                <w:lang w:eastAsia="es-MX"/>
              </w:rPr>
            </w:pPr>
          </w:p>
        </w:tc>
        <w:tc>
          <w:tcPr>
            <w:tcW w:w="329" w:type="pct"/>
            <w:tcBorders>
              <w:top w:val="nil"/>
              <w:left w:val="nil"/>
              <w:bottom w:val="single" w:sz="8" w:space="0" w:color="FFFFFF"/>
              <w:right w:val="single" w:sz="8" w:space="0" w:color="FFFFFF"/>
            </w:tcBorders>
            <w:shd w:val="clear" w:color="000000" w:fill="D9D9D9"/>
            <w:vAlign w:val="center"/>
            <w:hideMark/>
          </w:tcPr>
          <w:p w14:paraId="2A00A996"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2019*</w:t>
            </w:r>
          </w:p>
        </w:tc>
        <w:tc>
          <w:tcPr>
            <w:tcW w:w="329" w:type="pct"/>
            <w:tcBorders>
              <w:top w:val="nil"/>
              <w:left w:val="nil"/>
              <w:bottom w:val="single" w:sz="8" w:space="0" w:color="FFFFFF"/>
              <w:right w:val="single" w:sz="8" w:space="0" w:color="FFFFFF"/>
            </w:tcBorders>
            <w:shd w:val="clear" w:color="000000" w:fill="D9D9D9"/>
            <w:vAlign w:val="center"/>
            <w:hideMark/>
          </w:tcPr>
          <w:p w14:paraId="7676AF23"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2020*</w:t>
            </w:r>
          </w:p>
        </w:tc>
        <w:tc>
          <w:tcPr>
            <w:tcW w:w="329" w:type="pct"/>
            <w:tcBorders>
              <w:top w:val="nil"/>
              <w:left w:val="nil"/>
              <w:bottom w:val="single" w:sz="8" w:space="0" w:color="FFFFFF"/>
              <w:right w:val="single" w:sz="8" w:space="0" w:color="FFFFFF"/>
            </w:tcBorders>
            <w:shd w:val="clear" w:color="000000" w:fill="D9D9D9"/>
            <w:vAlign w:val="center"/>
            <w:hideMark/>
          </w:tcPr>
          <w:p w14:paraId="4229D524"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2021**</w:t>
            </w:r>
          </w:p>
        </w:tc>
        <w:tc>
          <w:tcPr>
            <w:tcW w:w="317" w:type="pct"/>
            <w:tcBorders>
              <w:top w:val="nil"/>
              <w:left w:val="nil"/>
              <w:bottom w:val="single" w:sz="8" w:space="0" w:color="FFFFFF"/>
              <w:right w:val="single" w:sz="8" w:space="0" w:color="FFFFFF"/>
            </w:tcBorders>
            <w:shd w:val="clear" w:color="000000" w:fill="FFE599"/>
            <w:vAlign w:val="center"/>
            <w:hideMark/>
          </w:tcPr>
          <w:p w14:paraId="59E290A1"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2019*</w:t>
            </w:r>
          </w:p>
        </w:tc>
        <w:tc>
          <w:tcPr>
            <w:tcW w:w="277" w:type="pct"/>
            <w:tcBorders>
              <w:top w:val="nil"/>
              <w:left w:val="nil"/>
              <w:bottom w:val="single" w:sz="8" w:space="0" w:color="FFFFFF"/>
              <w:right w:val="single" w:sz="8" w:space="0" w:color="FFFFFF"/>
            </w:tcBorders>
            <w:shd w:val="clear" w:color="000000" w:fill="FFE599"/>
            <w:vAlign w:val="center"/>
            <w:hideMark/>
          </w:tcPr>
          <w:p w14:paraId="63D3666C"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2020*</w:t>
            </w:r>
          </w:p>
        </w:tc>
        <w:tc>
          <w:tcPr>
            <w:tcW w:w="330" w:type="pct"/>
            <w:tcBorders>
              <w:top w:val="nil"/>
              <w:left w:val="nil"/>
              <w:bottom w:val="single" w:sz="8" w:space="0" w:color="FFFFFF"/>
              <w:right w:val="single" w:sz="8" w:space="0" w:color="FFFFFF"/>
            </w:tcBorders>
            <w:shd w:val="clear" w:color="000000" w:fill="FFE599"/>
            <w:vAlign w:val="center"/>
            <w:hideMark/>
          </w:tcPr>
          <w:p w14:paraId="400D39B1"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2021**</w:t>
            </w:r>
          </w:p>
        </w:tc>
        <w:tc>
          <w:tcPr>
            <w:tcW w:w="330" w:type="pct"/>
            <w:tcBorders>
              <w:top w:val="nil"/>
              <w:left w:val="nil"/>
              <w:bottom w:val="single" w:sz="8" w:space="0" w:color="FFFFFF"/>
              <w:right w:val="single" w:sz="8" w:space="0" w:color="FFFFFF"/>
            </w:tcBorders>
            <w:shd w:val="clear" w:color="000000" w:fill="FFE599"/>
            <w:vAlign w:val="center"/>
            <w:hideMark/>
          </w:tcPr>
          <w:p w14:paraId="566B09D3"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2019*</w:t>
            </w:r>
          </w:p>
        </w:tc>
        <w:tc>
          <w:tcPr>
            <w:tcW w:w="329" w:type="pct"/>
            <w:tcBorders>
              <w:top w:val="nil"/>
              <w:left w:val="nil"/>
              <w:bottom w:val="single" w:sz="8" w:space="0" w:color="FFFFFF"/>
              <w:right w:val="single" w:sz="8" w:space="0" w:color="FFFFFF"/>
            </w:tcBorders>
            <w:shd w:val="clear" w:color="000000" w:fill="FFE599"/>
            <w:vAlign w:val="center"/>
            <w:hideMark/>
          </w:tcPr>
          <w:p w14:paraId="6364CB47"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2020*</w:t>
            </w:r>
          </w:p>
        </w:tc>
        <w:tc>
          <w:tcPr>
            <w:tcW w:w="330" w:type="pct"/>
            <w:tcBorders>
              <w:top w:val="nil"/>
              <w:left w:val="nil"/>
              <w:bottom w:val="single" w:sz="8" w:space="0" w:color="FFFFFF"/>
              <w:right w:val="single" w:sz="8" w:space="0" w:color="FFFFFF"/>
            </w:tcBorders>
            <w:shd w:val="clear" w:color="000000" w:fill="FFE599"/>
            <w:vAlign w:val="center"/>
            <w:hideMark/>
          </w:tcPr>
          <w:p w14:paraId="2CD744A7" w14:textId="77777777" w:rsidR="00381867" w:rsidRPr="00880BCA" w:rsidRDefault="00381867" w:rsidP="00EF2651">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2021**</w:t>
            </w:r>
          </w:p>
        </w:tc>
      </w:tr>
      <w:tr w:rsidR="00381867" w:rsidRPr="00880BCA" w14:paraId="7BA45F69" w14:textId="77777777" w:rsidTr="00EF2651">
        <w:trPr>
          <w:trHeight w:val="20"/>
          <w:jc w:val="center"/>
        </w:trPr>
        <w:tc>
          <w:tcPr>
            <w:tcW w:w="1640" w:type="pct"/>
            <w:tcBorders>
              <w:top w:val="nil"/>
              <w:left w:val="nil"/>
              <w:bottom w:val="single" w:sz="8" w:space="0" w:color="FFFFFF"/>
              <w:right w:val="single" w:sz="8" w:space="0" w:color="FFFFFF"/>
            </w:tcBorders>
            <w:shd w:val="clear" w:color="000000" w:fill="F2F2F2"/>
            <w:vAlign w:val="center"/>
            <w:hideMark/>
          </w:tcPr>
          <w:p w14:paraId="70E3045E"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Accidentes de Tránsito Terrestre</w:t>
            </w:r>
          </w:p>
        </w:tc>
        <w:tc>
          <w:tcPr>
            <w:tcW w:w="462" w:type="pct"/>
            <w:tcBorders>
              <w:top w:val="nil"/>
              <w:left w:val="nil"/>
              <w:bottom w:val="single" w:sz="8" w:space="0" w:color="FFFFFF"/>
              <w:right w:val="single" w:sz="8" w:space="0" w:color="FFFFFF"/>
            </w:tcBorders>
            <w:shd w:val="clear" w:color="000000" w:fill="F2F2F2"/>
            <w:vAlign w:val="center"/>
            <w:hideMark/>
          </w:tcPr>
          <w:p w14:paraId="502B8076"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ATUS</w:t>
            </w:r>
          </w:p>
        </w:tc>
        <w:tc>
          <w:tcPr>
            <w:tcW w:w="329" w:type="pct"/>
            <w:tcBorders>
              <w:top w:val="nil"/>
              <w:left w:val="nil"/>
              <w:bottom w:val="single" w:sz="8" w:space="0" w:color="FFFFFF"/>
              <w:right w:val="single" w:sz="8" w:space="0" w:color="FFFFFF"/>
            </w:tcBorders>
            <w:shd w:val="clear" w:color="000000" w:fill="F2F2F2"/>
            <w:vAlign w:val="center"/>
            <w:hideMark/>
          </w:tcPr>
          <w:p w14:paraId="2FEC0184"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329" w:type="pct"/>
            <w:tcBorders>
              <w:top w:val="nil"/>
              <w:left w:val="nil"/>
              <w:bottom w:val="single" w:sz="8" w:space="0" w:color="FFFFFF"/>
              <w:right w:val="single" w:sz="8" w:space="0" w:color="FFFFFF"/>
            </w:tcBorders>
            <w:shd w:val="clear" w:color="000000" w:fill="F2F2F2"/>
            <w:vAlign w:val="center"/>
            <w:hideMark/>
          </w:tcPr>
          <w:p w14:paraId="0C02E5D8"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329" w:type="pct"/>
            <w:tcBorders>
              <w:top w:val="nil"/>
              <w:left w:val="nil"/>
              <w:bottom w:val="single" w:sz="8" w:space="0" w:color="FFFFFF"/>
              <w:right w:val="single" w:sz="8" w:space="0" w:color="FFFFFF"/>
            </w:tcBorders>
            <w:shd w:val="clear" w:color="000000" w:fill="F2F2F2"/>
            <w:vAlign w:val="center"/>
            <w:hideMark/>
          </w:tcPr>
          <w:p w14:paraId="66384E7B"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317" w:type="pct"/>
            <w:tcBorders>
              <w:top w:val="nil"/>
              <w:left w:val="nil"/>
              <w:bottom w:val="single" w:sz="8" w:space="0" w:color="FFFFFF"/>
              <w:right w:val="single" w:sz="8" w:space="0" w:color="FFFFFF"/>
            </w:tcBorders>
            <w:shd w:val="clear" w:color="000000" w:fill="FFF2CC"/>
            <w:vAlign w:val="center"/>
            <w:hideMark/>
          </w:tcPr>
          <w:p w14:paraId="1927BBAC"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77" w:type="pct"/>
            <w:tcBorders>
              <w:top w:val="nil"/>
              <w:left w:val="nil"/>
              <w:bottom w:val="single" w:sz="8" w:space="0" w:color="FFFFFF"/>
              <w:right w:val="single" w:sz="8" w:space="0" w:color="FFFFFF"/>
            </w:tcBorders>
            <w:shd w:val="clear" w:color="000000" w:fill="FFF2CC"/>
            <w:vAlign w:val="center"/>
            <w:hideMark/>
          </w:tcPr>
          <w:p w14:paraId="24577A0C"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w:t>
            </w:r>
          </w:p>
        </w:tc>
        <w:tc>
          <w:tcPr>
            <w:tcW w:w="330" w:type="pct"/>
            <w:tcBorders>
              <w:top w:val="nil"/>
              <w:left w:val="nil"/>
              <w:bottom w:val="single" w:sz="8" w:space="0" w:color="FFFFFF"/>
              <w:right w:val="single" w:sz="8" w:space="0" w:color="FFFFFF"/>
            </w:tcBorders>
            <w:shd w:val="clear" w:color="000000" w:fill="FFF2CC"/>
            <w:vAlign w:val="center"/>
            <w:hideMark/>
          </w:tcPr>
          <w:p w14:paraId="4AF1D98D" w14:textId="77777777" w:rsidR="00381867" w:rsidRPr="00880BCA" w:rsidRDefault="00381867" w:rsidP="00EF2651">
            <w:pPr>
              <w:spacing w:before="40" w:after="40" w:line="240" w:lineRule="auto"/>
              <w:jc w:val="center"/>
              <w:rPr>
                <w:rFonts w:ascii="Century Gothic" w:eastAsia="Times New Roman" w:hAnsi="Century Gothic" w:cs="Calibri"/>
                <w:b/>
                <w:bCs/>
                <w:color w:val="548235"/>
                <w:sz w:val="17"/>
                <w:szCs w:val="17"/>
                <w:lang w:eastAsia="es-MX"/>
              </w:rPr>
            </w:pPr>
            <w:r>
              <w:rPr>
                <w:rFonts w:ascii="Century Gothic" w:hAnsi="Century Gothic" w:cs="Calibri"/>
                <w:color w:val="000000"/>
                <w:sz w:val="17"/>
                <w:szCs w:val="17"/>
              </w:rPr>
              <w:t>1</w:t>
            </w:r>
          </w:p>
        </w:tc>
        <w:tc>
          <w:tcPr>
            <w:tcW w:w="330" w:type="pct"/>
            <w:tcBorders>
              <w:top w:val="nil"/>
              <w:left w:val="nil"/>
              <w:bottom w:val="single" w:sz="8" w:space="0" w:color="FFFFFF"/>
              <w:right w:val="single" w:sz="8" w:space="0" w:color="FFFFFF"/>
            </w:tcBorders>
            <w:shd w:val="clear" w:color="000000" w:fill="FFF2CC"/>
            <w:vAlign w:val="center"/>
            <w:hideMark/>
          </w:tcPr>
          <w:p w14:paraId="3B33E318"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329" w:type="pct"/>
            <w:tcBorders>
              <w:top w:val="nil"/>
              <w:left w:val="nil"/>
              <w:bottom w:val="single" w:sz="8" w:space="0" w:color="FFFFFF"/>
              <w:right w:val="single" w:sz="8" w:space="0" w:color="FFFFFF"/>
            </w:tcBorders>
            <w:shd w:val="clear" w:color="000000" w:fill="FFF2CC"/>
            <w:vAlign w:val="center"/>
            <w:hideMark/>
          </w:tcPr>
          <w:p w14:paraId="509BE6A3"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w:t>
            </w:r>
          </w:p>
        </w:tc>
        <w:tc>
          <w:tcPr>
            <w:tcW w:w="330" w:type="pct"/>
            <w:tcBorders>
              <w:top w:val="nil"/>
              <w:left w:val="nil"/>
              <w:bottom w:val="single" w:sz="8" w:space="0" w:color="FFFFFF"/>
              <w:right w:val="single" w:sz="8" w:space="0" w:color="FFFFFF"/>
            </w:tcBorders>
            <w:shd w:val="clear" w:color="000000" w:fill="FFF2CC"/>
            <w:vAlign w:val="center"/>
            <w:hideMark/>
          </w:tcPr>
          <w:p w14:paraId="07EBC9AB"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w:t>
            </w:r>
          </w:p>
        </w:tc>
      </w:tr>
      <w:tr w:rsidR="00381867" w:rsidRPr="00880BCA" w14:paraId="10E40F40" w14:textId="77777777" w:rsidTr="00EF2651">
        <w:trPr>
          <w:trHeight w:val="221"/>
          <w:jc w:val="center"/>
        </w:trPr>
        <w:tc>
          <w:tcPr>
            <w:tcW w:w="1640" w:type="pct"/>
            <w:tcBorders>
              <w:top w:val="nil"/>
              <w:left w:val="nil"/>
              <w:bottom w:val="single" w:sz="8" w:space="0" w:color="FFFFFF"/>
              <w:right w:val="single" w:sz="8" w:space="0" w:color="FFFFFF"/>
            </w:tcBorders>
            <w:shd w:val="clear" w:color="000000" w:fill="D9D9D9"/>
            <w:vAlign w:val="center"/>
            <w:hideMark/>
          </w:tcPr>
          <w:p w14:paraId="6BED4B7C"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Estadísticas de Defunciones Registrados</w:t>
            </w:r>
          </w:p>
        </w:tc>
        <w:tc>
          <w:tcPr>
            <w:tcW w:w="462" w:type="pct"/>
            <w:tcBorders>
              <w:top w:val="nil"/>
              <w:left w:val="nil"/>
              <w:bottom w:val="single" w:sz="8" w:space="0" w:color="FFFFFF"/>
              <w:right w:val="single" w:sz="8" w:space="0" w:color="FFFFFF"/>
            </w:tcBorders>
            <w:shd w:val="clear" w:color="000000" w:fill="D9D9D9"/>
            <w:vAlign w:val="center"/>
            <w:hideMark/>
          </w:tcPr>
          <w:p w14:paraId="0975B622"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EDR</w:t>
            </w:r>
          </w:p>
        </w:tc>
        <w:tc>
          <w:tcPr>
            <w:tcW w:w="329" w:type="pct"/>
            <w:tcBorders>
              <w:top w:val="nil"/>
              <w:left w:val="nil"/>
              <w:bottom w:val="single" w:sz="8" w:space="0" w:color="FFFFFF"/>
              <w:right w:val="single" w:sz="8" w:space="0" w:color="FFFFFF"/>
            </w:tcBorders>
            <w:shd w:val="clear" w:color="000000" w:fill="D9D9D9"/>
            <w:vAlign w:val="center"/>
            <w:hideMark/>
          </w:tcPr>
          <w:p w14:paraId="03D8E0FD"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39</w:t>
            </w:r>
          </w:p>
        </w:tc>
        <w:tc>
          <w:tcPr>
            <w:tcW w:w="329" w:type="pct"/>
            <w:tcBorders>
              <w:top w:val="nil"/>
              <w:left w:val="nil"/>
              <w:bottom w:val="single" w:sz="8" w:space="0" w:color="FFFFFF"/>
              <w:right w:val="single" w:sz="8" w:space="0" w:color="FFFFFF"/>
            </w:tcBorders>
            <w:shd w:val="clear" w:color="000000" w:fill="D9D9D9"/>
            <w:vAlign w:val="center"/>
            <w:hideMark/>
          </w:tcPr>
          <w:p w14:paraId="323C0AF3"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39</w:t>
            </w:r>
          </w:p>
        </w:tc>
        <w:tc>
          <w:tcPr>
            <w:tcW w:w="329" w:type="pct"/>
            <w:tcBorders>
              <w:top w:val="nil"/>
              <w:left w:val="nil"/>
              <w:bottom w:val="single" w:sz="8" w:space="0" w:color="FFFFFF"/>
              <w:right w:val="single" w:sz="8" w:space="0" w:color="FFFFFF"/>
            </w:tcBorders>
            <w:shd w:val="clear" w:color="000000" w:fill="D9D9D9"/>
            <w:vAlign w:val="center"/>
            <w:hideMark/>
          </w:tcPr>
          <w:p w14:paraId="447CD93B"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39</w:t>
            </w:r>
          </w:p>
        </w:tc>
        <w:tc>
          <w:tcPr>
            <w:tcW w:w="317" w:type="pct"/>
            <w:tcBorders>
              <w:top w:val="nil"/>
              <w:left w:val="nil"/>
              <w:bottom w:val="single" w:sz="8" w:space="0" w:color="FFFFFF"/>
              <w:right w:val="single" w:sz="8" w:space="0" w:color="FFFFFF"/>
            </w:tcBorders>
            <w:shd w:val="clear" w:color="000000" w:fill="FFE599"/>
            <w:vAlign w:val="center"/>
            <w:hideMark/>
          </w:tcPr>
          <w:p w14:paraId="04A674D1"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4</w:t>
            </w:r>
          </w:p>
        </w:tc>
        <w:tc>
          <w:tcPr>
            <w:tcW w:w="277" w:type="pct"/>
            <w:tcBorders>
              <w:top w:val="nil"/>
              <w:left w:val="nil"/>
              <w:bottom w:val="single" w:sz="8" w:space="0" w:color="FFFFFF"/>
              <w:right w:val="single" w:sz="8" w:space="0" w:color="FFFFFF"/>
            </w:tcBorders>
            <w:shd w:val="clear" w:color="000000" w:fill="FFE599"/>
            <w:vAlign w:val="center"/>
            <w:hideMark/>
          </w:tcPr>
          <w:p w14:paraId="00DC3B3D"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6</w:t>
            </w:r>
          </w:p>
        </w:tc>
        <w:tc>
          <w:tcPr>
            <w:tcW w:w="330" w:type="pct"/>
            <w:tcBorders>
              <w:top w:val="nil"/>
              <w:left w:val="nil"/>
              <w:bottom w:val="single" w:sz="8" w:space="0" w:color="FFFFFF"/>
              <w:right w:val="single" w:sz="8" w:space="0" w:color="FFFFFF"/>
            </w:tcBorders>
            <w:shd w:val="clear" w:color="000000" w:fill="FFE599"/>
            <w:vAlign w:val="center"/>
            <w:hideMark/>
          </w:tcPr>
          <w:p w14:paraId="1BD94750" w14:textId="77777777" w:rsidR="00381867" w:rsidRPr="00880BCA" w:rsidRDefault="00381867" w:rsidP="00EF2651">
            <w:pPr>
              <w:spacing w:before="40" w:after="40" w:line="240" w:lineRule="auto"/>
              <w:jc w:val="center"/>
              <w:rPr>
                <w:rFonts w:ascii="Century Gothic" w:eastAsia="Times New Roman" w:hAnsi="Century Gothic" w:cs="Calibri"/>
                <w:b/>
                <w:bCs/>
                <w:color w:val="548235"/>
                <w:sz w:val="17"/>
                <w:szCs w:val="17"/>
                <w:lang w:eastAsia="es-MX"/>
              </w:rPr>
            </w:pPr>
            <w:r>
              <w:rPr>
                <w:rFonts w:ascii="Century Gothic" w:hAnsi="Century Gothic" w:cs="Calibri"/>
                <w:b/>
                <w:bCs/>
                <w:color w:val="548235"/>
                <w:sz w:val="17"/>
                <w:szCs w:val="17"/>
              </w:rPr>
              <w:t>3</w:t>
            </w:r>
          </w:p>
        </w:tc>
        <w:tc>
          <w:tcPr>
            <w:tcW w:w="330" w:type="pct"/>
            <w:tcBorders>
              <w:top w:val="nil"/>
              <w:left w:val="nil"/>
              <w:bottom w:val="single" w:sz="8" w:space="0" w:color="FFFFFF"/>
              <w:right w:val="single" w:sz="8" w:space="0" w:color="FFFFFF"/>
            </w:tcBorders>
            <w:shd w:val="clear" w:color="000000" w:fill="FFE599"/>
            <w:vAlign w:val="center"/>
            <w:hideMark/>
          </w:tcPr>
          <w:p w14:paraId="79918BB9"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13</w:t>
            </w:r>
          </w:p>
        </w:tc>
        <w:tc>
          <w:tcPr>
            <w:tcW w:w="329" w:type="pct"/>
            <w:tcBorders>
              <w:top w:val="nil"/>
              <w:left w:val="nil"/>
              <w:bottom w:val="single" w:sz="8" w:space="0" w:color="FFFFFF"/>
              <w:right w:val="single" w:sz="8" w:space="0" w:color="FFFFFF"/>
            </w:tcBorders>
            <w:shd w:val="clear" w:color="000000" w:fill="FFE599"/>
            <w:vAlign w:val="center"/>
            <w:hideMark/>
          </w:tcPr>
          <w:p w14:paraId="5FAA1E5F"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100</w:t>
            </w:r>
          </w:p>
        </w:tc>
        <w:tc>
          <w:tcPr>
            <w:tcW w:w="330" w:type="pct"/>
            <w:tcBorders>
              <w:top w:val="nil"/>
              <w:left w:val="nil"/>
              <w:bottom w:val="single" w:sz="8" w:space="0" w:color="FFFFFF"/>
              <w:right w:val="single" w:sz="8" w:space="0" w:color="FFFFFF"/>
            </w:tcBorders>
            <w:shd w:val="clear" w:color="000000" w:fill="FFE599"/>
            <w:vAlign w:val="center"/>
            <w:hideMark/>
          </w:tcPr>
          <w:p w14:paraId="1C5C02CC"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38</w:t>
            </w:r>
          </w:p>
        </w:tc>
      </w:tr>
      <w:tr w:rsidR="00381867" w:rsidRPr="00880BCA" w14:paraId="1347C4A0" w14:textId="77777777" w:rsidTr="00EF2651">
        <w:trPr>
          <w:trHeight w:val="196"/>
          <w:jc w:val="center"/>
        </w:trPr>
        <w:tc>
          <w:tcPr>
            <w:tcW w:w="1640" w:type="pct"/>
            <w:tcBorders>
              <w:top w:val="nil"/>
              <w:left w:val="nil"/>
              <w:bottom w:val="single" w:sz="8" w:space="0" w:color="FFFFFF"/>
              <w:right w:val="single" w:sz="8" w:space="0" w:color="FFFFFF"/>
            </w:tcBorders>
            <w:shd w:val="clear" w:color="000000" w:fill="F2F2F2"/>
            <w:vAlign w:val="center"/>
            <w:hideMark/>
          </w:tcPr>
          <w:p w14:paraId="1829B423"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Estadísticas de Defunciones Fetales</w:t>
            </w:r>
          </w:p>
        </w:tc>
        <w:tc>
          <w:tcPr>
            <w:tcW w:w="462" w:type="pct"/>
            <w:tcBorders>
              <w:top w:val="nil"/>
              <w:left w:val="nil"/>
              <w:bottom w:val="single" w:sz="8" w:space="0" w:color="FFFFFF"/>
              <w:right w:val="single" w:sz="8" w:space="0" w:color="FFFFFF"/>
            </w:tcBorders>
            <w:shd w:val="clear" w:color="000000" w:fill="F2F2F2"/>
            <w:vAlign w:val="center"/>
            <w:hideMark/>
          </w:tcPr>
          <w:p w14:paraId="12F06ACD"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EDF</w:t>
            </w:r>
          </w:p>
        </w:tc>
        <w:tc>
          <w:tcPr>
            <w:tcW w:w="329" w:type="pct"/>
            <w:tcBorders>
              <w:top w:val="nil"/>
              <w:left w:val="nil"/>
              <w:bottom w:val="single" w:sz="8" w:space="0" w:color="FFFFFF"/>
              <w:right w:val="single" w:sz="8" w:space="0" w:color="FFFFFF"/>
            </w:tcBorders>
            <w:shd w:val="clear" w:color="000000" w:fill="F2F2F2"/>
            <w:vAlign w:val="center"/>
            <w:hideMark/>
          </w:tcPr>
          <w:p w14:paraId="2C3DE3E9"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45</w:t>
            </w:r>
          </w:p>
        </w:tc>
        <w:tc>
          <w:tcPr>
            <w:tcW w:w="329" w:type="pct"/>
            <w:tcBorders>
              <w:top w:val="nil"/>
              <w:left w:val="nil"/>
              <w:bottom w:val="single" w:sz="8" w:space="0" w:color="FFFFFF"/>
              <w:right w:val="single" w:sz="8" w:space="0" w:color="FFFFFF"/>
            </w:tcBorders>
            <w:shd w:val="clear" w:color="000000" w:fill="F2F2F2"/>
            <w:vAlign w:val="center"/>
            <w:hideMark/>
          </w:tcPr>
          <w:p w14:paraId="5D5D2647"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w:t>
            </w:r>
          </w:p>
        </w:tc>
        <w:tc>
          <w:tcPr>
            <w:tcW w:w="329" w:type="pct"/>
            <w:tcBorders>
              <w:top w:val="nil"/>
              <w:left w:val="nil"/>
              <w:bottom w:val="single" w:sz="8" w:space="0" w:color="FFFFFF"/>
              <w:right w:val="single" w:sz="8" w:space="0" w:color="FFFFFF"/>
            </w:tcBorders>
            <w:shd w:val="clear" w:color="000000" w:fill="F2F2F2"/>
            <w:vAlign w:val="center"/>
            <w:hideMark/>
          </w:tcPr>
          <w:p w14:paraId="59925A51"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45</w:t>
            </w:r>
          </w:p>
        </w:tc>
        <w:tc>
          <w:tcPr>
            <w:tcW w:w="317" w:type="pct"/>
            <w:tcBorders>
              <w:top w:val="nil"/>
              <w:left w:val="nil"/>
              <w:bottom w:val="single" w:sz="8" w:space="0" w:color="FFFFFF"/>
              <w:right w:val="single" w:sz="8" w:space="0" w:color="FFFFFF"/>
            </w:tcBorders>
            <w:shd w:val="clear" w:color="000000" w:fill="FFF2CC"/>
            <w:vAlign w:val="center"/>
            <w:hideMark/>
          </w:tcPr>
          <w:p w14:paraId="5E9FBE2D"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8</w:t>
            </w:r>
          </w:p>
        </w:tc>
        <w:tc>
          <w:tcPr>
            <w:tcW w:w="277" w:type="pct"/>
            <w:tcBorders>
              <w:top w:val="nil"/>
              <w:left w:val="nil"/>
              <w:bottom w:val="single" w:sz="8" w:space="0" w:color="FFFFFF"/>
              <w:right w:val="single" w:sz="8" w:space="0" w:color="FFFFFF"/>
            </w:tcBorders>
            <w:shd w:val="clear" w:color="000000" w:fill="FFF2CC"/>
            <w:vAlign w:val="center"/>
            <w:hideMark/>
          </w:tcPr>
          <w:p w14:paraId="314F9BA4"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w:t>
            </w:r>
          </w:p>
        </w:tc>
        <w:tc>
          <w:tcPr>
            <w:tcW w:w="330" w:type="pct"/>
            <w:tcBorders>
              <w:top w:val="nil"/>
              <w:left w:val="nil"/>
              <w:bottom w:val="single" w:sz="8" w:space="0" w:color="FFFFFF"/>
              <w:right w:val="single" w:sz="8" w:space="0" w:color="FFFFFF"/>
            </w:tcBorders>
            <w:shd w:val="clear" w:color="000000" w:fill="FFF2CC"/>
            <w:vAlign w:val="center"/>
            <w:hideMark/>
          </w:tcPr>
          <w:p w14:paraId="5612AD81"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5</w:t>
            </w:r>
          </w:p>
        </w:tc>
        <w:tc>
          <w:tcPr>
            <w:tcW w:w="330" w:type="pct"/>
            <w:tcBorders>
              <w:top w:val="nil"/>
              <w:left w:val="nil"/>
              <w:bottom w:val="single" w:sz="8" w:space="0" w:color="FFFFFF"/>
              <w:right w:val="single" w:sz="8" w:space="0" w:color="FFFFFF"/>
            </w:tcBorders>
            <w:shd w:val="clear" w:color="000000" w:fill="FFF2CC"/>
            <w:vAlign w:val="center"/>
            <w:hideMark/>
          </w:tcPr>
          <w:p w14:paraId="25972048"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70</w:t>
            </w:r>
          </w:p>
        </w:tc>
        <w:tc>
          <w:tcPr>
            <w:tcW w:w="329" w:type="pct"/>
            <w:tcBorders>
              <w:top w:val="nil"/>
              <w:left w:val="nil"/>
              <w:bottom w:val="single" w:sz="8" w:space="0" w:color="FFFFFF"/>
              <w:right w:val="single" w:sz="8" w:space="0" w:color="FFFFFF"/>
            </w:tcBorders>
            <w:shd w:val="clear" w:color="000000" w:fill="FFF2CC"/>
            <w:vAlign w:val="center"/>
            <w:hideMark/>
          </w:tcPr>
          <w:p w14:paraId="31BE2BA5"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w:t>
            </w:r>
          </w:p>
        </w:tc>
        <w:tc>
          <w:tcPr>
            <w:tcW w:w="330" w:type="pct"/>
            <w:tcBorders>
              <w:top w:val="nil"/>
              <w:left w:val="nil"/>
              <w:bottom w:val="single" w:sz="8" w:space="0" w:color="FFFFFF"/>
              <w:right w:val="single" w:sz="8" w:space="0" w:color="FFFFFF"/>
            </w:tcBorders>
            <w:shd w:val="clear" w:color="000000" w:fill="FFF2CC"/>
            <w:vAlign w:val="center"/>
            <w:hideMark/>
          </w:tcPr>
          <w:p w14:paraId="679D2956"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86</w:t>
            </w:r>
          </w:p>
        </w:tc>
      </w:tr>
      <w:tr w:rsidR="00381867" w:rsidRPr="00880BCA" w14:paraId="178E5DA4" w14:textId="77777777" w:rsidTr="00EF2651">
        <w:trPr>
          <w:trHeight w:val="173"/>
          <w:jc w:val="center"/>
        </w:trPr>
        <w:tc>
          <w:tcPr>
            <w:tcW w:w="1640" w:type="pct"/>
            <w:tcBorders>
              <w:top w:val="nil"/>
              <w:left w:val="nil"/>
              <w:bottom w:val="single" w:sz="8" w:space="0" w:color="FFFFFF"/>
              <w:right w:val="single" w:sz="8" w:space="0" w:color="FFFFFF"/>
            </w:tcBorders>
            <w:shd w:val="clear" w:color="000000" w:fill="F2F2F2"/>
            <w:vAlign w:val="center"/>
            <w:hideMark/>
          </w:tcPr>
          <w:p w14:paraId="434EF5AF"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Estadísticas de Nacimientos Registrados</w:t>
            </w:r>
          </w:p>
        </w:tc>
        <w:tc>
          <w:tcPr>
            <w:tcW w:w="462" w:type="pct"/>
            <w:tcBorders>
              <w:top w:val="nil"/>
              <w:left w:val="nil"/>
              <w:bottom w:val="single" w:sz="8" w:space="0" w:color="FFFFFF"/>
              <w:right w:val="single" w:sz="8" w:space="0" w:color="FFFFFF"/>
            </w:tcBorders>
            <w:shd w:val="clear" w:color="000000" w:fill="F2F2F2"/>
            <w:vAlign w:val="center"/>
            <w:hideMark/>
          </w:tcPr>
          <w:p w14:paraId="4733FFF5"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ENR</w:t>
            </w:r>
          </w:p>
        </w:tc>
        <w:tc>
          <w:tcPr>
            <w:tcW w:w="329" w:type="pct"/>
            <w:tcBorders>
              <w:top w:val="nil"/>
              <w:left w:val="nil"/>
              <w:bottom w:val="single" w:sz="8" w:space="0" w:color="FFFFFF"/>
              <w:right w:val="single" w:sz="8" w:space="0" w:color="FFFFFF"/>
            </w:tcBorders>
            <w:shd w:val="clear" w:color="000000" w:fill="F2F2F2"/>
            <w:vAlign w:val="center"/>
            <w:hideMark/>
          </w:tcPr>
          <w:p w14:paraId="30EF3B7D"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34</w:t>
            </w:r>
          </w:p>
        </w:tc>
        <w:tc>
          <w:tcPr>
            <w:tcW w:w="329" w:type="pct"/>
            <w:tcBorders>
              <w:top w:val="nil"/>
              <w:left w:val="nil"/>
              <w:bottom w:val="single" w:sz="8" w:space="0" w:color="FFFFFF"/>
              <w:right w:val="single" w:sz="8" w:space="0" w:color="FFFFFF"/>
            </w:tcBorders>
            <w:shd w:val="clear" w:color="000000" w:fill="F2F2F2"/>
            <w:vAlign w:val="center"/>
            <w:hideMark/>
          </w:tcPr>
          <w:p w14:paraId="64C9E9F3"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w:t>
            </w:r>
          </w:p>
        </w:tc>
        <w:tc>
          <w:tcPr>
            <w:tcW w:w="329" w:type="pct"/>
            <w:tcBorders>
              <w:top w:val="nil"/>
              <w:left w:val="nil"/>
              <w:bottom w:val="single" w:sz="8" w:space="0" w:color="FFFFFF"/>
              <w:right w:val="single" w:sz="8" w:space="0" w:color="FFFFFF"/>
            </w:tcBorders>
            <w:shd w:val="clear" w:color="000000" w:fill="F2F2F2"/>
            <w:vAlign w:val="center"/>
            <w:hideMark/>
          </w:tcPr>
          <w:p w14:paraId="3120EA51"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33</w:t>
            </w:r>
          </w:p>
        </w:tc>
        <w:tc>
          <w:tcPr>
            <w:tcW w:w="317" w:type="pct"/>
            <w:tcBorders>
              <w:top w:val="nil"/>
              <w:left w:val="nil"/>
              <w:bottom w:val="single" w:sz="8" w:space="0" w:color="FFFFFF"/>
              <w:right w:val="single" w:sz="8" w:space="0" w:color="FFFFFF"/>
            </w:tcBorders>
            <w:shd w:val="clear" w:color="000000" w:fill="FFF2CC"/>
            <w:vAlign w:val="center"/>
            <w:hideMark/>
          </w:tcPr>
          <w:p w14:paraId="56C9F380"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w:t>
            </w:r>
          </w:p>
        </w:tc>
        <w:tc>
          <w:tcPr>
            <w:tcW w:w="277" w:type="pct"/>
            <w:tcBorders>
              <w:top w:val="nil"/>
              <w:left w:val="nil"/>
              <w:bottom w:val="single" w:sz="8" w:space="0" w:color="FFFFFF"/>
              <w:right w:val="single" w:sz="8" w:space="0" w:color="FFFFFF"/>
            </w:tcBorders>
            <w:shd w:val="clear" w:color="000000" w:fill="FFF2CC"/>
            <w:vAlign w:val="center"/>
            <w:hideMark/>
          </w:tcPr>
          <w:p w14:paraId="1C8F59AE"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w:t>
            </w:r>
          </w:p>
        </w:tc>
        <w:tc>
          <w:tcPr>
            <w:tcW w:w="330" w:type="pct"/>
            <w:tcBorders>
              <w:top w:val="nil"/>
              <w:left w:val="nil"/>
              <w:bottom w:val="single" w:sz="8" w:space="0" w:color="FFFFFF"/>
              <w:right w:val="single" w:sz="8" w:space="0" w:color="FFFFFF"/>
            </w:tcBorders>
            <w:shd w:val="clear" w:color="000000" w:fill="FFF2CC"/>
            <w:vAlign w:val="center"/>
            <w:hideMark/>
          </w:tcPr>
          <w:p w14:paraId="42703C6E"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w:t>
            </w:r>
          </w:p>
        </w:tc>
        <w:tc>
          <w:tcPr>
            <w:tcW w:w="330" w:type="pct"/>
            <w:tcBorders>
              <w:top w:val="nil"/>
              <w:left w:val="nil"/>
              <w:bottom w:val="single" w:sz="8" w:space="0" w:color="FFFFFF"/>
              <w:right w:val="single" w:sz="8" w:space="0" w:color="FFFFFF"/>
            </w:tcBorders>
            <w:shd w:val="clear" w:color="000000" w:fill="FFF2CC"/>
            <w:vAlign w:val="center"/>
            <w:hideMark/>
          </w:tcPr>
          <w:p w14:paraId="66CB2818"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78</w:t>
            </w:r>
          </w:p>
        </w:tc>
        <w:tc>
          <w:tcPr>
            <w:tcW w:w="329" w:type="pct"/>
            <w:tcBorders>
              <w:top w:val="nil"/>
              <w:left w:val="nil"/>
              <w:bottom w:val="single" w:sz="8" w:space="0" w:color="FFFFFF"/>
              <w:right w:val="single" w:sz="8" w:space="0" w:color="FFFFFF"/>
            </w:tcBorders>
            <w:shd w:val="clear" w:color="000000" w:fill="FFF2CC"/>
            <w:vAlign w:val="center"/>
            <w:hideMark/>
          </w:tcPr>
          <w:p w14:paraId="1ACDFC49"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w:t>
            </w:r>
          </w:p>
        </w:tc>
        <w:tc>
          <w:tcPr>
            <w:tcW w:w="330" w:type="pct"/>
            <w:tcBorders>
              <w:top w:val="nil"/>
              <w:left w:val="nil"/>
              <w:bottom w:val="single" w:sz="8" w:space="0" w:color="FFFFFF"/>
              <w:right w:val="single" w:sz="8" w:space="0" w:color="FFFFFF"/>
            </w:tcBorders>
            <w:shd w:val="clear" w:color="000000" w:fill="FFF2CC"/>
            <w:vAlign w:val="center"/>
            <w:hideMark/>
          </w:tcPr>
          <w:p w14:paraId="6B542EA5"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92</w:t>
            </w:r>
          </w:p>
        </w:tc>
      </w:tr>
      <w:tr w:rsidR="00381867" w:rsidRPr="00880BCA" w14:paraId="43DE80A2" w14:textId="77777777" w:rsidTr="00EF2651">
        <w:trPr>
          <w:trHeight w:val="148"/>
          <w:jc w:val="center"/>
        </w:trPr>
        <w:tc>
          <w:tcPr>
            <w:tcW w:w="1640" w:type="pct"/>
            <w:tcBorders>
              <w:top w:val="nil"/>
              <w:left w:val="nil"/>
              <w:bottom w:val="single" w:sz="8" w:space="0" w:color="FFFFFF"/>
              <w:right w:val="single" w:sz="8" w:space="0" w:color="FFFFFF"/>
            </w:tcBorders>
            <w:shd w:val="clear" w:color="000000" w:fill="F2F2F2"/>
            <w:vAlign w:val="center"/>
            <w:hideMark/>
          </w:tcPr>
          <w:p w14:paraId="4BAB0D0E"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 de Matrimonios</w:t>
            </w:r>
          </w:p>
        </w:tc>
        <w:tc>
          <w:tcPr>
            <w:tcW w:w="462" w:type="pct"/>
            <w:tcBorders>
              <w:top w:val="nil"/>
              <w:left w:val="nil"/>
              <w:bottom w:val="single" w:sz="8" w:space="0" w:color="FFFFFF"/>
              <w:right w:val="single" w:sz="8" w:space="0" w:color="FFFFFF"/>
            </w:tcBorders>
            <w:shd w:val="clear" w:color="000000" w:fill="F2F2F2"/>
            <w:vAlign w:val="center"/>
            <w:hideMark/>
          </w:tcPr>
          <w:p w14:paraId="7C20BFED"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EMAT</w:t>
            </w:r>
          </w:p>
        </w:tc>
        <w:tc>
          <w:tcPr>
            <w:tcW w:w="329" w:type="pct"/>
            <w:tcBorders>
              <w:top w:val="nil"/>
              <w:left w:val="nil"/>
              <w:bottom w:val="single" w:sz="8" w:space="0" w:color="FFFFFF"/>
              <w:right w:val="single" w:sz="8" w:space="0" w:color="FFFFFF"/>
            </w:tcBorders>
            <w:shd w:val="clear" w:color="000000" w:fill="F2F2F2"/>
            <w:vAlign w:val="center"/>
            <w:hideMark/>
          </w:tcPr>
          <w:p w14:paraId="0F6FF23E"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18</w:t>
            </w:r>
          </w:p>
        </w:tc>
        <w:tc>
          <w:tcPr>
            <w:tcW w:w="329" w:type="pct"/>
            <w:tcBorders>
              <w:top w:val="nil"/>
              <w:left w:val="nil"/>
              <w:bottom w:val="single" w:sz="8" w:space="0" w:color="FFFFFF"/>
              <w:right w:val="single" w:sz="8" w:space="0" w:color="FFFFFF"/>
            </w:tcBorders>
            <w:shd w:val="clear" w:color="000000" w:fill="F2F2F2"/>
            <w:vAlign w:val="center"/>
            <w:hideMark/>
          </w:tcPr>
          <w:p w14:paraId="54ACF3D6"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18</w:t>
            </w:r>
          </w:p>
        </w:tc>
        <w:tc>
          <w:tcPr>
            <w:tcW w:w="329" w:type="pct"/>
            <w:tcBorders>
              <w:top w:val="nil"/>
              <w:left w:val="nil"/>
              <w:bottom w:val="single" w:sz="8" w:space="0" w:color="FFFFFF"/>
              <w:right w:val="single" w:sz="8" w:space="0" w:color="FFFFFF"/>
            </w:tcBorders>
            <w:shd w:val="clear" w:color="000000" w:fill="F2F2F2"/>
            <w:vAlign w:val="center"/>
            <w:hideMark/>
          </w:tcPr>
          <w:p w14:paraId="0A13453E"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18</w:t>
            </w:r>
          </w:p>
        </w:tc>
        <w:tc>
          <w:tcPr>
            <w:tcW w:w="317" w:type="pct"/>
            <w:tcBorders>
              <w:top w:val="nil"/>
              <w:left w:val="nil"/>
              <w:bottom w:val="single" w:sz="8" w:space="0" w:color="FFFFFF"/>
              <w:right w:val="single" w:sz="8" w:space="0" w:color="FFFFFF"/>
            </w:tcBorders>
            <w:shd w:val="clear" w:color="000000" w:fill="FFF2CC"/>
            <w:vAlign w:val="center"/>
            <w:hideMark/>
          </w:tcPr>
          <w:p w14:paraId="20540F9A"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w:t>
            </w:r>
          </w:p>
        </w:tc>
        <w:tc>
          <w:tcPr>
            <w:tcW w:w="277" w:type="pct"/>
            <w:tcBorders>
              <w:top w:val="nil"/>
              <w:left w:val="nil"/>
              <w:bottom w:val="single" w:sz="8" w:space="0" w:color="FFFFFF"/>
              <w:right w:val="single" w:sz="8" w:space="0" w:color="FFFFFF"/>
            </w:tcBorders>
            <w:shd w:val="clear" w:color="000000" w:fill="FFF2CC"/>
            <w:vAlign w:val="center"/>
            <w:hideMark/>
          </w:tcPr>
          <w:p w14:paraId="53E743A3"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w:t>
            </w:r>
          </w:p>
        </w:tc>
        <w:tc>
          <w:tcPr>
            <w:tcW w:w="330" w:type="pct"/>
            <w:tcBorders>
              <w:top w:val="nil"/>
              <w:left w:val="nil"/>
              <w:bottom w:val="single" w:sz="8" w:space="0" w:color="FFFFFF"/>
              <w:right w:val="single" w:sz="8" w:space="0" w:color="FFFFFF"/>
            </w:tcBorders>
            <w:shd w:val="clear" w:color="000000" w:fill="FFF2CC"/>
            <w:vAlign w:val="center"/>
            <w:hideMark/>
          </w:tcPr>
          <w:p w14:paraId="6A1AA2FF" w14:textId="77777777" w:rsidR="00381867" w:rsidRPr="00880BCA" w:rsidRDefault="00381867" w:rsidP="00EF2651">
            <w:pPr>
              <w:spacing w:before="40" w:after="40" w:line="240" w:lineRule="auto"/>
              <w:jc w:val="center"/>
              <w:rPr>
                <w:rFonts w:ascii="Century Gothic" w:eastAsia="Times New Roman" w:hAnsi="Century Gothic" w:cs="Calibri"/>
                <w:b/>
                <w:bCs/>
                <w:color w:val="C00000"/>
                <w:sz w:val="17"/>
                <w:szCs w:val="17"/>
                <w:lang w:eastAsia="es-MX"/>
              </w:rPr>
            </w:pPr>
            <w:r>
              <w:rPr>
                <w:rFonts w:ascii="Century Gothic" w:hAnsi="Century Gothic" w:cs="Calibri"/>
                <w:b/>
                <w:bCs/>
                <w:color w:val="C00000"/>
                <w:sz w:val="17"/>
                <w:szCs w:val="17"/>
              </w:rPr>
              <w:t>8</w:t>
            </w:r>
          </w:p>
        </w:tc>
        <w:tc>
          <w:tcPr>
            <w:tcW w:w="330" w:type="pct"/>
            <w:tcBorders>
              <w:top w:val="nil"/>
              <w:left w:val="nil"/>
              <w:bottom w:val="single" w:sz="8" w:space="0" w:color="FFFFFF"/>
              <w:right w:val="single" w:sz="8" w:space="0" w:color="FFFFFF"/>
            </w:tcBorders>
            <w:shd w:val="clear" w:color="000000" w:fill="FFF2CC"/>
            <w:vAlign w:val="center"/>
            <w:hideMark/>
          </w:tcPr>
          <w:p w14:paraId="1AEC083A"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56</w:t>
            </w:r>
          </w:p>
        </w:tc>
        <w:tc>
          <w:tcPr>
            <w:tcW w:w="329" w:type="pct"/>
            <w:tcBorders>
              <w:top w:val="nil"/>
              <w:left w:val="nil"/>
              <w:bottom w:val="single" w:sz="8" w:space="0" w:color="FFFFFF"/>
              <w:right w:val="single" w:sz="8" w:space="0" w:color="FFFFFF"/>
            </w:tcBorders>
            <w:shd w:val="clear" w:color="000000" w:fill="FFF2CC"/>
            <w:vAlign w:val="center"/>
            <w:hideMark/>
          </w:tcPr>
          <w:p w14:paraId="6C0448A6"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100</w:t>
            </w:r>
          </w:p>
        </w:tc>
        <w:tc>
          <w:tcPr>
            <w:tcW w:w="330" w:type="pct"/>
            <w:tcBorders>
              <w:top w:val="nil"/>
              <w:left w:val="nil"/>
              <w:bottom w:val="single" w:sz="8" w:space="0" w:color="FFFFFF"/>
              <w:right w:val="single" w:sz="8" w:space="0" w:color="FFFFFF"/>
            </w:tcBorders>
            <w:shd w:val="clear" w:color="000000" w:fill="FFF2CC"/>
            <w:vAlign w:val="center"/>
            <w:hideMark/>
          </w:tcPr>
          <w:p w14:paraId="7B63EF41"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76</w:t>
            </w:r>
          </w:p>
        </w:tc>
      </w:tr>
      <w:tr w:rsidR="00381867" w:rsidRPr="00880BCA" w14:paraId="292DB399" w14:textId="77777777" w:rsidTr="00EF2651">
        <w:trPr>
          <w:trHeight w:val="315"/>
          <w:jc w:val="center"/>
        </w:trPr>
        <w:tc>
          <w:tcPr>
            <w:tcW w:w="1640" w:type="pct"/>
            <w:tcBorders>
              <w:top w:val="nil"/>
              <w:left w:val="nil"/>
              <w:bottom w:val="single" w:sz="8" w:space="0" w:color="FFFFFF"/>
              <w:right w:val="single" w:sz="8" w:space="0" w:color="FFFFFF"/>
            </w:tcBorders>
            <w:shd w:val="clear" w:color="000000" w:fill="D9D9D9"/>
            <w:vAlign w:val="center"/>
            <w:hideMark/>
          </w:tcPr>
          <w:p w14:paraId="49F98F9B"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 de Divorcios</w:t>
            </w:r>
          </w:p>
        </w:tc>
        <w:tc>
          <w:tcPr>
            <w:tcW w:w="462" w:type="pct"/>
            <w:tcBorders>
              <w:top w:val="nil"/>
              <w:left w:val="nil"/>
              <w:bottom w:val="single" w:sz="8" w:space="0" w:color="FFFFFF"/>
              <w:right w:val="single" w:sz="8" w:space="0" w:color="FFFFFF"/>
            </w:tcBorders>
            <w:shd w:val="clear" w:color="000000" w:fill="D9D9D9"/>
            <w:vAlign w:val="center"/>
            <w:hideMark/>
          </w:tcPr>
          <w:p w14:paraId="06071576"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ED</w:t>
            </w:r>
          </w:p>
        </w:tc>
        <w:tc>
          <w:tcPr>
            <w:tcW w:w="329" w:type="pct"/>
            <w:tcBorders>
              <w:top w:val="nil"/>
              <w:left w:val="nil"/>
              <w:bottom w:val="single" w:sz="8" w:space="0" w:color="FFFFFF"/>
              <w:right w:val="single" w:sz="8" w:space="0" w:color="FFFFFF"/>
            </w:tcBorders>
            <w:shd w:val="clear" w:color="000000" w:fill="D9D9D9"/>
            <w:vAlign w:val="center"/>
            <w:hideMark/>
          </w:tcPr>
          <w:p w14:paraId="58CF15C6"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54</w:t>
            </w:r>
          </w:p>
        </w:tc>
        <w:tc>
          <w:tcPr>
            <w:tcW w:w="329" w:type="pct"/>
            <w:tcBorders>
              <w:top w:val="nil"/>
              <w:left w:val="nil"/>
              <w:bottom w:val="single" w:sz="8" w:space="0" w:color="FFFFFF"/>
              <w:right w:val="single" w:sz="8" w:space="0" w:color="FFFFFF"/>
            </w:tcBorders>
            <w:shd w:val="clear" w:color="000000" w:fill="D9D9D9"/>
            <w:vAlign w:val="center"/>
            <w:hideMark/>
          </w:tcPr>
          <w:p w14:paraId="1B8338D4"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54</w:t>
            </w:r>
          </w:p>
        </w:tc>
        <w:tc>
          <w:tcPr>
            <w:tcW w:w="329" w:type="pct"/>
            <w:tcBorders>
              <w:top w:val="nil"/>
              <w:left w:val="nil"/>
              <w:bottom w:val="single" w:sz="8" w:space="0" w:color="FFFFFF"/>
              <w:right w:val="single" w:sz="8" w:space="0" w:color="FFFFFF"/>
            </w:tcBorders>
            <w:shd w:val="clear" w:color="000000" w:fill="D9D9D9"/>
            <w:vAlign w:val="center"/>
            <w:hideMark/>
          </w:tcPr>
          <w:p w14:paraId="1427E613"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54</w:t>
            </w:r>
          </w:p>
        </w:tc>
        <w:tc>
          <w:tcPr>
            <w:tcW w:w="317" w:type="pct"/>
            <w:tcBorders>
              <w:top w:val="nil"/>
              <w:left w:val="nil"/>
              <w:bottom w:val="single" w:sz="8" w:space="0" w:color="FFFFFF"/>
              <w:right w:val="single" w:sz="8" w:space="0" w:color="FFFFFF"/>
            </w:tcBorders>
            <w:shd w:val="clear" w:color="000000" w:fill="FFE599"/>
            <w:vAlign w:val="center"/>
            <w:hideMark/>
          </w:tcPr>
          <w:p w14:paraId="59B21E33"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w:t>
            </w:r>
          </w:p>
        </w:tc>
        <w:tc>
          <w:tcPr>
            <w:tcW w:w="277" w:type="pct"/>
            <w:tcBorders>
              <w:top w:val="nil"/>
              <w:left w:val="nil"/>
              <w:bottom w:val="single" w:sz="8" w:space="0" w:color="FFFFFF"/>
              <w:right w:val="single" w:sz="8" w:space="0" w:color="FFFFFF"/>
            </w:tcBorders>
            <w:shd w:val="clear" w:color="000000" w:fill="FFE599"/>
            <w:vAlign w:val="center"/>
            <w:hideMark/>
          </w:tcPr>
          <w:p w14:paraId="213D6651"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8</w:t>
            </w:r>
          </w:p>
        </w:tc>
        <w:tc>
          <w:tcPr>
            <w:tcW w:w="330" w:type="pct"/>
            <w:tcBorders>
              <w:top w:val="nil"/>
              <w:left w:val="nil"/>
              <w:bottom w:val="single" w:sz="8" w:space="0" w:color="FFFFFF"/>
              <w:right w:val="single" w:sz="8" w:space="0" w:color="FFFFFF"/>
            </w:tcBorders>
            <w:shd w:val="clear" w:color="000000" w:fill="FFE599"/>
            <w:vAlign w:val="center"/>
            <w:hideMark/>
          </w:tcPr>
          <w:p w14:paraId="4B8AF875"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8</w:t>
            </w:r>
          </w:p>
        </w:tc>
        <w:tc>
          <w:tcPr>
            <w:tcW w:w="330" w:type="pct"/>
            <w:tcBorders>
              <w:top w:val="nil"/>
              <w:left w:val="nil"/>
              <w:bottom w:val="single" w:sz="8" w:space="0" w:color="FFFFFF"/>
              <w:right w:val="single" w:sz="8" w:space="0" w:color="FFFFFF"/>
            </w:tcBorders>
            <w:shd w:val="clear" w:color="000000" w:fill="FFE599"/>
            <w:vAlign w:val="center"/>
            <w:hideMark/>
          </w:tcPr>
          <w:p w14:paraId="2D6A81D6"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44</w:t>
            </w:r>
          </w:p>
        </w:tc>
        <w:tc>
          <w:tcPr>
            <w:tcW w:w="329" w:type="pct"/>
            <w:tcBorders>
              <w:top w:val="nil"/>
              <w:left w:val="nil"/>
              <w:bottom w:val="single" w:sz="8" w:space="0" w:color="FFFFFF"/>
              <w:right w:val="single" w:sz="8" w:space="0" w:color="FFFFFF"/>
            </w:tcBorders>
            <w:shd w:val="clear" w:color="000000" w:fill="FFE599"/>
            <w:vAlign w:val="center"/>
            <w:hideMark/>
          </w:tcPr>
          <w:p w14:paraId="6A03C6B5"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90</w:t>
            </w:r>
          </w:p>
        </w:tc>
        <w:tc>
          <w:tcPr>
            <w:tcW w:w="330" w:type="pct"/>
            <w:tcBorders>
              <w:top w:val="nil"/>
              <w:left w:val="nil"/>
              <w:bottom w:val="single" w:sz="8" w:space="0" w:color="FFFFFF"/>
              <w:right w:val="single" w:sz="8" w:space="0" w:color="FFFFFF"/>
            </w:tcBorders>
            <w:shd w:val="clear" w:color="000000" w:fill="FFE599"/>
            <w:vAlign w:val="center"/>
            <w:hideMark/>
          </w:tcPr>
          <w:p w14:paraId="2DEAF109"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91</w:t>
            </w:r>
          </w:p>
        </w:tc>
      </w:tr>
      <w:tr w:rsidR="00381867" w:rsidRPr="00880BCA" w14:paraId="542FFC20" w14:textId="77777777" w:rsidTr="00EF2651">
        <w:trPr>
          <w:trHeight w:val="72"/>
          <w:jc w:val="center"/>
        </w:trPr>
        <w:tc>
          <w:tcPr>
            <w:tcW w:w="1640" w:type="pct"/>
            <w:tcBorders>
              <w:top w:val="nil"/>
              <w:left w:val="nil"/>
              <w:bottom w:val="single" w:sz="8" w:space="0" w:color="FFFFFF"/>
              <w:right w:val="single" w:sz="8" w:space="0" w:color="FFFFFF"/>
            </w:tcBorders>
            <w:shd w:val="clear" w:color="000000" w:fill="D9D9D9"/>
            <w:vAlign w:val="center"/>
            <w:hideMark/>
          </w:tcPr>
          <w:p w14:paraId="594FB971"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 de Museos</w:t>
            </w:r>
          </w:p>
        </w:tc>
        <w:tc>
          <w:tcPr>
            <w:tcW w:w="462" w:type="pct"/>
            <w:tcBorders>
              <w:top w:val="nil"/>
              <w:left w:val="nil"/>
              <w:bottom w:val="single" w:sz="8" w:space="0" w:color="FFFFFF"/>
              <w:right w:val="single" w:sz="8" w:space="0" w:color="FFFFFF"/>
            </w:tcBorders>
            <w:shd w:val="clear" w:color="000000" w:fill="D9D9D9"/>
            <w:vAlign w:val="center"/>
            <w:hideMark/>
          </w:tcPr>
          <w:p w14:paraId="6289FB1E"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EM</w:t>
            </w:r>
          </w:p>
        </w:tc>
        <w:tc>
          <w:tcPr>
            <w:tcW w:w="329" w:type="pct"/>
            <w:tcBorders>
              <w:top w:val="nil"/>
              <w:left w:val="nil"/>
              <w:bottom w:val="single" w:sz="8" w:space="0" w:color="FFFFFF"/>
              <w:right w:val="single" w:sz="8" w:space="0" w:color="FFFFFF"/>
            </w:tcBorders>
            <w:shd w:val="clear" w:color="000000" w:fill="D9D9D9"/>
            <w:vAlign w:val="center"/>
            <w:hideMark/>
          </w:tcPr>
          <w:p w14:paraId="62738A49"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 xml:space="preserve"> -</w:t>
            </w:r>
          </w:p>
        </w:tc>
        <w:tc>
          <w:tcPr>
            <w:tcW w:w="329" w:type="pct"/>
            <w:tcBorders>
              <w:top w:val="nil"/>
              <w:left w:val="nil"/>
              <w:bottom w:val="single" w:sz="8" w:space="0" w:color="FFFFFF"/>
              <w:right w:val="single" w:sz="8" w:space="0" w:color="FFFFFF"/>
            </w:tcBorders>
            <w:shd w:val="clear" w:color="000000" w:fill="D9D9D9"/>
            <w:vAlign w:val="center"/>
            <w:hideMark/>
          </w:tcPr>
          <w:p w14:paraId="058CEAF0"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23</w:t>
            </w:r>
          </w:p>
        </w:tc>
        <w:tc>
          <w:tcPr>
            <w:tcW w:w="329" w:type="pct"/>
            <w:tcBorders>
              <w:top w:val="nil"/>
              <w:left w:val="nil"/>
              <w:bottom w:val="single" w:sz="8" w:space="0" w:color="FFFFFF"/>
              <w:right w:val="single" w:sz="8" w:space="0" w:color="FFFFFF"/>
            </w:tcBorders>
            <w:shd w:val="clear" w:color="000000" w:fill="D9D9D9"/>
            <w:vAlign w:val="center"/>
            <w:hideMark/>
          </w:tcPr>
          <w:p w14:paraId="0A1DB98E"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23</w:t>
            </w:r>
          </w:p>
        </w:tc>
        <w:tc>
          <w:tcPr>
            <w:tcW w:w="317" w:type="pct"/>
            <w:tcBorders>
              <w:top w:val="nil"/>
              <w:left w:val="nil"/>
              <w:bottom w:val="single" w:sz="8" w:space="0" w:color="FFFFFF"/>
              <w:right w:val="single" w:sz="8" w:space="0" w:color="FFFFFF"/>
            </w:tcBorders>
            <w:shd w:val="clear" w:color="000000" w:fill="FFE599"/>
            <w:vAlign w:val="center"/>
            <w:hideMark/>
          </w:tcPr>
          <w:p w14:paraId="31643130"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 xml:space="preserve">- </w:t>
            </w:r>
          </w:p>
        </w:tc>
        <w:tc>
          <w:tcPr>
            <w:tcW w:w="277" w:type="pct"/>
            <w:tcBorders>
              <w:top w:val="nil"/>
              <w:left w:val="nil"/>
              <w:bottom w:val="single" w:sz="8" w:space="0" w:color="FFFFFF"/>
              <w:right w:val="single" w:sz="8" w:space="0" w:color="FFFFFF"/>
            </w:tcBorders>
            <w:shd w:val="clear" w:color="000000" w:fill="FFE599"/>
            <w:vAlign w:val="center"/>
            <w:hideMark/>
          </w:tcPr>
          <w:p w14:paraId="6BBFC58B"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330" w:type="pct"/>
            <w:tcBorders>
              <w:top w:val="nil"/>
              <w:left w:val="nil"/>
              <w:bottom w:val="single" w:sz="8" w:space="0" w:color="FFFFFF"/>
              <w:right w:val="single" w:sz="8" w:space="0" w:color="FFFFFF"/>
            </w:tcBorders>
            <w:shd w:val="clear" w:color="000000" w:fill="FFE599"/>
            <w:vAlign w:val="center"/>
            <w:hideMark/>
          </w:tcPr>
          <w:p w14:paraId="370A4DCC" w14:textId="77777777" w:rsidR="00381867" w:rsidRPr="00880BCA" w:rsidRDefault="00381867" w:rsidP="00EF2651">
            <w:pPr>
              <w:spacing w:before="40" w:after="40" w:line="240" w:lineRule="auto"/>
              <w:jc w:val="center"/>
              <w:rPr>
                <w:rFonts w:ascii="Century Gothic" w:eastAsia="Times New Roman" w:hAnsi="Century Gothic" w:cs="Calibri"/>
                <w:b/>
                <w:bCs/>
                <w:color w:val="548235"/>
                <w:sz w:val="17"/>
                <w:szCs w:val="17"/>
                <w:lang w:eastAsia="es-MX"/>
              </w:rPr>
            </w:pPr>
            <w:r>
              <w:rPr>
                <w:rFonts w:ascii="Century Gothic" w:hAnsi="Century Gothic" w:cs="Calibri"/>
                <w:color w:val="000000"/>
                <w:sz w:val="17"/>
                <w:szCs w:val="17"/>
              </w:rPr>
              <w:t>0</w:t>
            </w:r>
          </w:p>
        </w:tc>
        <w:tc>
          <w:tcPr>
            <w:tcW w:w="330" w:type="pct"/>
            <w:tcBorders>
              <w:top w:val="nil"/>
              <w:left w:val="nil"/>
              <w:bottom w:val="single" w:sz="8" w:space="0" w:color="FFFFFF"/>
              <w:right w:val="single" w:sz="8" w:space="0" w:color="FFFFFF"/>
            </w:tcBorders>
            <w:shd w:val="clear" w:color="000000" w:fill="FFE599"/>
            <w:vAlign w:val="center"/>
            <w:hideMark/>
          </w:tcPr>
          <w:p w14:paraId="21575EF5"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 xml:space="preserve">- </w:t>
            </w:r>
          </w:p>
        </w:tc>
        <w:tc>
          <w:tcPr>
            <w:tcW w:w="329" w:type="pct"/>
            <w:tcBorders>
              <w:top w:val="nil"/>
              <w:left w:val="nil"/>
              <w:bottom w:val="single" w:sz="8" w:space="0" w:color="FFFFFF"/>
              <w:right w:val="single" w:sz="8" w:space="0" w:color="FFFFFF"/>
            </w:tcBorders>
            <w:shd w:val="clear" w:color="000000" w:fill="FFE599"/>
            <w:vAlign w:val="center"/>
            <w:hideMark/>
          </w:tcPr>
          <w:p w14:paraId="2FE29A4C"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9</w:t>
            </w:r>
          </w:p>
        </w:tc>
        <w:tc>
          <w:tcPr>
            <w:tcW w:w="330" w:type="pct"/>
            <w:tcBorders>
              <w:top w:val="nil"/>
              <w:left w:val="nil"/>
              <w:bottom w:val="single" w:sz="8" w:space="0" w:color="FFFFFF"/>
              <w:right w:val="single" w:sz="8" w:space="0" w:color="FFFFFF"/>
            </w:tcBorders>
            <w:shd w:val="clear" w:color="000000" w:fill="FFE599"/>
            <w:vAlign w:val="center"/>
            <w:hideMark/>
          </w:tcPr>
          <w:p w14:paraId="23461F6A"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14</w:t>
            </w:r>
          </w:p>
        </w:tc>
      </w:tr>
      <w:tr w:rsidR="00381867" w:rsidRPr="00880BCA" w14:paraId="340E4EE6" w14:textId="77777777" w:rsidTr="00EF2651">
        <w:trPr>
          <w:trHeight w:val="191"/>
          <w:jc w:val="center"/>
        </w:trPr>
        <w:tc>
          <w:tcPr>
            <w:tcW w:w="1640" w:type="pct"/>
            <w:tcBorders>
              <w:top w:val="nil"/>
              <w:left w:val="nil"/>
              <w:bottom w:val="single" w:sz="8" w:space="0" w:color="FFFFFF"/>
              <w:right w:val="single" w:sz="8" w:space="0" w:color="FFFFFF"/>
            </w:tcBorders>
            <w:shd w:val="clear" w:color="000000" w:fill="D9D9D9"/>
            <w:vAlign w:val="center"/>
            <w:hideMark/>
          </w:tcPr>
          <w:p w14:paraId="4FE83090"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Estadísticas sobre Relaciones Laborales de Jurisdicción Local</w:t>
            </w:r>
          </w:p>
        </w:tc>
        <w:tc>
          <w:tcPr>
            <w:tcW w:w="462" w:type="pct"/>
            <w:tcBorders>
              <w:top w:val="nil"/>
              <w:left w:val="nil"/>
              <w:bottom w:val="single" w:sz="8" w:space="0" w:color="FFFFFF"/>
              <w:right w:val="single" w:sz="8" w:space="0" w:color="FFFFFF"/>
            </w:tcBorders>
            <w:shd w:val="clear" w:color="000000" w:fill="D9D9D9"/>
            <w:vAlign w:val="center"/>
            <w:hideMark/>
          </w:tcPr>
          <w:p w14:paraId="199BF575" w14:textId="77777777" w:rsidR="00381867" w:rsidRPr="00880BCA" w:rsidRDefault="00381867" w:rsidP="00EF2651">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ERLAJUL</w:t>
            </w:r>
          </w:p>
        </w:tc>
        <w:tc>
          <w:tcPr>
            <w:tcW w:w="329" w:type="pct"/>
            <w:tcBorders>
              <w:top w:val="nil"/>
              <w:left w:val="nil"/>
              <w:bottom w:val="single" w:sz="8" w:space="0" w:color="FFFFFF"/>
              <w:right w:val="single" w:sz="8" w:space="0" w:color="FFFFFF"/>
            </w:tcBorders>
            <w:shd w:val="clear" w:color="000000" w:fill="D9D9D9"/>
            <w:vAlign w:val="center"/>
            <w:hideMark/>
          </w:tcPr>
          <w:p w14:paraId="0F24479F"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w:t>
            </w:r>
          </w:p>
        </w:tc>
        <w:tc>
          <w:tcPr>
            <w:tcW w:w="329" w:type="pct"/>
            <w:tcBorders>
              <w:top w:val="nil"/>
              <w:left w:val="nil"/>
              <w:bottom w:val="single" w:sz="8" w:space="0" w:color="FFFFFF"/>
              <w:right w:val="single" w:sz="8" w:space="0" w:color="FFFFFF"/>
            </w:tcBorders>
            <w:shd w:val="clear" w:color="000000" w:fill="D9D9D9"/>
            <w:vAlign w:val="center"/>
            <w:hideMark/>
          </w:tcPr>
          <w:p w14:paraId="7DDC687D"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7</w:t>
            </w:r>
          </w:p>
        </w:tc>
        <w:tc>
          <w:tcPr>
            <w:tcW w:w="329" w:type="pct"/>
            <w:tcBorders>
              <w:top w:val="nil"/>
              <w:left w:val="nil"/>
              <w:bottom w:val="single" w:sz="8" w:space="0" w:color="FFFFFF"/>
              <w:right w:val="single" w:sz="8" w:space="0" w:color="FFFFFF"/>
            </w:tcBorders>
            <w:shd w:val="clear" w:color="000000" w:fill="D9D9D9"/>
            <w:vAlign w:val="center"/>
            <w:hideMark/>
          </w:tcPr>
          <w:p w14:paraId="0BA1796D"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8</w:t>
            </w:r>
          </w:p>
        </w:tc>
        <w:tc>
          <w:tcPr>
            <w:tcW w:w="317" w:type="pct"/>
            <w:tcBorders>
              <w:top w:val="nil"/>
              <w:left w:val="nil"/>
              <w:bottom w:val="single" w:sz="8" w:space="0" w:color="FFFFFF"/>
              <w:right w:val="single" w:sz="8" w:space="0" w:color="FFFFFF"/>
            </w:tcBorders>
            <w:shd w:val="clear" w:color="000000" w:fill="FFE599"/>
            <w:vAlign w:val="center"/>
            <w:hideMark/>
          </w:tcPr>
          <w:p w14:paraId="4CBC015F"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w:t>
            </w:r>
          </w:p>
        </w:tc>
        <w:tc>
          <w:tcPr>
            <w:tcW w:w="277" w:type="pct"/>
            <w:tcBorders>
              <w:top w:val="nil"/>
              <w:left w:val="nil"/>
              <w:bottom w:val="single" w:sz="8" w:space="0" w:color="FFFFFF"/>
              <w:right w:val="single" w:sz="8" w:space="0" w:color="FFFFFF"/>
            </w:tcBorders>
            <w:shd w:val="clear" w:color="000000" w:fill="FFE599"/>
            <w:vAlign w:val="center"/>
            <w:hideMark/>
          </w:tcPr>
          <w:p w14:paraId="638D6AE2"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12</w:t>
            </w:r>
          </w:p>
        </w:tc>
        <w:tc>
          <w:tcPr>
            <w:tcW w:w="330" w:type="pct"/>
            <w:tcBorders>
              <w:top w:val="nil"/>
              <w:left w:val="nil"/>
              <w:bottom w:val="single" w:sz="8" w:space="0" w:color="FFFFFF"/>
              <w:right w:val="single" w:sz="8" w:space="0" w:color="FFFFFF"/>
            </w:tcBorders>
            <w:shd w:val="clear" w:color="000000" w:fill="FFE599"/>
            <w:vAlign w:val="center"/>
            <w:hideMark/>
          </w:tcPr>
          <w:p w14:paraId="434A43FB" w14:textId="77777777" w:rsidR="00381867" w:rsidRPr="00880BCA" w:rsidRDefault="00381867" w:rsidP="00EF2651">
            <w:pPr>
              <w:spacing w:before="40" w:after="40" w:line="240" w:lineRule="auto"/>
              <w:jc w:val="center"/>
              <w:rPr>
                <w:rFonts w:ascii="Century Gothic" w:eastAsia="Times New Roman" w:hAnsi="Century Gothic" w:cs="Calibri"/>
                <w:b/>
                <w:bCs/>
                <w:sz w:val="17"/>
                <w:szCs w:val="17"/>
                <w:lang w:eastAsia="es-MX"/>
              </w:rPr>
            </w:pPr>
            <w:r>
              <w:rPr>
                <w:rFonts w:ascii="Century Gothic" w:hAnsi="Century Gothic" w:cs="Calibri"/>
                <w:b/>
                <w:bCs/>
                <w:sz w:val="17"/>
                <w:szCs w:val="17"/>
              </w:rPr>
              <w:t>11</w:t>
            </w:r>
          </w:p>
        </w:tc>
        <w:tc>
          <w:tcPr>
            <w:tcW w:w="330" w:type="pct"/>
            <w:tcBorders>
              <w:top w:val="nil"/>
              <w:left w:val="nil"/>
              <w:bottom w:val="single" w:sz="8" w:space="0" w:color="FFFFFF"/>
              <w:right w:val="single" w:sz="8" w:space="0" w:color="FFFFFF"/>
            </w:tcBorders>
            <w:shd w:val="clear" w:color="000000" w:fill="FFE599"/>
            <w:vAlign w:val="center"/>
            <w:hideMark/>
          </w:tcPr>
          <w:p w14:paraId="131ED2E5"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w:t>
            </w:r>
          </w:p>
        </w:tc>
        <w:tc>
          <w:tcPr>
            <w:tcW w:w="329" w:type="pct"/>
            <w:tcBorders>
              <w:top w:val="nil"/>
              <w:left w:val="nil"/>
              <w:bottom w:val="single" w:sz="8" w:space="0" w:color="FFFFFF"/>
              <w:right w:val="single" w:sz="8" w:space="0" w:color="FFFFFF"/>
            </w:tcBorders>
            <w:shd w:val="clear" w:color="000000" w:fill="FFE599"/>
            <w:vAlign w:val="center"/>
            <w:hideMark/>
          </w:tcPr>
          <w:p w14:paraId="208D6573"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100</w:t>
            </w:r>
          </w:p>
        </w:tc>
        <w:tc>
          <w:tcPr>
            <w:tcW w:w="330" w:type="pct"/>
            <w:tcBorders>
              <w:top w:val="nil"/>
              <w:left w:val="nil"/>
              <w:bottom w:val="single" w:sz="8" w:space="0" w:color="FFFFFF"/>
              <w:right w:val="single" w:sz="8" w:space="0" w:color="FFFFFF"/>
            </w:tcBorders>
            <w:shd w:val="clear" w:color="000000" w:fill="FFE599"/>
            <w:vAlign w:val="center"/>
            <w:hideMark/>
          </w:tcPr>
          <w:p w14:paraId="6B79A07A" w14:textId="77777777" w:rsidR="00381867" w:rsidRPr="00880BCA" w:rsidRDefault="00381867" w:rsidP="00EF2651">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100</w:t>
            </w:r>
          </w:p>
        </w:tc>
      </w:tr>
    </w:tbl>
    <w:p w14:paraId="23F59AA8" w14:textId="77777777" w:rsidR="00381867" w:rsidRPr="00802460" w:rsidRDefault="00381867" w:rsidP="00381867">
      <w:pPr>
        <w:spacing w:before="40" w:after="40"/>
        <w:jc w:val="both"/>
        <w:rPr>
          <w:rFonts w:ascii="Century Gothic" w:hAnsi="Century Gothic"/>
          <w:sz w:val="15"/>
          <w:szCs w:val="15"/>
        </w:rPr>
      </w:pPr>
      <w:r w:rsidRPr="00802460">
        <w:rPr>
          <w:rFonts w:ascii="Century Gothic" w:hAnsi="Century Gothic"/>
          <w:sz w:val="15"/>
          <w:szCs w:val="15"/>
        </w:rPr>
        <w:t>* Estos datos son los reportados en l</w:t>
      </w:r>
      <w:r>
        <w:rPr>
          <w:rFonts w:ascii="Century Gothic" w:hAnsi="Century Gothic"/>
          <w:sz w:val="15"/>
          <w:szCs w:val="15"/>
        </w:rPr>
        <w:t>os</w:t>
      </w:r>
      <w:r w:rsidRPr="00802460">
        <w:rPr>
          <w:rFonts w:ascii="Century Gothic" w:hAnsi="Century Gothic"/>
          <w:sz w:val="15"/>
          <w:szCs w:val="15"/>
        </w:rPr>
        <w:t xml:space="preserve"> Informe</w:t>
      </w:r>
      <w:r>
        <w:rPr>
          <w:rFonts w:ascii="Century Gothic" w:hAnsi="Century Gothic"/>
          <w:sz w:val="15"/>
          <w:szCs w:val="15"/>
        </w:rPr>
        <w:t>s</w:t>
      </w:r>
      <w:r w:rsidRPr="00802460">
        <w:rPr>
          <w:rFonts w:ascii="Century Gothic" w:hAnsi="Century Gothic"/>
          <w:sz w:val="15"/>
          <w:szCs w:val="15"/>
        </w:rPr>
        <w:t xml:space="preserve"> Anual</w:t>
      </w:r>
      <w:r>
        <w:rPr>
          <w:rFonts w:ascii="Century Gothic" w:hAnsi="Century Gothic"/>
          <w:sz w:val="15"/>
          <w:szCs w:val="15"/>
        </w:rPr>
        <w:t>es</w:t>
      </w:r>
      <w:r w:rsidRPr="00802460">
        <w:rPr>
          <w:rFonts w:ascii="Century Gothic" w:hAnsi="Century Gothic"/>
          <w:sz w:val="15"/>
          <w:szCs w:val="15"/>
        </w:rPr>
        <w:t xml:space="preserve"> de Resultados 201</w:t>
      </w:r>
      <w:r>
        <w:rPr>
          <w:rFonts w:ascii="Century Gothic" w:hAnsi="Century Gothic"/>
          <w:sz w:val="15"/>
          <w:szCs w:val="15"/>
        </w:rPr>
        <w:t>9 y 2020, respectivamente</w:t>
      </w:r>
      <w:r w:rsidRPr="00802460">
        <w:rPr>
          <w:rFonts w:ascii="Century Gothic" w:hAnsi="Century Gothic"/>
          <w:sz w:val="15"/>
          <w:szCs w:val="15"/>
        </w:rPr>
        <w:t>.</w:t>
      </w:r>
    </w:p>
    <w:p w14:paraId="203AF55A" w14:textId="77777777" w:rsidR="00381867" w:rsidRPr="00802460" w:rsidRDefault="00381867" w:rsidP="00381867">
      <w:pPr>
        <w:spacing w:before="40" w:after="40"/>
        <w:jc w:val="both"/>
        <w:rPr>
          <w:rFonts w:ascii="Century Gothic" w:hAnsi="Century Gothic"/>
          <w:sz w:val="15"/>
          <w:szCs w:val="15"/>
        </w:rPr>
      </w:pPr>
      <w:r w:rsidRPr="00625B3C">
        <w:rPr>
          <w:rFonts w:ascii="Century Gothic" w:hAnsi="Century Gothic"/>
          <w:sz w:val="15"/>
          <w:szCs w:val="15"/>
        </w:rPr>
        <w:t>** Estos datos corresponden a los indicadores registrados en metadatos durante 2021, independientemente del período de publicación de la información.</w:t>
      </w:r>
    </w:p>
    <w:p w14:paraId="5195BE02" w14:textId="77777777" w:rsidR="00A67A6A" w:rsidRDefault="00A67A6A"/>
    <w:sectPr w:rsidR="00A67A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31"/>
    <w:rsid w:val="00381867"/>
    <w:rsid w:val="00A64031"/>
    <w:rsid w:val="00A67A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43420-2879-4469-ABA3-D34CF55C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867"/>
  </w:style>
  <w:style w:type="paragraph" w:styleId="Ttulo1">
    <w:name w:val="heading 1"/>
    <w:basedOn w:val="Normal"/>
    <w:next w:val="Normal"/>
    <w:link w:val="Ttulo1Car"/>
    <w:uiPriority w:val="9"/>
    <w:qFormat/>
    <w:rsid w:val="003818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18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3461</Characters>
  <Application>Microsoft Office Word</Application>
  <DocSecurity>0</DocSecurity>
  <Lines>28</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TAPIA MENDOZA ALFONSO</dc:creator>
  <cp:keywords/>
  <dc:description/>
  <cp:lastModifiedBy>TAPIA MENDOZA ALFONSO</cp:lastModifiedBy>
  <cp:revision>2</cp:revision>
  <dcterms:created xsi:type="dcterms:W3CDTF">2022-05-17T14:21:00Z</dcterms:created>
  <dcterms:modified xsi:type="dcterms:W3CDTF">2022-05-17T14:22:00Z</dcterms:modified>
</cp:coreProperties>
</file>