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6AB64" w14:textId="77777777" w:rsidR="00886D18" w:rsidRPr="006060C8" w:rsidRDefault="00886D18" w:rsidP="00886D18">
      <w:pPr>
        <w:pStyle w:val="Ttulo1"/>
        <w:spacing w:before="40" w:after="40"/>
        <w:ind w:left="2835" w:hanging="2835"/>
        <w:rPr>
          <w:rFonts w:ascii="Century Gothic" w:eastAsiaTheme="minorHAnsi" w:hAnsi="Century Gothic" w:cstheme="minorBidi"/>
          <w:bCs/>
          <w:color w:val="0079BF"/>
          <w:sz w:val="24"/>
          <w:szCs w:val="24"/>
        </w:rPr>
      </w:pPr>
      <w:bookmarkStart w:id="0" w:name="_Toc99626583"/>
      <w:r w:rsidRPr="005B6CED">
        <w:rPr>
          <w:rFonts w:ascii="Century Gothic" w:hAnsi="Century Gothic"/>
          <w:color w:val="0079BF"/>
          <w:sz w:val="24"/>
        </w:rPr>
        <w:t>III.6. Indicadores de precisión de encuestas</w:t>
      </w:r>
      <w:bookmarkEnd w:id="0"/>
      <w:r w:rsidRPr="006060C8">
        <w:rPr>
          <w:rFonts w:ascii="Century Gothic" w:eastAsiaTheme="minorHAnsi" w:hAnsi="Century Gothic" w:cstheme="minorBidi"/>
          <w:bCs/>
          <w:color w:val="0079BF"/>
          <w:sz w:val="24"/>
          <w:szCs w:val="24"/>
        </w:rPr>
        <w:t xml:space="preserve"> </w:t>
      </w:r>
    </w:p>
    <w:p w14:paraId="1469E343" w14:textId="77777777" w:rsidR="00886D18" w:rsidRDefault="00886D18" w:rsidP="00886D18">
      <w:pPr>
        <w:spacing w:before="40" w:after="40"/>
        <w:jc w:val="both"/>
        <w:rPr>
          <w:rFonts w:ascii="Century Gothic" w:hAnsi="Century Gothic" w:cstheme="minorHAnsi"/>
          <w:sz w:val="19"/>
          <w:szCs w:val="19"/>
        </w:rPr>
      </w:pPr>
    </w:p>
    <w:p w14:paraId="3D404334" w14:textId="77777777" w:rsidR="00886D18" w:rsidRDefault="00886D18" w:rsidP="00886D18">
      <w:pPr>
        <w:spacing w:before="40" w:after="40"/>
        <w:jc w:val="both"/>
        <w:rPr>
          <w:rFonts w:ascii="Century Gothic" w:hAnsi="Century Gothic" w:cstheme="minorHAnsi"/>
          <w:sz w:val="19"/>
          <w:szCs w:val="19"/>
        </w:rPr>
      </w:pPr>
      <w:r w:rsidRPr="00296E53">
        <w:rPr>
          <w:rFonts w:ascii="Century Gothic" w:hAnsi="Century Gothic" w:cstheme="minorHAnsi"/>
          <w:sz w:val="19"/>
          <w:szCs w:val="19"/>
        </w:rPr>
        <w:t xml:space="preserve">En 2017 y 2018 el </w:t>
      </w:r>
      <w:r>
        <w:rPr>
          <w:rFonts w:ascii="Century Gothic" w:hAnsi="Century Gothic" w:cstheme="minorHAnsi"/>
          <w:sz w:val="19"/>
          <w:szCs w:val="19"/>
        </w:rPr>
        <w:t>Comité</w:t>
      </w:r>
      <w:r w:rsidRPr="00296E53">
        <w:rPr>
          <w:rFonts w:ascii="Century Gothic" w:hAnsi="Century Gothic" w:cstheme="minorHAnsi"/>
          <w:sz w:val="19"/>
          <w:szCs w:val="19"/>
        </w:rPr>
        <w:t xml:space="preserve"> aprobó nueve indicadores para medir la precisión en encuestas. Los indicadores aprobados se diferenciaron </w:t>
      </w:r>
      <w:r>
        <w:rPr>
          <w:rFonts w:ascii="Century Gothic" w:hAnsi="Century Gothic" w:cstheme="minorHAnsi"/>
          <w:sz w:val="19"/>
          <w:szCs w:val="19"/>
        </w:rPr>
        <w:t>entre</w:t>
      </w:r>
      <w:r w:rsidRPr="00296E53">
        <w:rPr>
          <w:rFonts w:ascii="Century Gothic" w:hAnsi="Century Gothic" w:cstheme="minorHAnsi"/>
          <w:sz w:val="19"/>
          <w:szCs w:val="19"/>
        </w:rPr>
        <w:t xml:space="preserve"> uso externo y uso interno</w:t>
      </w:r>
      <w:r>
        <w:rPr>
          <w:rFonts w:ascii="Century Gothic" w:hAnsi="Century Gothic" w:cstheme="minorHAnsi"/>
          <w:sz w:val="19"/>
          <w:szCs w:val="19"/>
        </w:rPr>
        <w:t>.</w:t>
      </w:r>
      <w:r w:rsidRPr="00296E53">
        <w:rPr>
          <w:rFonts w:ascii="Century Gothic" w:hAnsi="Century Gothic" w:cstheme="minorHAnsi"/>
          <w:sz w:val="19"/>
          <w:szCs w:val="19"/>
        </w:rPr>
        <w:t xml:space="preserve"> </w:t>
      </w:r>
      <w:r>
        <w:rPr>
          <w:rFonts w:ascii="Century Gothic" w:hAnsi="Century Gothic" w:cstheme="minorHAnsi"/>
          <w:sz w:val="19"/>
          <w:szCs w:val="19"/>
        </w:rPr>
        <w:t>A</w:t>
      </w:r>
      <w:r w:rsidRPr="00296E53">
        <w:rPr>
          <w:rFonts w:ascii="Century Gothic" w:hAnsi="Century Gothic" w:cstheme="minorHAnsi"/>
          <w:sz w:val="19"/>
          <w:szCs w:val="19"/>
        </w:rPr>
        <w:t>mbos deben reportarse en los metadatos de los programas de información, pero los de uso externo están disponibles para los usuarios a través de la Red Nacional de Metadatos.</w:t>
      </w:r>
    </w:p>
    <w:p w14:paraId="655EEEC4" w14:textId="77777777" w:rsidR="00886D18" w:rsidRPr="00296E53" w:rsidRDefault="00886D18" w:rsidP="00886D18">
      <w:pPr>
        <w:spacing w:before="40" w:after="40"/>
        <w:jc w:val="both"/>
        <w:rPr>
          <w:rFonts w:ascii="Century Gothic" w:hAnsi="Century Gothic" w:cstheme="minorHAnsi"/>
          <w:sz w:val="19"/>
          <w:szCs w:val="19"/>
        </w:rPr>
      </w:pPr>
    </w:p>
    <w:p w14:paraId="05FABCFC" w14:textId="77777777" w:rsidR="00886D18" w:rsidRPr="00296E53" w:rsidRDefault="00886D18" w:rsidP="00886D18">
      <w:pPr>
        <w:spacing w:before="40" w:after="40"/>
        <w:jc w:val="center"/>
        <w:rPr>
          <w:rFonts w:ascii="Century Gothic" w:hAnsi="Century Gothic" w:cstheme="majorHAnsi"/>
          <w:b/>
          <w:sz w:val="19"/>
          <w:szCs w:val="19"/>
        </w:rPr>
      </w:pPr>
      <w:r>
        <w:rPr>
          <w:rFonts w:ascii="Century Gothic" w:hAnsi="Century Gothic" w:cstheme="majorHAnsi"/>
          <w:b/>
          <w:sz w:val="19"/>
          <w:szCs w:val="19"/>
        </w:rPr>
        <w:t>III</w:t>
      </w:r>
      <w:r w:rsidRPr="00296E53">
        <w:rPr>
          <w:rFonts w:ascii="Century Gothic" w:hAnsi="Century Gothic" w:cstheme="majorHAnsi"/>
          <w:b/>
          <w:sz w:val="19"/>
          <w:szCs w:val="19"/>
        </w:rPr>
        <w:t xml:space="preserve">.6.1. Indicadores de precisión y confiabilidad estadística aprobados </w:t>
      </w: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3674"/>
        <w:gridCol w:w="5154"/>
      </w:tblGrid>
      <w:tr w:rsidR="00886D18" w:rsidRPr="00296E53" w14:paraId="7C56849A" w14:textId="77777777" w:rsidTr="00EF2651">
        <w:trPr>
          <w:jc w:val="center"/>
        </w:trPr>
        <w:tc>
          <w:tcPr>
            <w:tcW w:w="4825" w:type="dxa"/>
            <w:shd w:val="clear" w:color="auto" w:fill="1F4E79" w:themeFill="accent5" w:themeFillShade="80"/>
          </w:tcPr>
          <w:p w14:paraId="7F30B29C" w14:textId="77777777" w:rsidR="00886D18" w:rsidRPr="00296E53" w:rsidRDefault="00886D18" w:rsidP="00EF2651">
            <w:pPr>
              <w:spacing w:before="40" w:after="40"/>
              <w:ind w:left="357"/>
              <w:jc w:val="center"/>
              <w:rPr>
                <w:rFonts w:ascii="Century Gothic" w:eastAsia="Calibri" w:hAnsi="Century Gothic"/>
                <w:color w:val="FFFFFF" w:themeColor="background1"/>
                <w:sz w:val="16"/>
                <w:szCs w:val="20"/>
              </w:rPr>
            </w:pPr>
            <w:r w:rsidRPr="00296E53">
              <w:rPr>
                <w:rFonts w:ascii="Century Gothic" w:eastAsia="Calibri" w:hAnsi="Century Gothic"/>
                <w:b/>
                <w:bCs/>
                <w:color w:val="FFFFFF" w:themeColor="background1"/>
                <w:sz w:val="16"/>
                <w:szCs w:val="20"/>
              </w:rPr>
              <w:t>Uso externo:</w:t>
            </w:r>
          </w:p>
        </w:tc>
        <w:tc>
          <w:tcPr>
            <w:tcW w:w="7082" w:type="dxa"/>
            <w:shd w:val="clear" w:color="auto" w:fill="1F4E79" w:themeFill="accent5" w:themeFillShade="80"/>
          </w:tcPr>
          <w:p w14:paraId="0A410B2D" w14:textId="77777777" w:rsidR="00886D18" w:rsidRPr="00296E53" w:rsidRDefault="00886D18" w:rsidP="00EF2651">
            <w:pPr>
              <w:spacing w:before="40" w:after="40"/>
              <w:ind w:left="357"/>
              <w:jc w:val="center"/>
              <w:rPr>
                <w:rFonts w:ascii="Century Gothic" w:eastAsia="Calibri" w:hAnsi="Century Gothic"/>
                <w:color w:val="FFFFFF" w:themeColor="background1"/>
                <w:sz w:val="16"/>
                <w:szCs w:val="20"/>
              </w:rPr>
            </w:pPr>
            <w:r w:rsidRPr="00296E53">
              <w:rPr>
                <w:rFonts w:ascii="Century Gothic" w:eastAsia="Calibri" w:hAnsi="Century Gothic"/>
                <w:b/>
                <w:bCs/>
                <w:color w:val="FFFFFF" w:themeColor="background1"/>
                <w:sz w:val="16"/>
                <w:szCs w:val="20"/>
              </w:rPr>
              <w:t>Uso Interno:</w:t>
            </w:r>
          </w:p>
        </w:tc>
      </w:tr>
      <w:tr w:rsidR="00886D18" w:rsidRPr="00296E53" w14:paraId="59256F98" w14:textId="77777777" w:rsidTr="00EF2651">
        <w:trPr>
          <w:jc w:val="center"/>
        </w:trPr>
        <w:tc>
          <w:tcPr>
            <w:tcW w:w="4825" w:type="dxa"/>
            <w:shd w:val="clear" w:color="auto" w:fill="C5EAFF"/>
            <w:vAlign w:val="center"/>
          </w:tcPr>
          <w:p w14:paraId="1E29FE2F" w14:textId="77777777" w:rsidR="00886D18" w:rsidRPr="00296E53" w:rsidRDefault="00886D18" w:rsidP="00886D18">
            <w:pPr>
              <w:numPr>
                <w:ilvl w:val="0"/>
                <w:numId w:val="1"/>
              </w:numPr>
              <w:tabs>
                <w:tab w:val="clear" w:pos="720"/>
                <w:tab w:val="num" w:pos="317"/>
              </w:tabs>
              <w:spacing w:before="40" w:after="40"/>
              <w:ind w:left="317" w:hanging="283"/>
              <w:jc w:val="both"/>
              <w:rPr>
                <w:rFonts w:ascii="Century Gothic" w:eastAsia="Calibri" w:hAnsi="Century Gothic"/>
                <w:sz w:val="16"/>
                <w:szCs w:val="20"/>
              </w:rPr>
            </w:pPr>
            <w:r w:rsidRPr="00296E53">
              <w:rPr>
                <w:rFonts w:ascii="Century Gothic" w:eastAsia="Calibri" w:hAnsi="Century Gothic"/>
                <w:sz w:val="16"/>
                <w:szCs w:val="20"/>
              </w:rPr>
              <w:t>Coeficiente de Variación (CV)</w:t>
            </w:r>
          </w:p>
          <w:p w14:paraId="4C091CD4" w14:textId="77777777" w:rsidR="00886D18" w:rsidRPr="00296E53" w:rsidRDefault="00886D18" w:rsidP="00886D18">
            <w:pPr>
              <w:numPr>
                <w:ilvl w:val="0"/>
                <w:numId w:val="1"/>
              </w:numPr>
              <w:tabs>
                <w:tab w:val="clear" w:pos="720"/>
                <w:tab w:val="num" w:pos="317"/>
              </w:tabs>
              <w:spacing w:before="40" w:after="40"/>
              <w:ind w:left="317" w:hanging="283"/>
              <w:jc w:val="both"/>
              <w:rPr>
                <w:rFonts w:ascii="Century Gothic" w:eastAsia="Calibri" w:hAnsi="Century Gothic"/>
                <w:sz w:val="16"/>
                <w:szCs w:val="20"/>
              </w:rPr>
            </w:pPr>
            <w:r w:rsidRPr="00296E53">
              <w:rPr>
                <w:rFonts w:ascii="Century Gothic" w:eastAsia="Calibri" w:hAnsi="Century Gothic"/>
                <w:sz w:val="16"/>
                <w:szCs w:val="20"/>
              </w:rPr>
              <w:t>Error Estándar (SE)</w:t>
            </w:r>
          </w:p>
          <w:p w14:paraId="14A3BCFF" w14:textId="77777777" w:rsidR="00886D18" w:rsidRPr="00296E53" w:rsidRDefault="00886D18" w:rsidP="00886D18">
            <w:pPr>
              <w:numPr>
                <w:ilvl w:val="0"/>
                <w:numId w:val="1"/>
              </w:numPr>
              <w:tabs>
                <w:tab w:val="clear" w:pos="720"/>
                <w:tab w:val="num" w:pos="317"/>
              </w:tabs>
              <w:spacing w:before="40" w:after="40"/>
              <w:ind w:left="317" w:hanging="283"/>
              <w:jc w:val="both"/>
              <w:rPr>
                <w:rFonts w:ascii="Century Gothic" w:eastAsia="Calibri" w:hAnsi="Century Gothic"/>
                <w:sz w:val="16"/>
                <w:szCs w:val="20"/>
              </w:rPr>
            </w:pPr>
            <w:r w:rsidRPr="00296E53">
              <w:rPr>
                <w:rFonts w:ascii="Century Gothic" w:eastAsia="Calibri" w:hAnsi="Century Gothic"/>
                <w:sz w:val="16"/>
                <w:szCs w:val="20"/>
              </w:rPr>
              <w:t xml:space="preserve">Intervalos de confianza (IC) </w:t>
            </w:r>
          </w:p>
          <w:p w14:paraId="68963D27" w14:textId="77777777" w:rsidR="00886D18" w:rsidRPr="00296E53" w:rsidRDefault="00886D18" w:rsidP="00886D18">
            <w:pPr>
              <w:numPr>
                <w:ilvl w:val="0"/>
                <w:numId w:val="1"/>
              </w:numPr>
              <w:tabs>
                <w:tab w:val="clear" w:pos="720"/>
                <w:tab w:val="num" w:pos="317"/>
              </w:tabs>
              <w:spacing w:before="40" w:after="40"/>
              <w:ind w:left="317" w:hanging="283"/>
              <w:rPr>
                <w:rFonts w:ascii="Century Gothic" w:eastAsia="Calibri" w:hAnsi="Century Gothic"/>
                <w:sz w:val="16"/>
                <w:szCs w:val="20"/>
              </w:rPr>
            </w:pPr>
            <w:r w:rsidRPr="00296E53">
              <w:rPr>
                <w:rFonts w:ascii="Century Gothic" w:eastAsia="Calibri" w:hAnsi="Century Gothic"/>
                <w:sz w:val="16"/>
                <w:szCs w:val="20"/>
              </w:rPr>
              <w:t>Cobertura de la variable de diseño (CD)</w:t>
            </w:r>
            <w:r w:rsidRPr="00296E53">
              <w:rPr>
                <w:rFonts w:ascii="Century Gothic" w:eastAsia="Calibri" w:hAnsi="Century Gothic"/>
                <w:sz w:val="16"/>
                <w:szCs w:val="20"/>
              </w:rPr>
              <w:br/>
              <w:t>(s</w:t>
            </w:r>
            <w:r>
              <w:rPr>
                <w:rFonts w:ascii="Century Gothic" w:eastAsia="Calibri" w:hAnsi="Century Gothic"/>
                <w:sz w:val="16"/>
                <w:szCs w:val="20"/>
              </w:rPr>
              <w:t>ó</w:t>
            </w:r>
            <w:r w:rsidRPr="00296E53">
              <w:rPr>
                <w:rFonts w:ascii="Century Gothic" w:eastAsia="Calibri" w:hAnsi="Century Gothic"/>
                <w:sz w:val="16"/>
                <w:szCs w:val="20"/>
              </w:rPr>
              <w:t>lo para encuestas con muestreo no probabilístico)</w:t>
            </w:r>
          </w:p>
        </w:tc>
        <w:tc>
          <w:tcPr>
            <w:tcW w:w="7082" w:type="dxa"/>
            <w:shd w:val="clear" w:color="auto" w:fill="C5EAFF"/>
          </w:tcPr>
          <w:p w14:paraId="66B4FC0C" w14:textId="77777777" w:rsidR="00886D18" w:rsidRPr="00296E53" w:rsidRDefault="00886D18" w:rsidP="00886D18">
            <w:pPr>
              <w:numPr>
                <w:ilvl w:val="0"/>
                <w:numId w:val="2"/>
              </w:numPr>
              <w:tabs>
                <w:tab w:val="clear" w:pos="720"/>
                <w:tab w:val="num" w:pos="316"/>
              </w:tabs>
              <w:spacing w:before="40" w:after="40"/>
              <w:ind w:left="316" w:hanging="283"/>
              <w:jc w:val="both"/>
              <w:rPr>
                <w:rFonts w:ascii="Century Gothic" w:eastAsia="Calibri" w:hAnsi="Century Gothic"/>
                <w:sz w:val="16"/>
                <w:szCs w:val="20"/>
              </w:rPr>
            </w:pPr>
            <w:r w:rsidRPr="00296E53">
              <w:rPr>
                <w:rFonts w:ascii="Century Gothic" w:eastAsia="Calibri" w:hAnsi="Century Gothic"/>
                <w:sz w:val="16"/>
                <w:szCs w:val="20"/>
              </w:rPr>
              <w:t>Tasa de no respuesta antes de imputación a nivel unidad de observación (TNR_AI)</w:t>
            </w:r>
          </w:p>
          <w:p w14:paraId="4836545E" w14:textId="77777777" w:rsidR="00886D18" w:rsidRPr="00296E53" w:rsidRDefault="00886D18" w:rsidP="00886D18">
            <w:pPr>
              <w:numPr>
                <w:ilvl w:val="0"/>
                <w:numId w:val="2"/>
              </w:numPr>
              <w:tabs>
                <w:tab w:val="clear" w:pos="720"/>
                <w:tab w:val="num" w:pos="316"/>
              </w:tabs>
              <w:spacing w:before="40" w:after="40"/>
              <w:ind w:left="316" w:hanging="283"/>
              <w:jc w:val="both"/>
              <w:rPr>
                <w:rFonts w:ascii="Century Gothic" w:eastAsia="Calibri" w:hAnsi="Century Gothic"/>
                <w:sz w:val="16"/>
                <w:szCs w:val="20"/>
              </w:rPr>
            </w:pPr>
            <w:r w:rsidRPr="00296E53">
              <w:rPr>
                <w:rFonts w:ascii="Century Gothic" w:eastAsia="Calibri" w:hAnsi="Century Gothic"/>
                <w:sz w:val="16"/>
                <w:szCs w:val="20"/>
              </w:rPr>
              <w:t>Tasa de cumplimiento de la muestra mínima antes de imputación (TCMM)</w:t>
            </w:r>
          </w:p>
          <w:p w14:paraId="674F6539" w14:textId="77777777" w:rsidR="00886D18" w:rsidRPr="00296E53" w:rsidRDefault="00886D18" w:rsidP="00886D18">
            <w:pPr>
              <w:numPr>
                <w:ilvl w:val="0"/>
                <w:numId w:val="2"/>
              </w:numPr>
              <w:tabs>
                <w:tab w:val="clear" w:pos="720"/>
                <w:tab w:val="num" w:pos="316"/>
              </w:tabs>
              <w:spacing w:before="40" w:after="40"/>
              <w:ind w:left="316" w:hanging="283"/>
              <w:jc w:val="both"/>
              <w:rPr>
                <w:rFonts w:ascii="Century Gothic" w:eastAsia="Calibri" w:hAnsi="Century Gothic"/>
                <w:sz w:val="16"/>
                <w:szCs w:val="20"/>
              </w:rPr>
            </w:pPr>
            <w:r w:rsidRPr="00296E53">
              <w:rPr>
                <w:rFonts w:ascii="Century Gothic" w:eastAsia="Calibri" w:hAnsi="Century Gothic"/>
                <w:sz w:val="16"/>
                <w:szCs w:val="20"/>
              </w:rPr>
              <w:t>Tasa de no respuesta después de imputación a nivel unidad de observación (TNR_DI)</w:t>
            </w:r>
          </w:p>
          <w:p w14:paraId="6BEB3C0F" w14:textId="77777777" w:rsidR="00886D18" w:rsidRPr="00296E53" w:rsidRDefault="00886D18" w:rsidP="00886D18">
            <w:pPr>
              <w:numPr>
                <w:ilvl w:val="0"/>
                <w:numId w:val="2"/>
              </w:numPr>
              <w:tabs>
                <w:tab w:val="clear" w:pos="720"/>
                <w:tab w:val="num" w:pos="316"/>
              </w:tabs>
              <w:spacing w:before="40" w:after="40"/>
              <w:ind w:left="316" w:hanging="283"/>
              <w:jc w:val="both"/>
              <w:rPr>
                <w:rFonts w:ascii="Century Gothic" w:eastAsia="Calibri" w:hAnsi="Century Gothic"/>
                <w:sz w:val="16"/>
                <w:szCs w:val="20"/>
              </w:rPr>
            </w:pPr>
            <w:r w:rsidRPr="00296E53">
              <w:rPr>
                <w:rFonts w:ascii="Century Gothic" w:eastAsia="Calibri" w:hAnsi="Century Gothic"/>
                <w:sz w:val="16"/>
                <w:szCs w:val="20"/>
              </w:rPr>
              <w:t>Tasa de imputación a nivel unidad de observación (TI)</w:t>
            </w:r>
          </w:p>
          <w:p w14:paraId="3A6BEB0F" w14:textId="77777777" w:rsidR="00886D18" w:rsidRPr="00296E53" w:rsidRDefault="00886D18" w:rsidP="00886D18">
            <w:pPr>
              <w:numPr>
                <w:ilvl w:val="0"/>
                <w:numId w:val="2"/>
              </w:numPr>
              <w:tabs>
                <w:tab w:val="clear" w:pos="720"/>
                <w:tab w:val="num" w:pos="316"/>
              </w:tabs>
              <w:spacing w:before="40" w:after="40"/>
              <w:ind w:left="316" w:hanging="283"/>
              <w:jc w:val="both"/>
              <w:rPr>
                <w:rFonts w:ascii="Century Gothic" w:eastAsia="Calibri" w:hAnsi="Century Gothic"/>
                <w:sz w:val="16"/>
                <w:szCs w:val="20"/>
              </w:rPr>
            </w:pPr>
            <w:r w:rsidRPr="00296E53">
              <w:rPr>
                <w:rFonts w:ascii="Century Gothic" w:eastAsia="Calibri" w:hAnsi="Century Gothic"/>
                <w:sz w:val="16"/>
                <w:szCs w:val="20"/>
              </w:rPr>
              <w:t>Tasa de sobrecobertura a nivel unidad de observación (TSC)</w:t>
            </w:r>
          </w:p>
        </w:tc>
      </w:tr>
    </w:tbl>
    <w:p w14:paraId="0C370F8F" w14:textId="77777777" w:rsidR="00886D18" w:rsidRDefault="00886D18" w:rsidP="00886D18">
      <w:pPr>
        <w:spacing w:before="40" w:after="40"/>
        <w:jc w:val="both"/>
        <w:rPr>
          <w:rFonts w:ascii="Century Gothic" w:hAnsi="Century Gothic" w:cstheme="minorHAnsi"/>
          <w:sz w:val="19"/>
          <w:szCs w:val="19"/>
        </w:rPr>
      </w:pPr>
    </w:p>
    <w:p w14:paraId="375CA5A9" w14:textId="77777777" w:rsidR="00886D18" w:rsidRDefault="00886D18" w:rsidP="00886D18">
      <w:pPr>
        <w:spacing w:before="40" w:after="40"/>
        <w:jc w:val="both"/>
        <w:rPr>
          <w:rFonts w:ascii="Century Gothic" w:hAnsi="Century Gothic" w:cstheme="minorHAnsi"/>
          <w:sz w:val="19"/>
          <w:szCs w:val="19"/>
        </w:rPr>
      </w:pPr>
      <w:r>
        <w:rPr>
          <w:rFonts w:ascii="Century Gothic" w:hAnsi="Century Gothic" w:cstheme="minorHAnsi"/>
          <w:sz w:val="19"/>
          <w:szCs w:val="19"/>
        </w:rPr>
        <w:t xml:space="preserve">La estabilidad observada en la Cobertura de la Variable de Diseño y los Coeficientes de Variación de las encuestas, </w:t>
      </w:r>
      <w:r w:rsidRPr="00296E53">
        <w:rPr>
          <w:rFonts w:ascii="Century Gothic" w:hAnsi="Century Gothic" w:cstheme="minorHAnsi"/>
          <w:sz w:val="19"/>
          <w:szCs w:val="19"/>
        </w:rPr>
        <w:t>muestra el esfuerzo realizado para que estos indicadores no cayeran a pesar de las restricciones operativas impuestas por la pandemia</w:t>
      </w:r>
      <w:r>
        <w:rPr>
          <w:rFonts w:ascii="Century Gothic" w:hAnsi="Century Gothic" w:cstheme="minorHAnsi"/>
          <w:sz w:val="19"/>
          <w:szCs w:val="19"/>
        </w:rPr>
        <w:t xml:space="preserve"> del COVID-19</w:t>
      </w:r>
      <w:r w:rsidRPr="00296E53">
        <w:rPr>
          <w:rFonts w:ascii="Century Gothic" w:hAnsi="Century Gothic" w:cstheme="minorHAnsi"/>
          <w:sz w:val="19"/>
          <w:szCs w:val="19"/>
        </w:rPr>
        <w:t>.</w:t>
      </w:r>
      <w:r>
        <w:rPr>
          <w:rFonts w:ascii="Century Gothic" w:hAnsi="Century Gothic" w:cstheme="minorHAnsi"/>
          <w:sz w:val="19"/>
          <w:szCs w:val="19"/>
        </w:rPr>
        <w:t xml:space="preserve">  El porcentaje de </w:t>
      </w:r>
      <w:r w:rsidRPr="00233826">
        <w:rPr>
          <w:rFonts w:ascii="Century Gothic" w:hAnsi="Century Gothic" w:cstheme="minorHAnsi"/>
          <w:sz w:val="19"/>
          <w:szCs w:val="19"/>
        </w:rPr>
        <w:t xml:space="preserve">dominios de estudio de encuestas no probabilísticas que presentaron alta calidad estadística en Cobertura de la Variable de Diseño </w:t>
      </w:r>
      <w:r>
        <w:rPr>
          <w:rFonts w:ascii="Century Gothic" w:hAnsi="Century Gothic" w:cstheme="minorHAnsi"/>
          <w:sz w:val="19"/>
          <w:szCs w:val="19"/>
        </w:rPr>
        <w:t>se han mantenido en 75% (ver cuadro III.6.2), aunque aún mantienen un alto porcentaje de dominios de estudio en los indicadores objetivo, publicados con precisión moderada (ver anexo 4).</w:t>
      </w:r>
    </w:p>
    <w:p w14:paraId="784C0D85" w14:textId="77777777" w:rsidR="00886D18" w:rsidRDefault="00886D18" w:rsidP="00886D18">
      <w:pPr>
        <w:spacing w:before="40" w:after="40"/>
        <w:jc w:val="both"/>
        <w:rPr>
          <w:rFonts w:ascii="Century Gothic" w:hAnsi="Century Gothic" w:cstheme="minorHAnsi"/>
          <w:sz w:val="19"/>
          <w:szCs w:val="19"/>
        </w:rPr>
      </w:pPr>
    </w:p>
    <w:p w14:paraId="18AFB250" w14:textId="77777777" w:rsidR="00886D18" w:rsidRDefault="00886D18" w:rsidP="00886D18">
      <w:pPr>
        <w:spacing w:before="40" w:after="40"/>
        <w:jc w:val="center"/>
        <w:rPr>
          <w:rFonts w:ascii="Century Gothic" w:hAnsi="Century Gothic"/>
        </w:rPr>
      </w:pPr>
      <w:r>
        <w:rPr>
          <w:rFonts w:ascii="Century Gothic" w:hAnsi="Century Gothic"/>
          <w:b/>
          <w:sz w:val="19"/>
          <w:szCs w:val="19"/>
        </w:rPr>
        <w:t>III</w:t>
      </w:r>
      <w:r w:rsidRPr="00E222C3">
        <w:rPr>
          <w:rFonts w:ascii="Century Gothic" w:hAnsi="Century Gothic"/>
          <w:b/>
          <w:sz w:val="19"/>
          <w:szCs w:val="19"/>
        </w:rPr>
        <w:t>.</w:t>
      </w:r>
      <w:r>
        <w:rPr>
          <w:rFonts w:ascii="Century Gothic" w:hAnsi="Century Gothic"/>
          <w:b/>
          <w:sz w:val="19"/>
          <w:szCs w:val="19"/>
        </w:rPr>
        <w:t>6</w:t>
      </w:r>
      <w:r w:rsidRPr="00E222C3">
        <w:rPr>
          <w:rFonts w:ascii="Century Gothic" w:hAnsi="Century Gothic"/>
          <w:b/>
          <w:sz w:val="19"/>
          <w:szCs w:val="19"/>
        </w:rPr>
        <w:t>.</w:t>
      </w:r>
      <w:r>
        <w:rPr>
          <w:rFonts w:ascii="Century Gothic" w:hAnsi="Century Gothic"/>
          <w:b/>
          <w:sz w:val="19"/>
          <w:szCs w:val="19"/>
        </w:rPr>
        <w:t>2</w:t>
      </w:r>
      <w:r w:rsidRPr="00E222C3">
        <w:rPr>
          <w:rFonts w:ascii="Century Gothic" w:hAnsi="Century Gothic"/>
          <w:b/>
          <w:sz w:val="19"/>
          <w:szCs w:val="19"/>
        </w:rPr>
        <w:t xml:space="preserve"> </w:t>
      </w:r>
      <w:r>
        <w:rPr>
          <w:rFonts w:ascii="Century Gothic" w:hAnsi="Century Gothic"/>
          <w:b/>
          <w:sz w:val="19"/>
          <w:szCs w:val="19"/>
        </w:rPr>
        <w:t>Resultados Generales de la Cobertura de la Variable de Diseño y los Coeficientes de Variación</w:t>
      </w:r>
    </w:p>
    <w:tbl>
      <w:tblPr>
        <w:tblW w:w="894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6799"/>
        <w:gridCol w:w="709"/>
        <w:gridCol w:w="709"/>
        <w:gridCol w:w="730"/>
      </w:tblGrid>
      <w:tr w:rsidR="00886D18" w:rsidRPr="005E0655" w14:paraId="188C4809" w14:textId="77777777" w:rsidTr="00886D18">
        <w:trPr>
          <w:trHeight w:val="338"/>
          <w:tblHeader/>
          <w:jc w:val="center"/>
        </w:trPr>
        <w:tc>
          <w:tcPr>
            <w:tcW w:w="6799" w:type="dxa"/>
            <w:shd w:val="clear" w:color="000000" w:fill="002060"/>
            <w:vAlign w:val="center"/>
            <w:hideMark/>
          </w:tcPr>
          <w:p w14:paraId="27585871"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bookmarkStart w:id="1" w:name="_GoBack"/>
          </w:p>
        </w:tc>
        <w:tc>
          <w:tcPr>
            <w:tcW w:w="709" w:type="dxa"/>
            <w:shd w:val="clear" w:color="000000" w:fill="002060"/>
          </w:tcPr>
          <w:p w14:paraId="0345B56E"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2019</w:t>
            </w:r>
          </w:p>
        </w:tc>
        <w:tc>
          <w:tcPr>
            <w:tcW w:w="709" w:type="dxa"/>
            <w:shd w:val="clear" w:color="000000" w:fill="002060"/>
          </w:tcPr>
          <w:p w14:paraId="244DF04A"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2020</w:t>
            </w:r>
          </w:p>
        </w:tc>
        <w:tc>
          <w:tcPr>
            <w:tcW w:w="730" w:type="dxa"/>
            <w:shd w:val="clear" w:color="000000" w:fill="002060"/>
          </w:tcPr>
          <w:p w14:paraId="5D080A9E"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2021</w:t>
            </w:r>
          </w:p>
        </w:tc>
      </w:tr>
      <w:tr w:rsidR="00886D18" w:rsidRPr="005E0655" w14:paraId="460A592D" w14:textId="77777777" w:rsidTr="00886D18">
        <w:trPr>
          <w:trHeight w:val="466"/>
          <w:jc w:val="center"/>
        </w:trPr>
        <w:tc>
          <w:tcPr>
            <w:tcW w:w="6799" w:type="dxa"/>
            <w:shd w:val="clear" w:color="000000" w:fill="F2F2F2"/>
            <w:noWrap/>
            <w:vAlign w:val="center"/>
          </w:tcPr>
          <w:p w14:paraId="58B445AE" w14:textId="77777777" w:rsidR="00886D18" w:rsidRPr="00E750AC" w:rsidRDefault="00886D18" w:rsidP="00EF2651">
            <w:pPr>
              <w:spacing w:before="40" w:after="40"/>
              <w:ind w:left="142"/>
              <w:jc w:val="both"/>
              <w:rPr>
                <w:rFonts w:ascii="Century Gothic" w:hAnsi="Century Gothic"/>
                <w:sz w:val="17"/>
                <w:szCs w:val="17"/>
              </w:rPr>
            </w:pPr>
            <w:r w:rsidRPr="00E750AC">
              <w:rPr>
                <w:rFonts w:ascii="Century Gothic" w:hAnsi="Century Gothic"/>
                <w:sz w:val="17"/>
                <w:szCs w:val="17"/>
              </w:rPr>
              <w:t xml:space="preserve">Porcentaje de dominios de estudio de encuestas no probabilísticas que presentaron alta calidad estadística en Cobertura de la Variable de Diseño para los indicadores-objetivo publicados. </w:t>
            </w:r>
          </w:p>
        </w:tc>
        <w:tc>
          <w:tcPr>
            <w:tcW w:w="709" w:type="dxa"/>
            <w:shd w:val="clear" w:color="000000" w:fill="F2F2F2"/>
            <w:vAlign w:val="center"/>
          </w:tcPr>
          <w:p w14:paraId="16E1F7D5" w14:textId="77777777" w:rsidR="00886D18" w:rsidRPr="00E750AC" w:rsidRDefault="00886D18" w:rsidP="00EF2651">
            <w:pPr>
              <w:spacing w:before="40" w:after="40" w:line="240" w:lineRule="auto"/>
              <w:contextualSpacing/>
              <w:jc w:val="center"/>
              <w:rPr>
                <w:rFonts w:ascii="Century Gothic" w:hAnsi="Century Gothic"/>
                <w:b/>
                <w:sz w:val="17"/>
                <w:szCs w:val="17"/>
                <w:lang w:val="en-US"/>
              </w:rPr>
            </w:pPr>
            <w:r w:rsidRPr="00E750AC">
              <w:rPr>
                <w:rFonts w:ascii="Century Gothic" w:hAnsi="Century Gothic" w:cs="Calibri"/>
                <w:sz w:val="17"/>
                <w:szCs w:val="17"/>
              </w:rPr>
              <w:t>7</w:t>
            </w:r>
            <w:r>
              <w:rPr>
                <w:rFonts w:ascii="Century Gothic" w:hAnsi="Century Gothic" w:cs="Calibri"/>
                <w:sz w:val="17"/>
                <w:szCs w:val="17"/>
              </w:rPr>
              <w:t>5</w:t>
            </w:r>
            <w:r w:rsidRPr="00E750AC">
              <w:rPr>
                <w:rFonts w:ascii="Century Gothic" w:hAnsi="Century Gothic" w:cs="Calibri"/>
                <w:sz w:val="17"/>
                <w:szCs w:val="17"/>
              </w:rPr>
              <w:t>%</w:t>
            </w:r>
          </w:p>
        </w:tc>
        <w:tc>
          <w:tcPr>
            <w:tcW w:w="709" w:type="dxa"/>
            <w:shd w:val="clear" w:color="000000" w:fill="F2F2F2"/>
            <w:vAlign w:val="center"/>
          </w:tcPr>
          <w:p w14:paraId="75ED7520" w14:textId="77777777" w:rsidR="00886D18" w:rsidRPr="00E750AC" w:rsidRDefault="00886D18" w:rsidP="00EF2651">
            <w:pPr>
              <w:spacing w:before="40" w:after="40" w:line="240" w:lineRule="auto"/>
              <w:contextualSpacing/>
              <w:jc w:val="center"/>
              <w:rPr>
                <w:rFonts w:ascii="Century Gothic" w:hAnsi="Century Gothic"/>
                <w:b/>
                <w:sz w:val="17"/>
                <w:szCs w:val="17"/>
                <w:lang w:val="en-US"/>
              </w:rPr>
            </w:pPr>
            <w:r w:rsidRPr="00E750AC">
              <w:rPr>
                <w:rFonts w:ascii="Century Gothic" w:hAnsi="Century Gothic" w:cs="Calibri"/>
                <w:sz w:val="17"/>
                <w:szCs w:val="17"/>
              </w:rPr>
              <w:t>7</w:t>
            </w:r>
            <w:r>
              <w:rPr>
                <w:rFonts w:ascii="Century Gothic" w:hAnsi="Century Gothic" w:cs="Calibri"/>
                <w:sz w:val="17"/>
                <w:szCs w:val="17"/>
              </w:rPr>
              <w:t>5</w:t>
            </w:r>
            <w:r w:rsidRPr="00E750AC">
              <w:rPr>
                <w:rFonts w:ascii="Century Gothic" w:hAnsi="Century Gothic" w:cs="Calibri"/>
                <w:sz w:val="17"/>
                <w:szCs w:val="17"/>
              </w:rPr>
              <w:t>%</w:t>
            </w:r>
          </w:p>
        </w:tc>
        <w:tc>
          <w:tcPr>
            <w:tcW w:w="730" w:type="dxa"/>
            <w:shd w:val="clear" w:color="000000" w:fill="F2F2F2"/>
            <w:vAlign w:val="center"/>
          </w:tcPr>
          <w:p w14:paraId="31B34928" w14:textId="77777777" w:rsidR="00886D18" w:rsidRPr="00E750AC" w:rsidRDefault="00886D18" w:rsidP="00EF2651">
            <w:pPr>
              <w:spacing w:before="40" w:after="40" w:line="240" w:lineRule="auto"/>
              <w:contextualSpacing/>
              <w:jc w:val="center"/>
              <w:rPr>
                <w:rFonts w:ascii="Century Gothic" w:hAnsi="Century Gothic"/>
                <w:b/>
                <w:sz w:val="17"/>
                <w:szCs w:val="17"/>
                <w:lang w:val="en-US"/>
              </w:rPr>
            </w:pPr>
            <w:r w:rsidRPr="00E750AC">
              <w:rPr>
                <w:rFonts w:ascii="Century Gothic" w:hAnsi="Century Gothic" w:cs="Calibri"/>
                <w:sz w:val="17"/>
                <w:szCs w:val="17"/>
              </w:rPr>
              <w:t>7</w:t>
            </w:r>
            <w:r>
              <w:rPr>
                <w:rFonts w:ascii="Century Gothic" w:hAnsi="Century Gothic" w:cs="Calibri"/>
                <w:sz w:val="17"/>
                <w:szCs w:val="17"/>
              </w:rPr>
              <w:t>5</w:t>
            </w:r>
            <w:r w:rsidRPr="00E750AC">
              <w:rPr>
                <w:rFonts w:ascii="Century Gothic" w:hAnsi="Century Gothic" w:cs="Calibri"/>
                <w:sz w:val="17"/>
                <w:szCs w:val="17"/>
              </w:rPr>
              <w:t>%</w:t>
            </w:r>
          </w:p>
        </w:tc>
      </w:tr>
      <w:tr w:rsidR="00886D18" w:rsidRPr="005E0655" w14:paraId="10B98745" w14:textId="77777777" w:rsidTr="00886D18">
        <w:trPr>
          <w:trHeight w:val="466"/>
          <w:jc w:val="center"/>
        </w:trPr>
        <w:tc>
          <w:tcPr>
            <w:tcW w:w="6799" w:type="dxa"/>
            <w:shd w:val="clear" w:color="000000" w:fill="F2F2F2"/>
            <w:noWrap/>
            <w:vAlign w:val="center"/>
          </w:tcPr>
          <w:p w14:paraId="160BDE6E" w14:textId="77777777" w:rsidR="00886D18" w:rsidRPr="00E750AC" w:rsidRDefault="00886D18" w:rsidP="00EF2651">
            <w:pPr>
              <w:spacing w:before="40" w:after="40"/>
              <w:ind w:left="142"/>
              <w:jc w:val="both"/>
              <w:rPr>
                <w:rFonts w:ascii="Century Gothic" w:eastAsia="Times New Roman" w:hAnsi="Century Gothic" w:cs="Calibri"/>
                <w:sz w:val="17"/>
                <w:szCs w:val="17"/>
                <w:lang w:eastAsia="es-MX"/>
              </w:rPr>
            </w:pPr>
            <w:r w:rsidRPr="00E750AC">
              <w:rPr>
                <w:rFonts w:ascii="Century Gothic" w:hAnsi="Century Gothic"/>
                <w:sz w:val="17"/>
                <w:szCs w:val="17"/>
              </w:rPr>
              <w:t xml:space="preserve">Porcentaje de dominios de estudio de encuestas probabilísticas que presentaron alta calidad estadística en los Coeficientes de Variación para los indicadores-objetivo publicados </w:t>
            </w:r>
          </w:p>
        </w:tc>
        <w:tc>
          <w:tcPr>
            <w:tcW w:w="709" w:type="dxa"/>
            <w:shd w:val="clear" w:color="000000" w:fill="F2F2F2"/>
            <w:vAlign w:val="center"/>
          </w:tcPr>
          <w:p w14:paraId="6060D596" w14:textId="77777777" w:rsidR="00886D18" w:rsidRPr="00E750AC" w:rsidRDefault="00886D18" w:rsidP="00EF2651">
            <w:pPr>
              <w:spacing w:before="40" w:after="40" w:line="240" w:lineRule="auto"/>
              <w:contextualSpacing/>
              <w:jc w:val="center"/>
              <w:rPr>
                <w:rFonts w:ascii="Century Gothic" w:eastAsia="Times New Roman" w:hAnsi="Century Gothic" w:cs="Calibri"/>
                <w:sz w:val="17"/>
                <w:szCs w:val="17"/>
                <w:lang w:eastAsia="es-MX"/>
              </w:rPr>
            </w:pPr>
            <w:r w:rsidRPr="00E750AC">
              <w:rPr>
                <w:rFonts w:ascii="Century Gothic" w:hAnsi="Century Gothic" w:cs="Calibri"/>
                <w:sz w:val="17"/>
                <w:szCs w:val="17"/>
              </w:rPr>
              <w:t>90%</w:t>
            </w:r>
          </w:p>
        </w:tc>
        <w:tc>
          <w:tcPr>
            <w:tcW w:w="709" w:type="dxa"/>
            <w:shd w:val="clear" w:color="000000" w:fill="F2F2F2"/>
            <w:vAlign w:val="center"/>
          </w:tcPr>
          <w:p w14:paraId="7DEEBB19" w14:textId="77777777" w:rsidR="00886D18" w:rsidRPr="00E750AC" w:rsidRDefault="00886D18" w:rsidP="00EF2651">
            <w:pPr>
              <w:spacing w:before="40" w:after="40" w:line="240" w:lineRule="auto"/>
              <w:contextualSpacing/>
              <w:jc w:val="center"/>
              <w:rPr>
                <w:rFonts w:ascii="Century Gothic" w:eastAsia="Times New Roman" w:hAnsi="Century Gothic" w:cs="Calibri"/>
                <w:sz w:val="17"/>
                <w:szCs w:val="17"/>
                <w:lang w:eastAsia="es-MX"/>
              </w:rPr>
            </w:pPr>
            <w:r w:rsidRPr="00E750AC">
              <w:rPr>
                <w:rFonts w:ascii="Century Gothic" w:hAnsi="Century Gothic" w:cs="Calibri"/>
                <w:sz w:val="17"/>
                <w:szCs w:val="17"/>
              </w:rPr>
              <w:t>9</w:t>
            </w:r>
            <w:r>
              <w:rPr>
                <w:rFonts w:ascii="Century Gothic" w:hAnsi="Century Gothic" w:cs="Calibri"/>
                <w:sz w:val="17"/>
                <w:szCs w:val="17"/>
              </w:rPr>
              <w:t>2</w:t>
            </w:r>
            <w:r w:rsidRPr="00E750AC">
              <w:rPr>
                <w:rFonts w:ascii="Century Gothic" w:hAnsi="Century Gothic" w:cs="Calibri"/>
                <w:sz w:val="17"/>
                <w:szCs w:val="17"/>
              </w:rPr>
              <w:t>%</w:t>
            </w:r>
          </w:p>
        </w:tc>
        <w:tc>
          <w:tcPr>
            <w:tcW w:w="730" w:type="dxa"/>
            <w:shd w:val="clear" w:color="000000" w:fill="F2F2F2"/>
            <w:vAlign w:val="center"/>
          </w:tcPr>
          <w:p w14:paraId="4A8CA598" w14:textId="77777777" w:rsidR="00886D18" w:rsidRPr="00E750AC" w:rsidRDefault="00886D18" w:rsidP="00EF2651">
            <w:pPr>
              <w:spacing w:before="40" w:after="40" w:line="240" w:lineRule="auto"/>
              <w:contextualSpacing/>
              <w:jc w:val="center"/>
              <w:rPr>
                <w:rFonts w:ascii="Century Gothic" w:eastAsia="Times New Roman" w:hAnsi="Century Gothic" w:cs="Calibri"/>
                <w:sz w:val="17"/>
                <w:szCs w:val="17"/>
                <w:lang w:eastAsia="es-MX"/>
              </w:rPr>
            </w:pPr>
            <w:r w:rsidRPr="00E750AC">
              <w:rPr>
                <w:rFonts w:ascii="Century Gothic" w:hAnsi="Century Gothic" w:cs="Calibri"/>
                <w:sz w:val="17"/>
                <w:szCs w:val="17"/>
              </w:rPr>
              <w:t>91</w:t>
            </w:r>
            <w:r>
              <w:rPr>
                <w:rFonts w:ascii="Century Gothic" w:hAnsi="Century Gothic" w:cs="Calibri"/>
                <w:sz w:val="17"/>
                <w:szCs w:val="17"/>
              </w:rPr>
              <w:t>%</w:t>
            </w:r>
          </w:p>
        </w:tc>
      </w:tr>
      <w:bookmarkEnd w:id="1"/>
    </w:tbl>
    <w:p w14:paraId="38872DBF" w14:textId="77777777" w:rsidR="00886D18" w:rsidRDefault="00886D18" w:rsidP="00886D18">
      <w:pPr>
        <w:spacing w:before="40" w:after="40"/>
        <w:jc w:val="both"/>
        <w:rPr>
          <w:rFonts w:ascii="Century Gothic" w:hAnsi="Century Gothic" w:cstheme="minorHAnsi"/>
          <w:sz w:val="19"/>
          <w:szCs w:val="19"/>
        </w:rPr>
      </w:pPr>
    </w:p>
    <w:p w14:paraId="34F2BD66" w14:textId="77777777" w:rsidR="00886D18" w:rsidRDefault="00886D18" w:rsidP="00886D18">
      <w:pPr>
        <w:spacing w:before="40" w:after="40"/>
        <w:jc w:val="both"/>
        <w:rPr>
          <w:rFonts w:ascii="Century Gothic" w:hAnsi="Century Gothic" w:cstheme="majorHAnsi"/>
          <w:sz w:val="19"/>
          <w:szCs w:val="19"/>
        </w:rPr>
      </w:pPr>
      <w:r w:rsidRPr="003D75EA">
        <w:rPr>
          <w:rFonts w:ascii="Century Gothic" w:hAnsi="Century Gothic" w:cstheme="minorHAnsi"/>
          <w:sz w:val="19"/>
          <w:szCs w:val="19"/>
        </w:rPr>
        <w:t>En el caso de las encuestas probabilísticas, el</w:t>
      </w:r>
      <w:r>
        <w:rPr>
          <w:rFonts w:ascii="Century Gothic" w:hAnsi="Century Gothic" w:cstheme="minorHAnsi"/>
          <w:sz w:val="19"/>
          <w:szCs w:val="19"/>
        </w:rPr>
        <w:t xml:space="preserve"> porcentaje total de dominios de estudio que presentaron una alta calidad estadística para los indicadores </w:t>
      </w:r>
      <w:proofErr w:type="gramStart"/>
      <w:r>
        <w:rPr>
          <w:rFonts w:ascii="Century Gothic" w:hAnsi="Century Gothic" w:cstheme="minorHAnsi"/>
          <w:sz w:val="19"/>
          <w:szCs w:val="19"/>
        </w:rPr>
        <w:t>objetivo publicados</w:t>
      </w:r>
      <w:proofErr w:type="gramEnd"/>
      <w:r>
        <w:rPr>
          <w:rFonts w:ascii="Century Gothic" w:hAnsi="Century Gothic" w:cstheme="minorHAnsi"/>
          <w:sz w:val="19"/>
          <w:szCs w:val="19"/>
        </w:rPr>
        <w:t xml:space="preserve"> se ha mantenido cercana al 90% a nivel institucional, sin embargo, en algunos programas de información se observa una pérdida de calidad estadística (ver cuadro III.6.2).  </w:t>
      </w:r>
      <w:r w:rsidRPr="00296E53">
        <w:rPr>
          <w:rFonts w:ascii="Century Gothic" w:hAnsi="Century Gothic" w:cstheme="minorHAnsi"/>
          <w:sz w:val="19"/>
          <w:szCs w:val="19"/>
        </w:rPr>
        <w:t xml:space="preserve">En las siguientes gráficas, se </w:t>
      </w:r>
      <w:r>
        <w:rPr>
          <w:rFonts w:ascii="Century Gothic" w:hAnsi="Century Gothic" w:cstheme="minorHAnsi"/>
          <w:sz w:val="19"/>
          <w:szCs w:val="19"/>
        </w:rPr>
        <w:t>presenta la distribución del coeficiente de variación únicamente para las encuestas que destacan por la pérdida de precisión</w:t>
      </w:r>
      <w:r>
        <w:rPr>
          <w:rFonts w:ascii="Century Gothic" w:hAnsi="Century Gothic" w:cstheme="majorHAnsi"/>
          <w:sz w:val="19"/>
          <w:szCs w:val="19"/>
        </w:rPr>
        <w:t>.</w:t>
      </w:r>
    </w:p>
    <w:p w14:paraId="5F58B0B1" w14:textId="77777777" w:rsidR="00886D18" w:rsidRDefault="00886D18" w:rsidP="00886D18">
      <w:pPr>
        <w:spacing w:before="40" w:after="40"/>
        <w:rPr>
          <w:rFonts w:ascii="Century Gothic" w:hAnsi="Century Gothic" w:cstheme="majorHAnsi"/>
          <w:sz w:val="19"/>
          <w:szCs w:val="19"/>
        </w:rPr>
      </w:pPr>
    </w:p>
    <w:p w14:paraId="687F70CE" w14:textId="77777777" w:rsidR="00886D18" w:rsidRDefault="00886D18" w:rsidP="00886D18">
      <w:pPr>
        <w:spacing w:before="40" w:after="40"/>
        <w:jc w:val="center"/>
        <w:rPr>
          <w:rFonts w:ascii="Century Gothic" w:hAnsi="Century Gothic" w:cstheme="majorHAnsi"/>
          <w:sz w:val="19"/>
          <w:szCs w:val="19"/>
        </w:rPr>
      </w:pPr>
      <w:r>
        <w:rPr>
          <w:rFonts w:ascii="Century Gothic" w:hAnsi="Century Gothic" w:cstheme="majorHAnsi"/>
          <w:b/>
          <w:sz w:val="19"/>
          <w:szCs w:val="19"/>
        </w:rPr>
        <w:t>III.</w:t>
      </w:r>
      <w:r w:rsidRPr="00E10E5B">
        <w:rPr>
          <w:rFonts w:ascii="Century Gothic" w:hAnsi="Century Gothic" w:cstheme="majorHAnsi"/>
          <w:b/>
          <w:sz w:val="19"/>
          <w:szCs w:val="19"/>
        </w:rPr>
        <w:t>6.</w:t>
      </w:r>
      <w:r>
        <w:rPr>
          <w:rFonts w:ascii="Century Gothic" w:hAnsi="Century Gothic" w:cstheme="majorHAnsi"/>
          <w:b/>
          <w:sz w:val="19"/>
          <w:szCs w:val="19"/>
        </w:rPr>
        <w:t>3</w:t>
      </w:r>
      <w:r w:rsidRPr="00E10E5B">
        <w:rPr>
          <w:rFonts w:ascii="Century Gothic" w:hAnsi="Century Gothic" w:cstheme="majorHAnsi"/>
          <w:b/>
          <w:sz w:val="19"/>
          <w:szCs w:val="19"/>
        </w:rPr>
        <w:t xml:space="preserve">. Distribución del </w:t>
      </w:r>
      <w:r>
        <w:rPr>
          <w:rFonts w:ascii="Century Gothic" w:hAnsi="Century Gothic" w:cstheme="majorHAnsi"/>
          <w:b/>
          <w:sz w:val="19"/>
          <w:szCs w:val="19"/>
        </w:rPr>
        <w:t>c</w:t>
      </w:r>
      <w:r w:rsidRPr="00E10E5B">
        <w:rPr>
          <w:rFonts w:ascii="Century Gothic" w:hAnsi="Century Gothic" w:cstheme="majorHAnsi"/>
          <w:b/>
          <w:sz w:val="19"/>
          <w:szCs w:val="19"/>
        </w:rPr>
        <w:t xml:space="preserve">oeficiente de </w:t>
      </w:r>
      <w:r>
        <w:rPr>
          <w:rFonts w:ascii="Century Gothic" w:hAnsi="Century Gothic" w:cstheme="majorHAnsi"/>
          <w:b/>
          <w:sz w:val="19"/>
          <w:szCs w:val="19"/>
        </w:rPr>
        <w:t>v</w:t>
      </w:r>
      <w:r w:rsidRPr="00E10E5B">
        <w:rPr>
          <w:rFonts w:ascii="Century Gothic" w:hAnsi="Century Gothic" w:cstheme="majorHAnsi"/>
          <w:b/>
          <w:sz w:val="19"/>
          <w:szCs w:val="19"/>
        </w:rPr>
        <w:t xml:space="preserve">ariación en encuestas que </w:t>
      </w:r>
      <w:r>
        <w:rPr>
          <w:rFonts w:ascii="Century Gothic" w:hAnsi="Century Gothic" w:cstheme="majorHAnsi"/>
          <w:b/>
          <w:sz w:val="19"/>
          <w:szCs w:val="19"/>
        </w:rPr>
        <w:t>perdieron precisión en 2021</w:t>
      </w:r>
      <w:r w:rsidRPr="00E10E5B">
        <w:rPr>
          <w:rFonts w:ascii="Century Gothic" w:hAnsi="Century Gothic" w:cstheme="majorHAnsi"/>
          <w:b/>
          <w:sz w:val="19"/>
          <w:szCs w:val="19"/>
        </w:rPr>
        <w:t xml:space="preserve"> (escala 0-80)</w:t>
      </w:r>
    </w:p>
    <w:p w14:paraId="7C178E5C" w14:textId="77777777" w:rsidR="00886D18" w:rsidRDefault="00886D18" w:rsidP="00886D18">
      <w:pPr>
        <w:spacing w:before="40" w:after="40"/>
        <w:ind w:left="-1134"/>
        <w:jc w:val="center"/>
        <w:rPr>
          <w:rFonts w:ascii="Century Gothic" w:hAnsi="Century Gothic" w:cstheme="majorHAnsi"/>
          <w:sz w:val="19"/>
          <w:szCs w:val="19"/>
        </w:rPr>
      </w:pPr>
      <w:r w:rsidRPr="00E10E5B">
        <w:rPr>
          <w:noProof/>
          <w:lang w:eastAsia="es-MX"/>
        </w:rPr>
        <w:lastRenderedPageBreak/>
        <w:drawing>
          <wp:inline distT="0" distB="0" distL="0" distR="0" wp14:anchorId="7613D008" wp14:editId="7120B385">
            <wp:extent cx="7066409" cy="3645090"/>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5676" cy="3670503"/>
                    </a:xfrm>
                    <a:prstGeom prst="rect">
                      <a:avLst/>
                    </a:prstGeom>
                    <a:noFill/>
                    <a:ln>
                      <a:noFill/>
                    </a:ln>
                  </pic:spPr>
                </pic:pic>
              </a:graphicData>
            </a:graphic>
          </wp:inline>
        </w:drawing>
      </w:r>
    </w:p>
    <w:p w14:paraId="2EBD6578" w14:textId="77777777" w:rsidR="00886D18" w:rsidRDefault="00886D18" w:rsidP="00886D18">
      <w:pPr>
        <w:spacing w:before="40" w:after="40"/>
        <w:jc w:val="center"/>
        <w:rPr>
          <w:rFonts w:ascii="Century Gothic" w:hAnsi="Century Gothic" w:cstheme="majorHAnsi"/>
          <w:sz w:val="19"/>
          <w:szCs w:val="19"/>
        </w:rPr>
      </w:pPr>
    </w:p>
    <w:p w14:paraId="32EA84C9" w14:textId="77777777" w:rsidR="00886D18" w:rsidRDefault="00886D18" w:rsidP="00886D18">
      <w:pPr>
        <w:spacing w:before="40" w:after="40"/>
        <w:jc w:val="both"/>
        <w:rPr>
          <w:rFonts w:ascii="Century Gothic" w:hAnsi="Century Gothic"/>
          <w:sz w:val="19"/>
          <w:szCs w:val="19"/>
        </w:rPr>
      </w:pPr>
      <w:r w:rsidRPr="00F65003">
        <w:rPr>
          <w:rFonts w:ascii="Century Gothic" w:hAnsi="Century Gothic"/>
          <w:sz w:val="19"/>
          <w:szCs w:val="19"/>
        </w:rPr>
        <w:t xml:space="preserve">Se observa un fuerte crecimiento en el número de programas cuyas tasas de no respuesta antes de imputación supera a las esperadas en los diseños muestrales. En 2021, el </w:t>
      </w:r>
      <w:r>
        <w:rPr>
          <w:rFonts w:ascii="Century Gothic" w:hAnsi="Century Gothic"/>
          <w:sz w:val="19"/>
          <w:szCs w:val="19"/>
        </w:rPr>
        <w:t>37</w:t>
      </w:r>
      <w:r w:rsidRPr="00F65003">
        <w:rPr>
          <w:rFonts w:ascii="Century Gothic" w:hAnsi="Century Gothic"/>
          <w:sz w:val="19"/>
          <w:szCs w:val="19"/>
        </w:rPr>
        <w:t xml:space="preserve">% de los programas/procesos </w:t>
      </w:r>
      <w:r>
        <w:rPr>
          <w:rFonts w:ascii="Century Gothic" w:hAnsi="Century Gothic"/>
          <w:sz w:val="19"/>
          <w:szCs w:val="19"/>
        </w:rPr>
        <w:t>presentaron</w:t>
      </w:r>
      <w:r w:rsidRPr="00F65003">
        <w:rPr>
          <w:rFonts w:ascii="Century Gothic" w:hAnsi="Century Gothic"/>
          <w:sz w:val="19"/>
          <w:szCs w:val="19"/>
        </w:rPr>
        <w:t xml:space="preserve"> tasas de no respuesta superiores a la tasa de no respuesta máxima esperada, comparado contra un 26% en 2020 y apenas un 5% en 2019</w:t>
      </w:r>
      <w:r>
        <w:rPr>
          <w:rFonts w:ascii="Century Gothic" w:hAnsi="Century Gothic"/>
          <w:sz w:val="19"/>
          <w:szCs w:val="19"/>
        </w:rPr>
        <w:t xml:space="preserve"> (ver cuadro III.6.4)</w:t>
      </w:r>
      <w:r w:rsidRPr="00F65003">
        <w:rPr>
          <w:rFonts w:ascii="Century Gothic" w:hAnsi="Century Gothic"/>
          <w:sz w:val="19"/>
          <w:szCs w:val="19"/>
        </w:rPr>
        <w:t xml:space="preserve">.  </w:t>
      </w:r>
    </w:p>
    <w:p w14:paraId="69F4E4D7" w14:textId="77777777" w:rsidR="00886D18" w:rsidRDefault="00886D18" w:rsidP="00886D18">
      <w:pPr>
        <w:spacing w:before="40" w:after="40"/>
        <w:jc w:val="both"/>
        <w:rPr>
          <w:rFonts w:ascii="Century Gothic" w:hAnsi="Century Gothic" w:cstheme="majorHAnsi"/>
          <w:sz w:val="19"/>
          <w:szCs w:val="19"/>
        </w:rPr>
      </w:pPr>
    </w:p>
    <w:p w14:paraId="72FBF36E" w14:textId="77777777" w:rsidR="00886D18" w:rsidRDefault="00886D18" w:rsidP="00886D18">
      <w:pPr>
        <w:spacing w:before="40" w:after="40"/>
        <w:jc w:val="center"/>
        <w:rPr>
          <w:rFonts w:ascii="Century Gothic" w:hAnsi="Century Gothic"/>
        </w:rPr>
      </w:pPr>
      <w:r>
        <w:rPr>
          <w:rFonts w:ascii="Century Gothic" w:hAnsi="Century Gothic"/>
          <w:b/>
          <w:sz w:val="19"/>
          <w:szCs w:val="19"/>
        </w:rPr>
        <w:t>III</w:t>
      </w:r>
      <w:r w:rsidRPr="00E222C3">
        <w:rPr>
          <w:rFonts w:ascii="Century Gothic" w:hAnsi="Century Gothic"/>
          <w:b/>
          <w:sz w:val="19"/>
          <w:szCs w:val="19"/>
        </w:rPr>
        <w:t>.</w:t>
      </w:r>
      <w:r>
        <w:rPr>
          <w:rFonts w:ascii="Century Gothic" w:hAnsi="Century Gothic"/>
          <w:b/>
          <w:sz w:val="19"/>
          <w:szCs w:val="19"/>
        </w:rPr>
        <w:t>6</w:t>
      </w:r>
      <w:r w:rsidRPr="00E222C3">
        <w:rPr>
          <w:rFonts w:ascii="Century Gothic" w:hAnsi="Century Gothic"/>
          <w:b/>
          <w:sz w:val="19"/>
          <w:szCs w:val="19"/>
        </w:rPr>
        <w:t>.</w:t>
      </w:r>
      <w:r>
        <w:rPr>
          <w:rFonts w:ascii="Century Gothic" w:hAnsi="Century Gothic"/>
          <w:b/>
          <w:sz w:val="19"/>
          <w:szCs w:val="19"/>
        </w:rPr>
        <w:t>4</w:t>
      </w:r>
      <w:r w:rsidRPr="00E222C3">
        <w:rPr>
          <w:rFonts w:ascii="Century Gothic" w:hAnsi="Century Gothic"/>
          <w:b/>
          <w:sz w:val="19"/>
          <w:szCs w:val="19"/>
        </w:rPr>
        <w:t xml:space="preserve"> </w:t>
      </w:r>
      <w:r>
        <w:rPr>
          <w:rFonts w:ascii="Century Gothic" w:hAnsi="Century Gothic"/>
          <w:b/>
          <w:sz w:val="19"/>
          <w:szCs w:val="19"/>
        </w:rPr>
        <w:t>Resultados generales de la tasa de no respuesta</w:t>
      </w:r>
    </w:p>
    <w:tbl>
      <w:tblPr>
        <w:tblW w:w="894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6799"/>
        <w:gridCol w:w="709"/>
        <w:gridCol w:w="709"/>
        <w:gridCol w:w="730"/>
      </w:tblGrid>
      <w:tr w:rsidR="00886D18" w:rsidRPr="005E0655" w14:paraId="7869399B" w14:textId="77777777" w:rsidTr="00886D18">
        <w:trPr>
          <w:trHeight w:val="338"/>
          <w:tblHeader/>
          <w:jc w:val="center"/>
        </w:trPr>
        <w:tc>
          <w:tcPr>
            <w:tcW w:w="6799" w:type="dxa"/>
            <w:shd w:val="clear" w:color="000000" w:fill="002060"/>
            <w:vAlign w:val="center"/>
            <w:hideMark/>
          </w:tcPr>
          <w:p w14:paraId="46B6AF4F"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p>
        </w:tc>
        <w:tc>
          <w:tcPr>
            <w:tcW w:w="709" w:type="dxa"/>
            <w:shd w:val="clear" w:color="000000" w:fill="002060"/>
          </w:tcPr>
          <w:p w14:paraId="69703659"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2019</w:t>
            </w:r>
          </w:p>
        </w:tc>
        <w:tc>
          <w:tcPr>
            <w:tcW w:w="709" w:type="dxa"/>
            <w:shd w:val="clear" w:color="000000" w:fill="002060"/>
          </w:tcPr>
          <w:p w14:paraId="10E1ED92"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2020</w:t>
            </w:r>
          </w:p>
        </w:tc>
        <w:tc>
          <w:tcPr>
            <w:tcW w:w="730" w:type="dxa"/>
            <w:shd w:val="clear" w:color="000000" w:fill="002060"/>
          </w:tcPr>
          <w:p w14:paraId="4663A978"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2021</w:t>
            </w:r>
          </w:p>
        </w:tc>
      </w:tr>
      <w:tr w:rsidR="00886D18" w:rsidRPr="005E0655" w14:paraId="59506BE3" w14:textId="77777777" w:rsidTr="00886D18">
        <w:trPr>
          <w:trHeight w:val="466"/>
          <w:jc w:val="center"/>
        </w:trPr>
        <w:tc>
          <w:tcPr>
            <w:tcW w:w="6799" w:type="dxa"/>
            <w:shd w:val="clear" w:color="000000" w:fill="F2F2F2"/>
            <w:noWrap/>
            <w:vAlign w:val="center"/>
          </w:tcPr>
          <w:p w14:paraId="77D3E76A" w14:textId="77777777" w:rsidR="00886D18" w:rsidRPr="00E750AC" w:rsidRDefault="00886D18" w:rsidP="00EF2651">
            <w:pPr>
              <w:spacing w:before="40" w:after="40"/>
              <w:ind w:left="142"/>
              <w:jc w:val="both"/>
              <w:rPr>
                <w:rFonts w:ascii="Century Gothic" w:hAnsi="Century Gothic"/>
                <w:sz w:val="17"/>
                <w:szCs w:val="17"/>
              </w:rPr>
            </w:pPr>
            <w:r w:rsidRPr="00E750AC">
              <w:rPr>
                <w:rFonts w:ascii="Century Gothic" w:hAnsi="Century Gothic"/>
                <w:sz w:val="17"/>
                <w:szCs w:val="17"/>
              </w:rPr>
              <w:t>Porcentaje de programas con tasa de no respuesta superior a la esperada en el diseño muestral</w:t>
            </w:r>
          </w:p>
        </w:tc>
        <w:tc>
          <w:tcPr>
            <w:tcW w:w="709" w:type="dxa"/>
            <w:shd w:val="clear" w:color="000000" w:fill="F2F2F2"/>
            <w:vAlign w:val="center"/>
          </w:tcPr>
          <w:p w14:paraId="1761D44E" w14:textId="77777777" w:rsidR="00886D18" w:rsidRPr="00E750AC" w:rsidRDefault="00886D18" w:rsidP="00EF2651">
            <w:pPr>
              <w:spacing w:before="40" w:after="40" w:line="240" w:lineRule="auto"/>
              <w:contextualSpacing/>
              <w:jc w:val="center"/>
              <w:rPr>
                <w:rFonts w:ascii="Century Gothic" w:hAnsi="Century Gothic"/>
                <w:sz w:val="17"/>
                <w:szCs w:val="17"/>
              </w:rPr>
            </w:pPr>
            <w:r w:rsidRPr="00E750AC">
              <w:rPr>
                <w:rFonts w:ascii="Century Gothic" w:hAnsi="Century Gothic"/>
                <w:sz w:val="17"/>
                <w:szCs w:val="17"/>
              </w:rPr>
              <w:t>5%</w:t>
            </w:r>
          </w:p>
        </w:tc>
        <w:tc>
          <w:tcPr>
            <w:tcW w:w="709" w:type="dxa"/>
            <w:shd w:val="clear" w:color="000000" w:fill="F2F2F2"/>
            <w:vAlign w:val="center"/>
          </w:tcPr>
          <w:p w14:paraId="1F1A857C" w14:textId="77777777" w:rsidR="00886D18" w:rsidRPr="00E750AC" w:rsidRDefault="00886D18" w:rsidP="00EF2651">
            <w:pPr>
              <w:spacing w:before="40" w:after="40" w:line="240" w:lineRule="auto"/>
              <w:contextualSpacing/>
              <w:jc w:val="center"/>
              <w:rPr>
                <w:rFonts w:ascii="Century Gothic" w:hAnsi="Century Gothic"/>
                <w:sz w:val="17"/>
                <w:szCs w:val="17"/>
              </w:rPr>
            </w:pPr>
            <w:r w:rsidRPr="00E750AC">
              <w:rPr>
                <w:rFonts w:ascii="Century Gothic" w:hAnsi="Century Gothic"/>
                <w:sz w:val="17"/>
                <w:szCs w:val="17"/>
              </w:rPr>
              <w:t>26%</w:t>
            </w:r>
          </w:p>
        </w:tc>
        <w:tc>
          <w:tcPr>
            <w:tcW w:w="730" w:type="dxa"/>
            <w:shd w:val="clear" w:color="000000" w:fill="F2F2F2"/>
            <w:vAlign w:val="center"/>
          </w:tcPr>
          <w:p w14:paraId="577FB505" w14:textId="77777777" w:rsidR="00886D18" w:rsidRPr="00E750AC" w:rsidRDefault="00886D18" w:rsidP="00EF2651">
            <w:pPr>
              <w:spacing w:before="40" w:after="40" w:line="240" w:lineRule="auto"/>
              <w:contextualSpacing/>
              <w:jc w:val="center"/>
              <w:rPr>
                <w:rFonts w:ascii="Century Gothic" w:hAnsi="Century Gothic"/>
                <w:sz w:val="17"/>
                <w:szCs w:val="17"/>
              </w:rPr>
            </w:pPr>
            <w:r>
              <w:rPr>
                <w:rFonts w:ascii="Century Gothic" w:hAnsi="Century Gothic"/>
                <w:sz w:val="17"/>
                <w:szCs w:val="17"/>
              </w:rPr>
              <w:t>37</w:t>
            </w:r>
            <w:r w:rsidRPr="00E750AC">
              <w:rPr>
                <w:rFonts w:ascii="Century Gothic" w:hAnsi="Century Gothic"/>
                <w:sz w:val="17"/>
                <w:szCs w:val="17"/>
              </w:rPr>
              <w:t>%</w:t>
            </w:r>
          </w:p>
        </w:tc>
      </w:tr>
      <w:tr w:rsidR="00886D18" w:rsidRPr="005E0655" w14:paraId="4FA9C8E8" w14:textId="77777777" w:rsidTr="00886D18">
        <w:trPr>
          <w:trHeight w:val="466"/>
          <w:jc w:val="center"/>
        </w:trPr>
        <w:tc>
          <w:tcPr>
            <w:tcW w:w="6799" w:type="dxa"/>
            <w:shd w:val="clear" w:color="000000" w:fill="F2F2F2"/>
            <w:noWrap/>
            <w:vAlign w:val="center"/>
          </w:tcPr>
          <w:p w14:paraId="7D47D2F4" w14:textId="77777777" w:rsidR="00886D18" w:rsidRPr="00E750AC" w:rsidRDefault="00886D18" w:rsidP="00EF2651">
            <w:pPr>
              <w:spacing w:before="40" w:after="40"/>
              <w:ind w:left="142"/>
              <w:jc w:val="both"/>
              <w:rPr>
                <w:rFonts w:ascii="Century Gothic" w:hAnsi="Century Gothic"/>
                <w:sz w:val="17"/>
                <w:szCs w:val="17"/>
              </w:rPr>
            </w:pPr>
            <w:r w:rsidRPr="00E750AC">
              <w:rPr>
                <w:rFonts w:ascii="Century Gothic" w:hAnsi="Century Gothic"/>
                <w:sz w:val="17"/>
                <w:szCs w:val="17"/>
              </w:rPr>
              <w:t>Porcentaje de programas que presentaron un cumplimiento total en la muestra mínima esperada</w:t>
            </w:r>
          </w:p>
        </w:tc>
        <w:tc>
          <w:tcPr>
            <w:tcW w:w="709" w:type="dxa"/>
            <w:shd w:val="clear" w:color="000000" w:fill="F2F2F2"/>
            <w:vAlign w:val="center"/>
          </w:tcPr>
          <w:p w14:paraId="4774E5A2" w14:textId="77777777" w:rsidR="00886D18" w:rsidRPr="00E750AC" w:rsidRDefault="00886D18" w:rsidP="00EF2651">
            <w:pPr>
              <w:spacing w:before="40" w:after="40" w:line="240" w:lineRule="auto"/>
              <w:contextualSpacing/>
              <w:jc w:val="center"/>
              <w:rPr>
                <w:rFonts w:ascii="Century Gothic" w:hAnsi="Century Gothic"/>
                <w:sz w:val="17"/>
                <w:szCs w:val="17"/>
              </w:rPr>
            </w:pPr>
            <w:r w:rsidRPr="00E750AC">
              <w:rPr>
                <w:rFonts w:ascii="Century Gothic" w:hAnsi="Century Gothic"/>
                <w:sz w:val="17"/>
                <w:szCs w:val="17"/>
              </w:rPr>
              <w:t>91%</w:t>
            </w:r>
          </w:p>
        </w:tc>
        <w:tc>
          <w:tcPr>
            <w:tcW w:w="709" w:type="dxa"/>
            <w:shd w:val="clear" w:color="000000" w:fill="F2F2F2"/>
            <w:vAlign w:val="center"/>
          </w:tcPr>
          <w:p w14:paraId="6A9A4F97" w14:textId="77777777" w:rsidR="00886D18" w:rsidRPr="00E750AC" w:rsidRDefault="00886D18" w:rsidP="00EF2651">
            <w:pPr>
              <w:spacing w:before="40" w:after="40" w:line="240" w:lineRule="auto"/>
              <w:contextualSpacing/>
              <w:jc w:val="center"/>
              <w:rPr>
                <w:rFonts w:ascii="Century Gothic" w:hAnsi="Century Gothic"/>
                <w:sz w:val="17"/>
                <w:szCs w:val="17"/>
              </w:rPr>
            </w:pPr>
            <w:r w:rsidRPr="00E750AC">
              <w:rPr>
                <w:rFonts w:ascii="Century Gothic" w:hAnsi="Century Gothic"/>
                <w:sz w:val="17"/>
                <w:szCs w:val="17"/>
              </w:rPr>
              <w:t>35%</w:t>
            </w:r>
          </w:p>
        </w:tc>
        <w:tc>
          <w:tcPr>
            <w:tcW w:w="730" w:type="dxa"/>
            <w:shd w:val="clear" w:color="000000" w:fill="F2F2F2"/>
            <w:vAlign w:val="center"/>
          </w:tcPr>
          <w:p w14:paraId="3CEC4898" w14:textId="77777777" w:rsidR="00886D18" w:rsidRPr="00E750AC" w:rsidRDefault="00886D18" w:rsidP="00EF2651">
            <w:pPr>
              <w:spacing w:before="40" w:after="40" w:line="240" w:lineRule="auto"/>
              <w:contextualSpacing/>
              <w:jc w:val="center"/>
              <w:rPr>
                <w:rFonts w:ascii="Century Gothic" w:hAnsi="Century Gothic"/>
                <w:sz w:val="17"/>
                <w:szCs w:val="17"/>
              </w:rPr>
            </w:pPr>
            <w:r w:rsidRPr="00E750AC">
              <w:rPr>
                <w:rFonts w:ascii="Century Gothic" w:hAnsi="Century Gothic"/>
                <w:sz w:val="17"/>
                <w:szCs w:val="17"/>
              </w:rPr>
              <w:t>52%</w:t>
            </w:r>
          </w:p>
        </w:tc>
      </w:tr>
    </w:tbl>
    <w:p w14:paraId="3F8D5661" w14:textId="77777777" w:rsidR="00886D18" w:rsidRDefault="00886D18" w:rsidP="00886D18">
      <w:pPr>
        <w:spacing w:before="40" w:after="40"/>
        <w:jc w:val="both"/>
        <w:rPr>
          <w:rFonts w:ascii="Century Gothic" w:hAnsi="Century Gothic"/>
          <w:sz w:val="19"/>
          <w:szCs w:val="19"/>
        </w:rPr>
      </w:pPr>
    </w:p>
    <w:p w14:paraId="2C37A8DF" w14:textId="77777777" w:rsidR="00886D18" w:rsidRPr="00F65003" w:rsidRDefault="00886D18" w:rsidP="00886D18">
      <w:pPr>
        <w:spacing w:before="40" w:after="40"/>
        <w:jc w:val="both"/>
        <w:rPr>
          <w:rFonts w:ascii="Century Gothic" w:hAnsi="Century Gothic"/>
          <w:sz w:val="19"/>
          <w:szCs w:val="19"/>
        </w:rPr>
      </w:pPr>
      <w:r w:rsidRPr="00F65003">
        <w:rPr>
          <w:rFonts w:ascii="Century Gothic" w:hAnsi="Century Gothic"/>
          <w:sz w:val="19"/>
          <w:szCs w:val="19"/>
        </w:rPr>
        <w:t>Este efecto también se observa al analizar las tasas de cumplimiento de la muestra mínima. En 2019, el 91% de los programas/procesos presentaron un cumplimiento total en la muestra mínima esperada</w:t>
      </w:r>
      <w:r>
        <w:rPr>
          <w:rFonts w:ascii="Century Gothic" w:hAnsi="Century Gothic"/>
          <w:sz w:val="19"/>
          <w:szCs w:val="19"/>
        </w:rPr>
        <w:t>;</w:t>
      </w:r>
      <w:r w:rsidRPr="00F65003">
        <w:rPr>
          <w:rFonts w:ascii="Century Gothic" w:hAnsi="Century Gothic"/>
          <w:sz w:val="19"/>
          <w:szCs w:val="19"/>
        </w:rPr>
        <w:t xml:space="preserve"> para 2020 dicho porcentaje disminuyó a 35%</w:t>
      </w:r>
      <w:r>
        <w:rPr>
          <w:rFonts w:ascii="Century Gothic" w:hAnsi="Century Gothic"/>
          <w:sz w:val="19"/>
          <w:szCs w:val="19"/>
        </w:rPr>
        <w:t>;</w:t>
      </w:r>
      <w:r w:rsidRPr="00F65003">
        <w:rPr>
          <w:rFonts w:ascii="Century Gothic" w:hAnsi="Century Gothic"/>
          <w:sz w:val="19"/>
          <w:szCs w:val="19"/>
        </w:rPr>
        <w:t xml:space="preserve"> mientras que para 2021 se recuperó parcialmente registrando un 52%</w:t>
      </w:r>
      <w:r>
        <w:rPr>
          <w:rFonts w:ascii="Century Gothic" w:hAnsi="Century Gothic"/>
          <w:sz w:val="19"/>
          <w:szCs w:val="19"/>
        </w:rPr>
        <w:t xml:space="preserve"> (ver cuadro III.6.4)</w:t>
      </w:r>
      <w:r w:rsidRPr="00F65003">
        <w:rPr>
          <w:rFonts w:ascii="Century Gothic" w:hAnsi="Century Gothic"/>
          <w:sz w:val="19"/>
          <w:szCs w:val="19"/>
        </w:rPr>
        <w:t>. Debido a que este indicador está en función de la tasa de no respuesta, cuando esta disminuya se reflejarán mejoras en su cumplimiento.</w:t>
      </w:r>
    </w:p>
    <w:p w14:paraId="6E56407C" w14:textId="77777777" w:rsidR="00886D18" w:rsidRDefault="00886D18" w:rsidP="00886D18">
      <w:pPr>
        <w:spacing w:before="40" w:after="40"/>
        <w:rPr>
          <w:rFonts w:ascii="Century Gothic" w:hAnsi="Century Gothic" w:cstheme="minorHAnsi"/>
          <w:sz w:val="19"/>
          <w:szCs w:val="19"/>
        </w:rPr>
      </w:pPr>
    </w:p>
    <w:p w14:paraId="7DF4CE34" w14:textId="77777777" w:rsidR="00886D18" w:rsidRDefault="00886D18" w:rsidP="00886D18">
      <w:pPr>
        <w:spacing w:before="40" w:after="40"/>
        <w:jc w:val="both"/>
        <w:rPr>
          <w:rFonts w:ascii="Century Gothic" w:hAnsi="Century Gothic" w:cstheme="majorHAnsi"/>
          <w:sz w:val="19"/>
          <w:szCs w:val="19"/>
        </w:rPr>
      </w:pPr>
      <w:r>
        <w:rPr>
          <w:rFonts w:ascii="Century Gothic" w:hAnsi="Century Gothic" w:cstheme="majorHAnsi"/>
          <w:sz w:val="19"/>
          <w:szCs w:val="19"/>
        </w:rPr>
        <w:t xml:space="preserve">En el cuadro A.6.5., se presentan los programas para los que se observa una Tasa de No Respuesta Antes de Imputación superior a la máxima esperada en el diseño muestral. </w:t>
      </w:r>
    </w:p>
    <w:p w14:paraId="33979628" w14:textId="77777777" w:rsidR="00886D18" w:rsidRDefault="00886D18" w:rsidP="00886D18">
      <w:pPr>
        <w:spacing w:before="40" w:after="40"/>
        <w:jc w:val="both"/>
        <w:rPr>
          <w:rFonts w:ascii="Century Gothic" w:hAnsi="Century Gothic" w:cstheme="majorHAnsi"/>
          <w:sz w:val="19"/>
          <w:szCs w:val="19"/>
        </w:rPr>
      </w:pPr>
    </w:p>
    <w:p w14:paraId="59683A59" w14:textId="77777777" w:rsidR="00886D18" w:rsidRDefault="00886D18" w:rsidP="00886D18">
      <w:pPr>
        <w:spacing w:before="40" w:after="40"/>
        <w:jc w:val="center"/>
        <w:rPr>
          <w:rFonts w:ascii="Century Gothic" w:hAnsi="Century Gothic" w:cstheme="majorHAnsi"/>
          <w:b/>
          <w:sz w:val="19"/>
          <w:szCs w:val="19"/>
        </w:rPr>
      </w:pPr>
      <w:r>
        <w:rPr>
          <w:rFonts w:ascii="Century Gothic" w:hAnsi="Century Gothic" w:cstheme="majorHAnsi"/>
          <w:b/>
          <w:sz w:val="19"/>
          <w:szCs w:val="19"/>
        </w:rPr>
        <w:t>III.</w:t>
      </w:r>
      <w:r w:rsidRPr="00296E53">
        <w:rPr>
          <w:rFonts w:ascii="Century Gothic" w:hAnsi="Century Gothic" w:cstheme="majorHAnsi"/>
          <w:b/>
          <w:sz w:val="19"/>
          <w:szCs w:val="19"/>
        </w:rPr>
        <w:t>6.</w:t>
      </w:r>
      <w:r>
        <w:rPr>
          <w:rFonts w:ascii="Century Gothic" w:hAnsi="Century Gothic" w:cstheme="majorHAnsi"/>
          <w:b/>
          <w:sz w:val="19"/>
          <w:szCs w:val="19"/>
        </w:rPr>
        <w:t>5</w:t>
      </w:r>
      <w:r w:rsidRPr="00296E53">
        <w:rPr>
          <w:rFonts w:ascii="Century Gothic" w:hAnsi="Century Gothic" w:cstheme="majorHAnsi"/>
          <w:b/>
          <w:sz w:val="19"/>
          <w:szCs w:val="19"/>
        </w:rPr>
        <w:t xml:space="preserve">. Promedio de las tasas de </w:t>
      </w:r>
      <w:r>
        <w:rPr>
          <w:rFonts w:ascii="Century Gothic" w:hAnsi="Century Gothic" w:cstheme="majorHAnsi"/>
          <w:b/>
          <w:sz w:val="19"/>
          <w:szCs w:val="19"/>
        </w:rPr>
        <w:t>n</w:t>
      </w:r>
      <w:r w:rsidRPr="00296E53">
        <w:rPr>
          <w:rFonts w:ascii="Century Gothic" w:hAnsi="Century Gothic" w:cstheme="majorHAnsi"/>
          <w:b/>
          <w:sz w:val="19"/>
          <w:szCs w:val="19"/>
        </w:rPr>
        <w:t xml:space="preserve">o respuesta antes de imputación, </w:t>
      </w:r>
      <w:r>
        <w:rPr>
          <w:rFonts w:ascii="Century Gothic" w:hAnsi="Century Gothic" w:cstheme="majorHAnsi"/>
          <w:b/>
          <w:sz w:val="19"/>
          <w:szCs w:val="19"/>
        </w:rPr>
        <w:t>i</w:t>
      </w:r>
      <w:r w:rsidRPr="00296E53">
        <w:rPr>
          <w:rFonts w:ascii="Century Gothic" w:hAnsi="Century Gothic" w:cstheme="majorHAnsi"/>
          <w:b/>
          <w:sz w:val="19"/>
          <w:szCs w:val="19"/>
        </w:rPr>
        <w:t xml:space="preserve">mputación, y </w:t>
      </w:r>
      <w:r w:rsidRPr="003D75EA">
        <w:rPr>
          <w:rFonts w:ascii="Century Gothic" w:hAnsi="Century Gothic" w:cstheme="majorHAnsi"/>
          <w:b/>
          <w:sz w:val="19"/>
          <w:szCs w:val="19"/>
        </w:rPr>
        <w:t>cumplimiento de la muestra mínima, para encuestas en donde la no respuesta es superior a la esperada.</w:t>
      </w:r>
    </w:p>
    <w:tbl>
      <w:tblPr>
        <w:tblStyle w:val="Tablaconcuadrcula"/>
        <w:tblW w:w="0" w:type="auto"/>
        <w:tblLook w:val="04A0" w:firstRow="1" w:lastRow="0" w:firstColumn="1" w:lastColumn="0" w:noHBand="0" w:noVBand="1"/>
      </w:tblPr>
      <w:tblGrid>
        <w:gridCol w:w="1744"/>
        <w:gridCol w:w="1195"/>
        <w:gridCol w:w="1361"/>
        <w:gridCol w:w="1501"/>
        <w:gridCol w:w="1501"/>
        <w:gridCol w:w="1526"/>
      </w:tblGrid>
      <w:tr w:rsidR="00886D18" w14:paraId="0E065CDA" w14:textId="77777777" w:rsidTr="00EF2651">
        <w:tc>
          <w:tcPr>
            <w:tcW w:w="1798" w:type="dxa"/>
            <w:shd w:val="clear" w:color="auto" w:fill="1F3864"/>
            <w:vAlign w:val="center"/>
          </w:tcPr>
          <w:p w14:paraId="0E933C8E" w14:textId="77777777" w:rsidR="00886D18" w:rsidRPr="0095149B" w:rsidRDefault="00886D18" w:rsidP="00EF2651">
            <w:pPr>
              <w:spacing w:before="40" w:after="40"/>
              <w:jc w:val="center"/>
              <w:rPr>
                <w:rFonts w:ascii="Century Gothic" w:hAnsi="Century Gothic" w:cstheme="majorHAnsi"/>
                <w:b/>
                <w:sz w:val="16"/>
                <w:szCs w:val="16"/>
              </w:rPr>
            </w:pPr>
            <w:r w:rsidRPr="0095149B">
              <w:rPr>
                <w:rFonts w:ascii="Century Gothic" w:eastAsia="Times New Roman" w:hAnsi="Century Gothic" w:cs="Calibri"/>
                <w:color w:val="FFFFFF"/>
                <w:sz w:val="16"/>
                <w:szCs w:val="16"/>
                <w:lang w:eastAsia="es-MX"/>
              </w:rPr>
              <w:lastRenderedPageBreak/>
              <w:t>Programa</w:t>
            </w:r>
            <w:r>
              <w:rPr>
                <w:rFonts w:ascii="Century Gothic" w:eastAsia="Times New Roman" w:hAnsi="Century Gothic" w:cs="Calibri"/>
                <w:color w:val="FFFFFF"/>
                <w:sz w:val="16"/>
                <w:szCs w:val="16"/>
                <w:lang w:eastAsia="es-MX"/>
              </w:rPr>
              <w:t>/proceso</w:t>
            </w:r>
          </w:p>
        </w:tc>
        <w:tc>
          <w:tcPr>
            <w:tcW w:w="1798" w:type="dxa"/>
            <w:shd w:val="clear" w:color="auto" w:fill="1F3864"/>
            <w:vAlign w:val="center"/>
          </w:tcPr>
          <w:p w14:paraId="4186CD5B" w14:textId="77777777" w:rsidR="00886D18" w:rsidRPr="0095149B" w:rsidRDefault="00886D18" w:rsidP="00EF2651">
            <w:pPr>
              <w:spacing w:before="40" w:after="40"/>
              <w:jc w:val="center"/>
              <w:rPr>
                <w:rFonts w:ascii="Century Gothic" w:hAnsi="Century Gothic" w:cstheme="majorHAnsi"/>
                <w:b/>
                <w:sz w:val="16"/>
                <w:szCs w:val="16"/>
              </w:rPr>
            </w:pPr>
            <w:r w:rsidRPr="0095149B">
              <w:rPr>
                <w:rFonts w:ascii="Century Gothic" w:eastAsia="Times New Roman" w:hAnsi="Century Gothic" w:cs="Calibri"/>
                <w:color w:val="FFFFFF"/>
                <w:sz w:val="16"/>
                <w:szCs w:val="16"/>
                <w:lang w:eastAsia="es-MX"/>
              </w:rPr>
              <w:t>Total de casos</w:t>
            </w:r>
          </w:p>
        </w:tc>
        <w:tc>
          <w:tcPr>
            <w:tcW w:w="1798" w:type="dxa"/>
            <w:shd w:val="clear" w:color="auto" w:fill="1F3864"/>
            <w:vAlign w:val="center"/>
          </w:tcPr>
          <w:p w14:paraId="6B80F79E" w14:textId="77777777" w:rsidR="00886D18" w:rsidRPr="0095149B" w:rsidRDefault="00886D18" w:rsidP="00EF2651">
            <w:pPr>
              <w:spacing w:before="40" w:after="40"/>
              <w:jc w:val="center"/>
              <w:rPr>
                <w:rFonts w:ascii="Century Gothic" w:hAnsi="Century Gothic" w:cstheme="majorHAnsi"/>
                <w:b/>
                <w:sz w:val="16"/>
                <w:szCs w:val="16"/>
              </w:rPr>
            </w:pPr>
            <w:r w:rsidRPr="0095149B">
              <w:rPr>
                <w:rFonts w:ascii="Century Gothic" w:eastAsia="Times New Roman" w:hAnsi="Century Gothic" w:cs="Calibri"/>
                <w:color w:val="FFFFFF"/>
                <w:sz w:val="16"/>
                <w:szCs w:val="16"/>
                <w:lang w:eastAsia="es-MX"/>
              </w:rPr>
              <w:t xml:space="preserve">TNR </w:t>
            </w:r>
            <w:proofErr w:type="spellStart"/>
            <w:r w:rsidRPr="0095149B">
              <w:rPr>
                <w:rFonts w:ascii="Century Gothic" w:eastAsia="Times New Roman" w:hAnsi="Century Gothic" w:cs="Calibri"/>
                <w:color w:val="FFFFFF"/>
                <w:sz w:val="16"/>
                <w:szCs w:val="16"/>
                <w:lang w:eastAsia="es-MX"/>
              </w:rPr>
              <w:t>máxima</w:t>
            </w:r>
            <w:proofErr w:type="spellEnd"/>
            <w:r w:rsidRPr="0095149B">
              <w:rPr>
                <w:rFonts w:ascii="Century Gothic" w:eastAsia="Times New Roman" w:hAnsi="Century Gothic" w:cs="Calibri"/>
                <w:color w:val="FFFFFF"/>
                <w:sz w:val="16"/>
                <w:szCs w:val="16"/>
                <w:lang w:eastAsia="es-MX"/>
              </w:rPr>
              <w:t xml:space="preserve"> </w:t>
            </w:r>
            <w:proofErr w:type="spellStart"/>
            <w:r w:rsidRPr="0095149B">
              <w:rPr>
                <w:rFonts w:ascii="Century Gothic" w:eastAsia="Times New Roman" w:hAnsi="Century Gothic" w:cs="Calibri"/>
                <w:color w:val="FFFFFF"/>
                <w:sz w:val="16"/>
                <w:szCs w:val="16"/>
                <w:lang w:eastAsia="es-MX"/>
              </w:rPr>
              <w:t>esperada</w:t>
            </w:r>
            <w:proofErr w:type="spellEnd"/>
            <w:r w:rsidRPr="0095149B">
              <w:rPr>
                <w:rFonts w:ascii="Century Gothic" w:eastAsia="Times New Roman" w:hAnsi="Century Gothic" w:cs="Calibri"/>
                <w:color w:val="FFFFFF"/>
                <w:sz w:val="16"/>
                <w:szCs w:val="16"/>
                <w:lang w:eastAsia="es-MX"/>
              </w:rPr>
              <w:t xml:space="preserve"> (diseño </w:t>
            </w:r>
            <w:proofErr w:type="spellStart"/>
            <w:r w:rsidRPr="0095149B">
              <w:rPr>
                <w:rFonts w:ascii="Century Gothic" w:eastAsia="Times New Roman" w:hAnsi="Century Gothic" w:cs="Calibri"/>
                <w:color w:val="FFFFFF"/>
                <w:sz w:val="16"/>
                <w:szCs w:val="16"/>
                <w:lang w:eastAsia="es-MX"/>
              </w:rPr>
              <w:t>muestral</w:t>
            </w:r>
            <w:proofErr w:type="spellEnd"/>
            <w:r w:rsidRPr="0095149B">
              <w:rPr>
                <w:rFonts w:ascii="Century Gothic" w:eastAsia="Times New Roman" w:hAnsi="Century Gothic" w:cs="Calibri"/>
                <w:color w:val="FFFFFF"/>
                <w:sz w:val="16"/>
                <w:szCs w:val="16"/>
                <w:lang w:eastAsia="es-MX"/>
              </w:rPr>
              <w:t>)</w:t>
            </w:r>
          </w:p>
        </w:tc>
        <w:tc>
          <w:tcPr>
            <w:tcW w:w="1798" w:type="dxa"/>
            <w:shd w:val="clear" w:color="auto" w:fill="1F3864"/>
            <w:vAlign w:val="center"/>
          </w:tcPr>
          <w:p w14:paraId="4DA86740" w14:textId="77777777" w:rsidR="00886D18" w:rsidRPr="0095149B" w:rsidRDefault="00886D18" w:rsidP="00EF2651">
            <w:pPr>
              <w:spacing w:before="40" w:after="40"/>
              <w:jc w:val="center"/>
              <w:rPr>
                <w:rFonts w:ascii="Century Gothic" w:hAnsi="Century Gothic" w:cstheme="majorHAnsi"/>
                <w:b/>
                <w:sz w:val="16"/>
                <w:szCs w:val="16"/>
              </w:rPr>
            </w:pPr>
            <w:r w:rsidRPr="0095149B">
              <w:rPr>
                <w:rFonts w:ascii="Century Gothic" w:eastAsia="Times New Roman" w:hAnsi="Century Gothic" w:cs="Calibri"/>
                <w:color w:val="FFFFFF"/>
                <w:sz w:val="16"/>
                <w:szCs w:val="16"/>
                <w:lang w:eastAsia="es-MX"/>
              </w:rPr>
              <w:t>Tasa de no respuesta antes de imputación (</w:t>
            </w:r>
            <w:proofErr w:type="spellStart"/>
            <w:r w:rsidRPr="0095149B">
              <w:rPr>
                <w:rFonts w:ascii="Century Gothic" w:eastAsia="Times New Roman" w:hAnsi="Century Gothic" w:cs="Calibri"/>
                <w:color w:val="FFFFFF"/>
                <w:sz w:val="16"/>
                <w:szCs w:val="16"/>
                <w:lang w:eastAsia="es-MX"/>
              </w:rPr>
              <w:t>ponderada</w:t>
            </w:r>
            <w:proofErr w:type="spellEnd"/>
            <w:r w:rsidRPr="0095149B">
              <w:rPr>
                <w:rFonts w:ascii="Century Gothic" w:eastAsia="Times New Roman" w:hAnsi="Century Gothic" w:cs="Calibri"/>
                <w:color w:val="FFFFFF"/>
                <w:sz w:val="16"/>
                <w:szCs w:val="16"/>
                <w:lang w:eastAsia="es-MX"/>
              </w:rPr>
              <w:t>)</w:t>
            </w:r>
          </w:p>
        </w:tc>
        <w:tc>
          <w:tcPr>
            <w:tcW w:w="1799" w:type="dxa"/>
            <w:shd w:val="clear" w:color="auto" w:fill="1F3864"/>
            <w:vAlign w:val="center"/>
          </w:tcPr>
          <w:p w14:paraId="508DF005" w14:textId="77777777" w:rsidR="00886D18" w:rsidRPr="0095149B" w:rsidRDefault="00886D18" w:rsidP="00EF2651">
            <w:pPr>
              <w:spacing w:before="40" w:after="40"/>
              <w:jc w:val="center"/>
              <w:rPr>
                <w:rFonts w:ascii="Century Gothic" w:hAnsi="Century Gothic" w:cstheme="majorHAnsi"/>
                <w:b/>
                <w:sz w:val="16"/>
                <w:szCs w:val="16"/>
              </w:rPr>
            </w:pPr>
            <w:r w:rsidRPr="0095149B">
              <w:rPr>
                <w:rFonts w:ascii="Century Gothic" w:eastAsia="Times New Roman" w:hAnsi="Century Gothic" w:cs="Calibri"/>
                <w:color w:val="FFFFFF"/>
                <w:sz w:val="16"/>
                <w:szCs w:val="16"/>
                <w:lang w:eastAsia="es-MX"/>
              </w:rPr>
              <w:t>Tasa de imputación (</w:t>
            </w:r>
            <w:proofErr w:type="spellStart"/>
            <w:r w:rsidRPr="0095149B">
              <w:rPr>
                <w:rFonts w:ascii="Century Gothic" w:eastAsia="Times New Roman" w:hAnsi="Century Gothic" w:cs="Calibri"/>
                <w:color w:val="FFFFFF"/>
                <w:sz w:val="16"/>
                <w:szCs w:val="16"/>
                <w:lang w:eastAsia="es-MX"/>
              </w:rPr>
              <w:t>ponderada</w:t>
            </w:r>
            <w:proofErr w:type="spellEnd"/>
            <w:r w:rsidRPr="0095149B">
              <w:rPr>
                <w:rFonts w:ascii="Century Gothic" w:eastAsia="Times New Roman" w:hAnsi="Century Gothic" w:cs="Calibri"/>
                <w:color w:val="FFFFFF"/>
                <w:sz w:val="16"/>
                <w:szCs w:val="16"/>
                <w:lang w:eastAsia="es-MX"/>
              </w:rPr>
              <w:t>)</w:t>
            </w:r>
          </w:p>
        </w:tc>
        <w:tc>
          <w:tcPr>
            <w:tcW w:w="1799" w:type="dxa"/>
            <w:shd w:val="clear" w:color="auto" w:fill="1F3864"/>
            <w:vAlign w:val="center"/>
          </w:tcPr>
          <w:p w14:paraId="703DCDA0" w14:textId="77777777" w:rsidR="00886D18" w:rsidRPr="0095149B" w:rsidRDefault="00886D18" w:rsidP="00EF2651">
            <w:pPr>
              <w:spacing w:before="40" w:after="40"/>
              <w:jc w:val="center"/>
              <w:rPr>
                <w:rFonts w:ascii="Century Gothic" w:hAnsi="Century Gothic" w:cstheme="majorHAnsi"/>
                <w:b/>
                <w:sz w:val="16"/>
                <w:szCs w:val="16"/>
              </w:rPr>
            </w:pPr>
            <w:r w:rsidRPr="0095149B">
              <w:rPr>
                <w:rFonts w:ascii="Century Gothic" w:eastAsia="Times New Roman" w:hAnsi="Century Gothic" w:cs="Calibri"/>
                <w:color w:val="FFFFFF"/>
                <w:sz w:val="16"/>
                <w:szCs w:val="16"/>
                <w:lang w:eastAsia="es-MX"/>
              </w:rPr>
              <w:t xml:space="preserve">Tasa de cumplimiento de la muestra </w:t>
            </w:r>
            <w:proofErr w:type="spellStart"/>
            <w:r w:rsidRPr="0095149B">
              <w:rPr>
                <w:rFonts w:ascii="Century Gothic" w:eastAsia="Times New Roman" w:hAnsi="Century Gothic" w:cs="Calibri"/>
                <w:color w:val="FFFFFF"/>
                <w:sz w:val="16"/>
                <w:szCs w:val="16"/>
                <w:lang w:eastAsia="es-MX"/>
              </w:rPr>
              <w:t>mínima</w:t>
            </w:r>
            <w:proofErr w:type="spellEnd"/>
          </w:p>
        </w:tc>
      </w:tr>
      <w:tr w:rsidR="00886D18" w14:paraId="20C4AAAC" w14:textId="77777777" w:rsidTr="00EF2651">
        <w:tc>
          <w:tcPr>
            <w:tcW w:w="1798" w:type="dxa"/>
            <w:shd w:val="clear" w:color="auto" w:fill="auto"/>
          </w:tcPr>
          <w:p w14:paraId="2524D610"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ENBIARE</w:t>
            </w:r>
          </w:p>
        </w:tc>
        <w:tc>
          <w:tcPr>
            <w:tcW w:w="1798" w:type="dxa"/>
            <w:shd w:val="clear" w:color="auto" w:fill="auto"/>
          </w:tcPr>
          <w:p w14:paraId="1134E680"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33</w:t>
            </w:r>
          </w:p>
        </w:tc>
        <w:tc>
          <w:tcPr>
            <w:tcW w:w="1798" w:type="dxa"/>
            <w:shd w:val="clear" w:color="auto" w:fill="auto"/>
          </w:tcPr>
          <w:p w14:paraId="357B894D"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15%</w:t>
            </w:r>
          </w:p>
        </w:tc>
        <w:tc>
          <w:tcPr>
            <w:tcW w:w="1798" w:type="dxa"/>
            <w:shd w:val="clear" w:color="auto" w:fill="auto"/>
          </w:tcPr>
          <w:p w14:paraId="5F4F2FC7"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w:t>
            </w:r>
            <w:r>
              <w:rPr>
                <w:rFonts w:ascii="Century Gothic" w:hAnsi="Century Gothic"/>
                <w:sz w:val="16"/>
                <w:szCs w:val="16"/>
              </w:rPr>
              <w:t>7</w:t>
            </w:r>
            <w:r w:rsidRPr="0095149B">
              <w:rPr>
                <w:rFonts w:ascii="Century Gothic" w:hAnsi="Century Gothic"/>
                <w:sz w:val="16"/>
                <w:szCs w:val="16"/>
              </w:rPr>
              <w:t>%</w:t>
            </w:r>
          </w:p>
        </w:tc>
        <w:tc>
          <w:tcPr>
            <w:tcW w:w="1799" w:type="dxa"/>
            <w:shd w:val="clear" w:color="auto" w:fill="auto"/>
          </w:tcPr>
          <w:p w14:paraId="7BE8D934"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nr</w:t>
            </w:r>
          </w:p>
        </w:tc>
        <w:tc>
          <w:tcPr>
            <w:tcW w:w="1799" w:type="dxa"/>
            <w:shd w:val="clear" w:color="auto" w:fill="auto"/>
          </w:tcPr>
          <w:p w14:paraId="2EE1A005"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9</w:t>
            </w:r>
            <w:r>
              <w:rPr>
                <w:rFonts w:ascii="Century Gothic" w:hAnsi="Century Gothic"/>
                <w:sz w:val="16"/>
                <w:szCs w:val="16"/>
              </w:rPr>
              <w:t>8</w:t>
            </w:r>
            <w:r w:rsidRPr="0095149B">
              <w:rPr>
                <w:rFonts w:ascii="Century Gothic" w:hAnsi="Century Gothic"/>
                <w:sz w:val="16"/>
                <w:szCs w:val="16"/>
              </w:rPr>
              <w:t>%</w:t>
            </w:r>
          </w:p>
        </w:tc>
      </w:tr>
      <w:tr w:rsidR="00886D18" w14:paraId="4565919B" w14:textId="77777777" w:rsidTr="00EF2651">
        <w:tc>
          <w:tcPr>
            <w:tcW w:w="1798" w:type="dxa"/>
            <w:shd w:val="clear" w:color="auto" w:fill="auto"/>
          </w:tcPr>
          <w:p w14:paraId="33D44D92"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MOPRADEF</w:t>
            </w:r>
          </w:p>
        </w:tc>
        <w:tc>
          <w:tcPr>
            <w:tcW w:w="1798" w:type="dxa"/>
            <w:shd w:val="clear" w:color="auto" w:fill="auto"/>
          </w:tcPr>
          <w:p w14:paraId="72B09FA5"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w:t>
            </w:r>
          </w:p>
        </w:tc>
        <w:tc>
          <w:tcPr>
            <w:tcW w:w="1798" w:type="dxa"/>
            <w:shd w:val="clear" w:color="auto" w:fill="auto"/>
          </w:tcPr>
          <w:p w14:paraId="7CE97353"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15%</w:t>
            </w:r>
          </w:p>
        </w:tc>
        <w:tc>
          <w:tcPr>
            <w:tcW w:w="1798" w:type="dxa"/>
            <w:shd w:val="clear" w:color="auto" w:fill="auto"/>
          </w:tcPr>
          <w:p w14:paraId="22FA370F"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Pr>
                <w:rFonts w:ascii="Century Gothic" w:hAnsi="Century Gothic"/>
                <w:sz w:val="16"/>
                <w:szCs w:val="16"/>
              </w:rPr>
              <w:t>19</w:t>
            </w:r>
            <w:r w:rsidRPr="0095149B">
              <w:rPr>
                <w:rFonts w:ascii="Century Gothic" w:hAnsi="Century Gothic"/>
                <w:sz w:val="16"/>
                <w:szCs w:val="16"/>
              </w:rPr>
              <w:t>%</w:t>
            </w:r>
          </w:p>
        </w:tc>
        <w:tc>
          <w:tcPr>
            <w:tcW w:w="1799" w:type="dxa"/>
            <w:shd w:val="clear" w:color="auto" w:fill="auto"/>
          </w:tcPr>
          <w:p w14:paraId="741EF052"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nr</w:t>
            </w:r>
          </w:p>
        </w:tc>
        <w:tc>
          <w:tcPr>
            <w:tcW w:w="1799" w:type="dxa"/>
            <w:shd w:val="clear" w:color="auto" w:fill="auto"/>
          </w:tcPr>
          <w:p w14:paraId="61F66AA1"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9</w:t>
            </w:r>
            <w:r>
              <w:rPr>
                <w:rFonts w:ascii="Century Gothic" w:hAnsi="Century Gothic"/>
                <w:sz w:val="16"/>
                <w:szCs w:val="16"/>
              </w:rPr>
              <w:t>5</w:t>
            </w:r>
            <w:r w:rsidRPr="0095149B">
              <w:rPr>
                <w:rFonts w:ascii="Century Gothic" w:hAnsi="Century Gothic"/>
                <w:sz w:val="16"/>
                <w:szCs w:val="16"/>
              </w:rPr>
              <w:t>%</w:t>
            </w:r>
          </w:p>
        </w:tc>
      </w:tr>
      <w:tr w:rsidR="00886D18" w14:paraId="40052275" w14:textId="77777777" w:rsidTr="00EF2651">
        <w:tc>
          <w:tcPr>
            <w:tcW w:w="1798" w:type="dxa"/>
            <w:shd w:val="clear" w:color="auto" w:fill="auto"/>
          </w:tcPr>
          <w:p w14:paraId="648FCF75"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MODECULT</w:t>
            </w:r>
          </w:p>
        </w:tc>
        <w:tc>
          <w:tcPr>
            <w:tcW w:w="1798" w:type="dxa"/>
            <w:shd w:val="clear" w:color="auto" w:fill="auto"/>
          </w:tcPr>
          <w:p w14:paraId="7C16A7C6"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w:t>
            </w:r>
          </w:p>
        </w:tc>
        <w:tc>
          <w:tcPr>
            <w:tcW w:w="1798" w:type="dxa"/>
            <w:shd w:val="clear" w:color="auto" w:fill="auto"/>
          </w:tcPr>
          <w:p w14:paraId="0C2F42D4"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15%</w:t>
            </w:r>
          </w:p>
        </w:tc>
        <w:tc>
          <w:tcPr>
            <w:tcW w:w="1798" w:type="dxa"/>
            <w:shd w:val="clear" w:color="auto" w:fill="auto"/>
          </w:tcPr>
          <w:p w14:paraId="0C238813"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w:t>
            </w:r>
            <w:r>
              <w:rPr>
                <w:rFonts w:ascii="Century Gothic" w:hAnsi="Century Gothic"/>
                <w:sz w:val="16"/>
                <w:szCs w:val="16"/>
              </w:rPr>
              <w:t>7</w:t>
            </w:r>
            <w:r w:rsidRPr="0095149B">
              <w:rPr>
                <w:rFonts w:ascii="Century Gothic" w:hAnsi="Century Gothic"/>
                <w:sz w:val="16"/>
                <w:szCs w:val="16"/>
              </w:rPr>
              <w:t>%</w:t>
            </w:r>
          </w:p>
        </w:tc>
        <w:tc>
          <w:tcPr>
            <w:tcW w:w="1799" w:type="dxa"/>
            <w:shd w:val="clear" w:color="auto" w:fill="auto"/>
          </w:tcPr>
          <w:p w14:paraId="4A27F833"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nr</w:t>
            </w:r>
          </w:p>
        </w:tc>
        <w:tc>
          <w:tcPr>
            <w:tcW w:w="1799" w:type="dxa"/>
            <w:shd w:val="clear" w:color="auto" w:fill="auto"/>
          </w:tcPr>
          <w:p w14:paraId="7A699850"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98%</w:t>
            </w:r>
          </w:p>
        </w:tc>
      </w:tr>
      <w:tr w:rsidR="00886D18" w14:paraId="26E174A9" w14:textId="77777777" w:rsidTr="00EF2651">
        <w:tc>
          <w:tcPr>
            <w:tcW w:w="1798" w:type="dxa"/>
            <w:shd w:val="clear" w:color="auto" w:fill="auto"/>
          </w:tcPr>
          <w:p w14:paraId="2007C3D7"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MOLEC</w:t>
            </w:r>
          </w:p>
        </w:tc>
        <w:tc>
          <w:tcPr>
            <w:tcW w:w="1798" w:type="dxa"/>
            <w:shd w:val="clear" w:color="auto" w:fill="auto"/>
          </w:tcPr>
          <w:p w14:paraId="64F0C0B5"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w:t>
            </w:r>
          </w:p>
        </w:tc>
        <w:tc>
          <w:tcPr>
            <w:tcW w:w="1798" w:type="dxa"/>
            <w:shd w:val="clear" w:color="auto" w:fill="auto"/>
          </w:tcPr>
          <w:p w14:paraId="031DC30A"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15%</w:t>
            </w:r>
          </w:p>
        </w:tc>
        <w:tc>
          <w:tcPr>
            <w:tcW w:w="1798" w:type="dxa"/>
            <w:shd w:val="clear" w:color="auto" w:fill="auto"/>
          </w:tcPr>
          <w:p w14:paraId="27CFFD99"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w:t>
            </w:r>
            <w:r>
              <w:rPr>
                <w:rFonts w:ascii="Century Gothic" w:hAnsi="Century Gothic"/>
                <w:sz w:val="16"/>
                <w:szCs w:val="16"/>
              </w:rPr>
              <w:t>7</w:t>
            </w:r>
            <w:r w:rsidRPr="0095149B">
              <w:rPr>
                <w:rFonts w:ascii="Century Gothic" w:hAnsi="Century Gothic"/>
                <w:sz w:val="16"/>
                <w:szCs w:val="16"/>
              </w:rPr>
              <w:t>%</w:t>
            </w:r>
          </w:p>
        </w:tc>
        <w:tc>
          <w:tcPr>
            <w:tcW w:w="1799" w:type="dxa"/>
            <w:shd w:val="clear" w:color="auto" w:fill="auto"/>
          </w:tcPr>
          <w:p w14:paraId="71409B71"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nr</w:t>
            </w:r>
          </w:p>
        </w:tc>
        <w:tc>
          <w:tcPr>
            <w:tcW w:w="1799" w:type="dxa"/>
            <w:shd w:val="clear" w:color="auto" w:fill="auto"/>
          </w:tcPr>
          <w:p w14:paraId="56982C1F"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103%</w:t>
            </w:r>
          </w:p>
        </w:tc>
      </w:tr>
      <w:tr w:rsidR="00886D18" w14:paraId="1F283527" w14:textId="77777777" w:rsidTr="00EF2651">
        <w:tc>
          <w:tcPr>
            <w:tcW w:w="1798" w:type="dxa"/>
            <w:shd w:val="clear" w:color="auto" w:fill="auto"/>
          </w:tcPr>
          <w:p w14:paraId="3245313E"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EAT</w:t>
            </w:r>
          </w:p>
        </w:tc>
        <w:tc>
          <w:tcPr>
            <w:tcW w:w="1798" w:type="dxa"/>
            <w:shd w:val="clear" w:color="auto" w:fill="auto"/>
          </w:tcPr>
          <w:p w14:paraId="237ED3B1"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14</w:t>
            </w:r>
          </w:p>
        </w:tc>
        <w:tc>
          <w:tcPr>
            <w:tcW w:w="1798" w:type="dxa"/>
            <w:shd w:val="clear" w:color="auto" w:fill="auto"/>
          </w:tcPr>
          <w:p w14:paraId="538C01AB"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15%</w:t>
            </w:r>
          </w:p>
        </w:tc>
        <w:tc>
          <w:tcPr>
            <w:tcW w:w="1798" w:type="dxa"/>
            <w:shd w:val="clear" w:color="auto" w:fill="auto"/>
          </w:tcPr>
          <w:p w14:paraId="3D28EB31"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18%</w:t>
            </w:r>
          </w:p>
        </w:tc>
        <w:tc>
          <w:tcPr>
            <w:tcW w:w="1799" w:type="dxa"/>
            <w:shd w:val="clear" w:color="auto" w:fill="auto"/>
          </w:tcPr>
          <w:p w14:paraId="65D38A1E"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39%</w:t>
            </w:r>
          </w:p>
        </w:tc>
        <w:tc>
          <w:tcPr>
            <w:tcW w:w="1799" w:type="dxa"/>
            <w:shd w:val="clear" w:color="auto" w:fill="auto"/>
          </w:tcPr>
          <w:p w14:paraId="7F66A07F"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Pr>
                <w:rFonts w:ascii="Century Gothic" w:hAnsi="Century Gothic"/>
                <w:sz w:val="16"/>
                <w:szCs w:val="16"/>
              </w:rPr>
              <w:t>90</w:t>
            </w:r>
            <w:r w:rsidRPr="0095149B">
              <w:rPr>
                <w:rFonts w:ascii="Century Gothic" w:hAnsi="Century Gothic"/>
                <w:sz w:val="16"/>
                <w:szCs w:val="16"/>
              </w:rPr>
              <w:t>%</w:t>
            </w:r>
          </w:p>
        </w:tc>
      </w:tr>
      <w:tr w:rsidR="00886D18" w14:paraId="00D057B5" w14:textId="77777777" w:rsidTr="00EF2651">
        <w:tc>
          <w:tcPr>
            <w:tcW w:w="1798" w:type="dxa"/>
            <w:shd w:val="clear" w:color="auto" w:fill="auto"/>
          </w:tcPr>
          <w:p w14:paraId="648BED4F"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ENOE_NE</w:t>
            </w:r>
          </w:p>
        </w:tc>
        <w:tc>
          <w:tcPr>
            <w:tcW w:w="1798" w:type="dxa"/>
            <w:shd w:val="clear" w:color="auto" w:fill="auto"/>
          </w:tcPr>
          <w:p w14:paraId="671BEF3A"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288</w:t>
            </w:r>
          </w:p>
        </w:tc>
        <w:tc>
          <w:tcPr>
            <w:tcW w:w="1798" w:type="dxa"/>
            <w:shd w:val="clear" w:color="auto" w:fill="auto"/>
          </w:tcPr>
          <w:p w14:paraId="35B563C1"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15%</w:t>
            </w:r>
          </w:p>
        </w:tc>
        <w:tc>
          <w:tcPr>
            <w:tcW w:w="1798" w:type="dxa"/>
            <w:shd w:val="clear" w:color="auto" w:fill="auto"/>
          </w:tcPr>
          <w:p w14:paraId="0AC0BB3C"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25%</w:t>
            </w:r>
          </w:p>
        </w:tc>
        <w:tc>
          <w:tcPr>
            <w:tcW w:w="1799" w:type="dxa"/>
            <w:shd w:val="clear" w:color="auto" w:fill="auto"/>
          </w:tcPr>
          <w:p w14:paraId="1EDB914A"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nr</w:t>
            </w:r>
          </w:p>
        </w:tc>
        <w:tc>
          <w:tcPr>
            <w:tcW w:w="1799" w:type="dxa"/>
            <w:shd w:val="clear" w:color="auto" w:fill="auto"/>
          </w:tcPr>
          <w:p w14:paraId="686188F7"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87%</w:t>
            </w:r>
          </w:p>
        </w:tc>
      </w:tr>
      <w:tr w:rsidR="00886D18" w14:paraId="46701F3B" w14:textId="77777777" w:rsidTr="00EF2651">
        <w:tc>
          <w:tcPr>
            <w:tcW w:w="1798" w:type="dxa"/>
            <w:shd w:val="clear" w:color="auto" w:fill="auto"/>
          </w:tcPr>
          <w:p w14:paraId="53C1646A"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BIARE</w:t>
            </w:r>
          </w:p>
        </w:tc>
        <w:tc>
          <w:tcPr>
            <w:tcW w:w="1798" w:type="dxa"/>
            <w:shd w:val="clear" w:color="auto" w:fill="auto"/>
          </w:tcPr>
          <w:p w14:paraId="3D36100C"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3</w:t>
            </w:r>
          </w:p>
        </w:tc>
        <w:tc>
          <w:tcPr>
            <w:tcW w:w="1798" w:type="dxa"/>
            <w:shd w:val="clear" w:color="auto" w:fill="auto"/>
          </w:tcPr>
          <w:p w14:paraId="5E1283FC"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15%</w:t>
            </w:r>
          </w:p>
        </w:tc>
        <w:tc>
          <w:tcPr>
            <w:tcW w:w="1798" w:type="dxa"/>
            <w:shd w:val="clear" w:color="auto" w:fill="auto"/>
          </w:tcPr>
          <w:p w14:paraId="075E3C68"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16%</w:t>
            </w:r>
          </w:p>
        </w:tc>
        <w:tc>
          <w:tcPr>
            <w:tcW w:w="1799" w:type="dxa"/>
            <w:shd w:val="clear" w:color="auto" w:fill="auto"/>
          </w:tcPr>
          <w:p w14:paraId="45401DCC"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nr</w:t>
            </w:r>
          </w:p>
        </w:tc>
        <w:tc>
          <w:tcPr>
            <w:tcW w:w="1799" w:type="dxa"/>
            <w:shd w:val="clear" w:color="auto" w:fill="auto"/>
          </w:tcPr>
          <w:p w14:paraId="47C407E8" w14:textId="77777777" w:rsidR="00886D18" w:rsidRPr="0095149B" w:rsidRDefault="00886D18" w:rsidP="00EF2651">
            <w:pPr>
              <w:shd w:val="clear" w:color="auto" w:fill="FFFFFF" w:themeFill="background1"/>
              <w:spacing w:before="40" w:after="40"/>
              <w:jc w:val="center"/>
              <w:rPr>
                <w:rFonts w:ascii="Century Gothic" w:hAnsi="Century Gothic" w:cstheme="majorHAnsi"/>
                <w:b/>
                <w:sz w:val="16"/>
                <w:szCs w:val="16"/>
              </w:rPr>
            </w:pPr>
            <w:r w:rsidRPr="0095149B">
              <w:rPr>
                <w:rFonts w:ascii="Century Gothic" w:hAnsi="Century Gothic"/>
                <w:sz w:val="16"/>
                <w:szCs w:val="16"/>
              </w:rPr>
              <w:t>98%</w:t>
            </w:r>
          </w:p>
        </w:tc>
      </w:tr>
      <w:tr w:rsidR="00886D18" w14:paraId="7E883DEF" w14:textId="77777777" w:rsidTr="00EF2651">
        <w:tc>
          <w:tcPr>
            <w:tcW w:w="1798" w:type="dxa"/>
            <w:shd w:val="clear" w:color="auto" w:fill="auto"/>
          </w:tcPr>
          <w:p w14:paraId="566AED01"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ENCO</w:t>
            </w:r>
          </w:p>
        </w:tc>
        <w:tc>
          <w:tcPr>
            <w:tcW w:w="1798" w:type="dxa"/>
            <w:shd w:val="clear" w:color="auto" w:fill="auto"/>
          </w:tcPr>
          <w:p w14:paraId="5F131FA5"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12</w:t>
            </w:r>
          </w:p>
        </w:tc>
        <w:tc>
          <w:tcPr>
            <w:tcW w:w="1798" w:type="dxa"/>
            <w:shd w:val="clear" w:color="auto" w:fill="auto"/>
          </w:tcPr>
          <w:p w14:paraId="7BB1E670"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15%</w:t>
            </w:r>
          </w:p>
        </w:tc>
        <w:tc>
          <w:tcPr>
            <w:tcW w:w="1798" w:type="dxa"/>
            <w:shd w:val="clear" w:color="auto" w:fill="auto"/>
          </w:tcPr>
          <w:p w14:paraId="72E24D4C"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1</w:t>
            </w:r>
            <w:r>
              <w:rPr>
                <w:rFonts w:ascii="Century Gothic" w:hAnsi="Century Gothic"/>
                <w:sz w:val="16"/>
                <w:szCs w:val="16"/>
              </w:rPr>
              <w:t>6</w:t>
            </w:r>
            <w:r w:rsidRPr="0095149B">
              <w:rPr>
                <w:rFonts w:ascii="Century Gothic" w:hAnsi="Century Gothic"/>
                <w:sz w:val="16"/>
                <w:szCs w:val="16"/>
              </w:rPr>
              <w:t>%</w:t>
            </w:r>
          </w:p>
        </w:tc>
        <w:tc>
          <w:tcPr>
            <w:tcW w:w="1799" w:type="dxa"/>
            <w:shd w:val="clear" w:color="auto" w:fill="auto"/>
          </w:tcPr>
          <w:p w14:paraId="6EBC4B20"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nr</w:t>
            </w:r>
          </w:p>
        </w:tc>
        <w:tc>
          <w:tcPr>
            <w:tcW w:w="1799" w:type="dxa"/>
            <w:shd w:val="clear" w:color="auto" w:fill="auto"/>
          </w:tcPr>
          <w:p w14:paraId="489B07D4"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9</w:t>
            </w:r>
            <w:r>
              <w:rPr>
                <w:rFonts w:ascii="Century Gothic" w:hAnsi="Century Gothic"/>
                <w:sz w:val="16"/>
                <w:szCs w:val="16"/>
              </w:rPr>
              <w:t>9</w:t>
            </w:r>
            <w:r w:rsidRPr="0095149B">
              <w:rPr>
                <w:rFonts w:ascii="Century Gothic" w:hAnsi="Century Gothic"/>
                <w:sz w:val="16"/>
                <w:szCs w:val="16"/>
              </w:rPr>
              <w:t>%</w:t>
            </w:r>
          </w:p>
        </w:tc>
      </w:tr>
      <w:tr w:rsidR="00886D18" w14:paraId="65BBBE93" w14:textId="77777777" w:rsidTr="00EF2651">
        <w:tc>
          <w:tcPr>
            <w:tcW w:w="1798" w:type="dxa"/>
            <w:shd w:val="clear" w:color="auto" w:fill="auto"/>
          </w:tcPr>
          <w:p w14:paraId="4BBCE592"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EMOE CONS</w:t>
            </w:r>
          </w:p>
        </w:tc>
        <w:tc>
          <w:tcPr>
            <w:tcW w:w="1798" w:type="dxa"/>
            <w:shd w:val="clear" w:color="auto" w:fill="auto"/>
          </w:tcPr>
          <w:p w14:paraId="28BFF3AC"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12</w:t>
            </w:r>
          </w:p>
        </w:tc>
        <w:tc>
          <w:tcPr>
            <w:tcW w:w="1798" w:type="dxa"/>
            <w:shd w:val="clear" w:color="auto" w:fill="auto"/>
          </w:tcPr>
          <w:p w14:paraId="66F3DAF5"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15%</w:t>
            </w:r>
          </w:p>
        </w:tc>
        <w:tc>
          <w:tcPr>
            <w:tcW w:w="1798" w:type="dxa"/>
            <w:shd w:val="clear" w:color="auto" w:fill="auto"/>
          </w:tcPr>
          <w:p w14:paraId="3423E22A"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2</w:t>
            </w:r>
            <w:r>
              <w:rPr>
                <w:rFonts w:ascii="Century Gothic" w:hAnsi="Century Gothic"/>
                <w:sz w:val="16"/>
                <w:szCs w:val="16"/>
              </w:rPr>
              <w:t>1</w:t>
            </w:r>
            <w:r w:rsidRPr="0095149B">
              <w:rPr>
                <w:rFonts w:ascii="Century Gothic" w:hAnsi="Century Gothic"/>
                <w:sz w:val="16"/>
                <w:szCs w:val="16"/>
              </w:rPr>
              <w:t>%</w:t>
            </w:r>
          </w:p>
        </w:tc>
        <w:tc>
          <w:tcPr>
            <w:tcW w:w="1799" w:type="dxa"/>
            <w:shd w:val="clear" w:color="auto" w:fill="auto"/>
          </w:tcPr>
          <w:p w14:paraId="5FA83415"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2</w:t>
            </w:r>
            <w:r>
              <w:rPr>
                <w:rFonts w:ascii="Century Gothic" w:hAnsi="Century Gothic"/>
                <w:sz w:val="16"/>
                <w:szCs w:val="16"/>
              </w:rPr>
              <w:t>2</w:t>
            </w:r>
            <w:r w:rsidRPr="0095149B">
              <w:rPr>
                <w:rFonts w:ascii="Century Gothic" w:hAnsi="Century Gothic"/>
                <w:sz w:val="16"/>
                <w:szCs w:val="16"/>
              </w:rPr>
              <w:t>%</w:t>
            </w:r>
          </w:p>
        </w:tc>
        <w:tc>
          <w:tcPr>
            <w:tcW w:w="1799" w:type="dxa"/>
            <w:shd w:val="clear" w:color="auto" w:fill="auto"/>
          </w:tcPr>
          <w:p w14:paraId="52E2E6C4"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9</w:t>
            </w:r>
            <w:r>
              <w:rPr>
                <w:rFonts w:ascii="Century Gothic" w:hAnsi="Century Gothic"/>
                <w:sz w:val="16"/>
                <w:szCs w:val="16"/>
              </w:rPr>
              <w:t>3</w:t>
            </w:r>
            <w:r w:rsidRPr="0095149B">
              <w:rPr>
                <w:rFonts w:ascii="Century Gothic" w:hAnsi="Century Gothic"/>
                <w:sz w:val="16"/>
                <w:szCs w:val="16"/>
              </w:rPr>
              <w:t>%</w:t>
            </w:r>
          </w:p>
        </w:tc>
      </w:tr>
      <w:tr w:rsidR="00886D18" w14:paraId="4B5891FF" w14:textId="77777777" w:rsidTr="00EF2651">
        <w:tc>
          <w:tcPr>
            <w:tcW w:w="1798" w:type="dxa"/>
            <w:shd w:val="clear" w:color="auto" w:fill="auto"/>
          </w:tcPr>
          <w:p w14:paraId="6E8AF147"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EMOE SER</w:t>
            </w:r>
          </w:p>
        </w:tc>
        <w:tc>
          <w:tcPr>
            <w:tcW w:w="1798" w:type="dxa"/>
            <w:shd w:val="clear" w:color="auto" w:fill="auto"/>
          </w:tcPr>
          <w:p w14:paraId="635735DD"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84</w:t>
            </w:r>
          </w:p>
        </w:tc>
        <w:tc>
          <w:tcPr>
            <w:tcW w:w="1798" w:type="dxa"/>
            <w:shd w:val="clear" w:color="auto" w:fill="auto"/>
          </w:tcPr>
          <w:p w14:paraId="23BA4FE8"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15%</w:t>
            </w:r>
          </w:p>
        </w:tc>
        <w:tc>
          <w:tcPr>
            <w:tcW w:w="1798" w:type="dxa"/>
            <w:shd w:val="clear" w:color="auto" w:fill="auto"/>
          </w:tcPr>
          <w:p w14:paraId="3D982AFB"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22%</w:t>
            </w:r>
          </w:p>
        </w:tc>
        <w:tc>
          <w:tcPr>
            <w:tcW w:w="1799" w:type="dxa"/>
            <w:shd w:val="clear" w:color="auto" w:fill="auto"/>
          </w:tcPr>
          <w:p w14:paraId="11B5C5C3"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2</w:t>
            </w:r>
            <w:r>
              <w:rPr>
                <w:rFonts w:ascii="Century Gothic" w:hAnsi="Century Gothic"/>
                <w:sz w:val="16"/>
                <w:szCs w:val="16"/>
              </w:rPr>
              <w:t>4</w:t>
            </w:r>
            <w:r w:rsidRPr="0095149B">
              <w:rPr>
                <w:rFonts w:ascii="Century Gothic" w:hAnsi="Century Gothic"/>
                <w:sz w:val="16"/>
                <w:szCs w:val="16"/>
              </w:rPr>
              <w:t>%</w:t>
            </w:r>
          </w:p>
        </w:tc>
        <w:tc>
          <w:tcPr>
            <w:tcW w:w="1799" w:type="dxa"/>
            <w:shd w:val="clear" w:color="auto" w:fill="auto"/>
          </w:tcPr>
          <w:p w14:paraId="057096DF"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9</w:t>
            </w:r>
            <w:r>
              <w:rPr>
                <w:rFonts w:ascii="Century Gothic" w:hAnsi="Century Gothic"/>
                <w:sz w:val="16"/>
                <w:szCs w:val="16"/>
              </w:rPr>
              <w:t>1</w:t>
            </w:r>
            <w:r w:rsidRPr="0095149B">
              <w:rPr>
                <w:rFonts w:ascii="Century Gothic" w:hAnsi="Century Gothic"/>
                <w:sz w:val="16"/>
                <w:szCs w:val="16"/>
              </w:rPr>
              <w:t>%</w:t>
            </w:r>
          </w:p>
        </w:tc>
      </w:tr>
      <w:tr w:rsidR="00886D18" w14:paraId="176D056E" w14:textId="77777777" w:rsidTr="00EF2651">
        <w:tc>
          <w:tcPr>
            <w:tcW w:w="1798" w:type="dxa"/>
            <w:shd w:val="clear" w:color="auto" w:fill="auto"/>
          </w:tcPr>
          <w:p w14:paraId="1FE5CB31"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ENFIH</w:t>
            </w:r>
          </w:p>
        </w:tc>
        <w:tc>
          <w:tcPr>
            <w:tcW w:w="1798" w:type="dxa"/>
            <w:shd w:val="clear" w:color="auto" w:fill="auto"/>
          </w:tcPr>
          <w:p w14:paraId="4DB0CB53"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1</w:t>
            </w:r>
          </w:p>
        </w:tc>
        <w:tc>
          <w:tcPr>
            <w:tcW w:w="1798" w:type="dxa"/>
            <w:shd w:val="clear" w:color="auto" w:fill="auto"/>
          </w:tcPr>
          <w:p w14:paraId="127515A8"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15%</w:t>
            </w:r>
          </w:p>
        </w:tc>
        <w:tc>
          <w:tcPr>
            <w:tcW w:w="1798" w:type="dxa"/>
            <w:shd w:val="clear" w:color="auto" w:fill="auto"/>
          </w:tcPr>
          <w:p w14:paraId="30CC9417"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21%</w:t>
            </w:r>
          </w:p>
        </w:tc>
        <w:tc>
          <w:tcPr>
            <w:tcW w:w="1799" w:type="dxa"/>
            <w:shd w:val="clear" w:color="auto" w:fill="auto"/>
          </w:tcPr>
          <w:p w14:paraId="335A09D4"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nr</w:t>
            </w:r>
          </w:p>
        </w:tc>
        <w:tc>
          <w:tcPr>
            <w:tcW w:w="1799" w:type="dxa"/>
            <w:shd w:val="clear" w:color="auto" w:fill="auto"/>
          </w:tcPr>
          <w:p w14:paraId="2037CAD5" w14:textId="77777777" w:rsidR="00886D18" w:rsidRPr="0095149B" w:rsidRDefault="00886D18" w:rsidP="00EF2651">
            <w:pPr>
              <w:shd w:val="clear" w:color="auto" w:fill="FFFFFF" w:themeFill="background1"/>
              <w:spacing w:before="40" w:after="40"/>
              <w:jc w:val="center"/>
              <w:rPr>
                <w:rFonts w:ascii="Century Gothic" w:hAnsi="Century Gothic"/>
                <w:sz w:val="16"/>
                <w:szCs w:val="16"/>
              </w:rPr>
            </w:pPr>
            <w:r w:rsidRPr="0095149B">
              <w:rPr>
                <w:rFonts w:ascii="Century Gothic" w:hAnsi="Century Gothic"/>
                <w:sz w:val="16"/>
                <w:szCs w:val="16"/>
              </w:rPr>
              <w:t>88%</w:t>
            </w:r>
          </w:p>
        </w:tc>
      </w:tr>
    </w:tbl>
    <w:p w14:paraId="4C75FB57" w14:textId="77777777" w:rsidR="00886D18" w:rsidRPr="00537998" w:rsidRDefault="00886D18" w:rsidP="00886D18">
      <w:pPr>
        <w:shd w:val="clear" w:color="auto" w:fill="FFFFFF" w:themeFill="background1"/>
        <w:spacing w:before="40" w:after="40"/>
        <w:jc w:val="both"/>
        <w:rPr>
          <w:rFonts w:ascii="Century Gothic" w:hAnsi="Century Gothic" w:cstheme="minorHAnsi"/>
          <w:sz w:val="15"/>
          <w:szCs w:val="15"/>
        </w:rPr>
      </w:pPr>
      <w:proofErr w:type="spellStart"/>
      <w:r w:rsidRPr="00537998">
        <w:rPr>
          <w:rFonts w:ascii="Century Gothic" w:hAnsi="Century Gothic" w:cstheme="minorHAnsi"/>
          <w:sz w:val="15"/>
          <w:szCs w:val="15"/>
        </w:rPr>
        <w:t>nr</w:t>
      </w:r>
      <w:proofErr w:type="spellEnd"/>
      <w:r w:rsidRPr="00537998">
        <w:rPr>
          <w:rFonts w:ascii="Century Gothic" w:hAnsi="Century Gothic" w:cstheme="minorHAnsi"/>
          <w:sz w:val="15"/>
          <w:szCs w:val="15"/>
        </w:rPr>
        <w:t>: no reportado</w:t>
      </w:r>
      <w:r>
        <w:rPr>
          <w:rFonts w:ascii="Century Gothic" w:hAnsi="Century Gothic" w:cstheme="minorHAnsi"/>
          <w:sz w:val="15"/>
          <w:szCs w:val="15"/>
        </w:rPr>
        <w:t>.</w:t>
      </w:r>
    </w:p>
    <w:p w14:paraId="65382327" w14:textId="77777777" w:rsidR="00886D18" w:rsidRPr="00537998" w:rsidRDefault="00886D18" w:rsidP="00886D18">
      <w:pPr>
        <w:spacing w:before="40" w:after="40"/>
        <w:jc w:val="both"/>
        <w:rPr>
          <w:rFonts w:ascii="Century Gothic" w:hAnsi="Century Gothic"/>
          <w:sz w:val="15"/>
          <w:szCs w:val="15"/>
        </w:rPr>
      </w:pPr>
      <w:r w:rsidRPr="0043170D">
        <w:rPr>
          <w:rFonts w:ascii="Century Gothic" w:hAnsi="Century Gothic"/>
          <w:sz w:val="15"/>
          <w:szCs w:val="15"/>
        </w:rPr>
        <w:t xml:space="preserve"> Estos datos corresponden a los indicadores registrados en metadatos durante 2021.</w:t>
      </w:r>
    </w:p>
    <w:p w14:paraId="35A9743F" w14:textId="77777777" w:rsidR="00886D18" w:rsidRDefault="00886D18" w:rsidP="00886D18">
      <w:pPr>
        <w:spacing w:before="40" w:after="40"/>
        <w:rPr>
          <w:rFonts w:ascii="Century Gothic" w:hAnsi="Century Gothic" w:cstheme="minorHAnsi"/>
          <w:sz w:val="19"/>
          <w:szCs w:val="19"/>
        </w:rPr>
      </w:pPr>
    </w:p>
    <w:p w14:paraId="40DD7000" w14:textId="77777777" w:rsidR="00886D18" w:rsidRDefault="00886D18" w:rsidP="00886D18">
      <w:pPr>
        <w:spacing w:before="40" w:after="40"/>
        <w:jc w:val="both"/>
        <w:rPr>
          <w:rFonts w:ascii="Century Gothic" w:hAnsi="Century Gothic"/>
          <w:sz w:val="19"/>
          <w:szCs w:val="19"/>
        </w:rPr>
      </w:pPr>
      <w:r w:rsidRPr="00337CB8">
        <w:rPr>
          <w:rFonts w:ascii="Century Gothic" w:hAnsi="Century Gothic"/>
          <w:sz w:val="19"/>
          <w:szCs w:val="19"/>
        </w:rPr>
        <w:t>Una de las alternativas metodológicas para completar la información en caso de no respuesta es la imputación.  Por ello, a la par que han aumentado las tasas de no Respuesta, han aumentado las tasas de imputación.  El promedio de las tasas de imputación ha pasado de 7% en 2019, a 18% en 2020 y a 21% en 2021.</w:t>
      </w:r>
    </w:p>
    <w:p w14:paraId="0A1E850C" w14:textId="77777777" w:rsidR="00886D18" w:rsidRDefault="00886D18" w:rsidP="00886D18">
      <w:pPr>
        <w:spacing w:before="40" w:after="40"/>
        <w:jc w:val="both"/>
        <w:rPr>
          <w:rFonts w:ascii="Century Gothic" w:hAnsi="Century Gothic"/>
          <w:sz w:val="19"/>
          <w:szCs w:val="19"/>
        </w:rPr>
      </w:pPr>
    </w:p>
    <w:p w14:paraId="4FE2D70E" w14:textId="77777777" w:rsidR="00886D18" w:rsidRPr="00337CB8" w:rsidRDefault="00886D18" w:rsidP="00886D18">
      <w:pPr>
        <w:spacing w:before="40" w:after="40"/>
        <w:jc w:val="both"/>
        <w:rPr>
          <w:rFonts w:ascii="Century Gothic" w:hAnsi="Century Gothic"/>
          <w:sz w:val="19"/>
          <w:szCs w:val="19"/>
        </w:rPr>
      </w:pPr>
      <w:r w:rsidRPr="00337CB8">
        <w:rPr>
          <w:rFonts w:ascii="Century Gothic" w:hAnsi="Century Gothic"/>
          <w:sz w:val="19"/>
          <w:szCs w:val="19"/>
        </w:rPr>
        <w:t>Otra forma de hacer frente a las crecientes tasas de no respuesta es la revisión y ajuste del diseño muestral.  Por ejemplo, la Encuesta Nacional de Ingresos y Gastos de los Hogares Tradicional 2020 (ENIGH_T) definió tasas de no respuesta máximas esperadas diferenciadas por dominio de estudio, las cuales incrementaron el tamaño de muestra con las respectivas implicaciones presupuestales.</w:t>
      </w:r>
    </w:p>
    <w:p w14:paraId="4C6108AE" w14:textId="77777777" w:rsidR="00886D18" w:rsidRDefault="00886D18" w:rsidP="00886D18">
      <w:pPr>
        <w:spacing w:before="40" w:after="40"/>
        <w:rPr>
          <w:rFonts w:ascii="Century Gothic" w:hAnsi="Century Gothic" w:cstheme="minorHAnsi"/>
          <w:sz w:val="19"/>
          <w:szCs w:val="19"/>
        </w:rPr>
      </w:pPr>
    </w:p>
    <w:p w14:paraId="4196D7D3" w14:textId="77777777" w:rsidR="00886D18" w:rsidRDefault="00886D18" w:rsidP="00886D18">
      <w:pPr>
        <w:spacing w:before="40" w:after="40"/>
        <w:jc w:val="center"/>
        <w:rPr>
          <w:rFonts w:ascii="Century Gothic" w:hAnsi="Century Gothic"/>
        </w:rPr>
      </w:pPr>
      <w:r>
        <w:rPr>
          <w:rFonts w:ascii="Century Gothic" w:hAnsi="Century Gothic"/>
          <w:b/>
          <w:sz w:val="19"/>
          <w:szCs w:val="19"/>
        </w:rPr>
        <w:t>III.6.6.</w:t>
      </w:r>
      <w:r w:rsidRPr="00E222C3">
        <w:rPr>
          <w:rFonts w:ascii="Century Gothic" w:hAnsi="Century Gothic"/>
          <w:b/>
          <w:sz w:val="19"/>
          <w:szCs w:val="19"/>
        </w:rPr>
        <w:t xml:space="preserve"> </w:t>
      </w:r>
      <w:r>
        <w:rPr>
          <w:rFonts w:ascii="Century Gothic" w:hAnsi="Century Gothic"/>
          <w:b/>
          <w:sz w:val="19"/>
          <w:szCs w:val="19"/>
        </w:rPr>
        <w:t>Resultados generales de las tasas de imputación</w:t>
      </w:r>
    </w:p>
    <w:tbl>
      <w:tblPr>
        <w:tblW w:w="894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6799"/>
        <w:gridCol w:w="709"/>
        <w:gridCol w:w="709"/>
        <w:gridCol w:w="730"/>
      </w:tblGrid>
      <w:tr w:rsidR="00886D18" w:rsidRPr="005E0655" w14:paraId="6D126993" w14:textId="77777777" w:rsidTr="00886D18">
        <w:trPr>
          <w:trHeight w:val="338"/>
          <w:tblHeader/>
          <w:jc w:val="center"/>
        </w:trPr>
        <w:tc>
          <w:tcPr>
            <w:tcW w:w="6799" w:type="dxa"/>
            <w:shd w:val="clear" w:color="000000" w:fill="002060"/>
            <w:vAlign w:val="center"/>
            <w:hideMark/>
          </w:tcPr>
          <w:p w14:paraId="52E2809C"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p>
        </w:tc>
        <w:tc>
          <w:tcPr>
            <w:tcW w:w="709" w:type="dxa"/>
            <w:shd w:val="clear" w:color="000000" w:fill="002060"/>
          </w:tcPr>
          <w:p w14:paraId="566CBB09"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2019</w:t>
            </w:r>
          </w:p>
        </w:tc>
        <w:tc>
          <w:tcPr>
            <w:tcW w:w="709" w:type="dxa"/>
            <w:shd w:val="clear" w:color="000000" w:fill="002060"/>
          </w:tcPr>
          <w:p w14:paraId="2450245C"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2020</w:t>
            </w:r>
          </w:p>
        </w:tc>
        <w:tc>
          <w:tcPr>
            <w:tcW w:w="730" w:type="dxa"/>
            <w:shd w:val="clear" w:color="000000" w:fill="002060"/>
          </w:tcPr>
          <w:p w14:paraId="318F99F7" w14:textId="77777777" w:rsidR="00886D18" w:rsidRPr="005E0655" w:rsidRDefault="00886D18" w:rsidP="00EF2651">
            <w:pPr>
              <w:spacing w:before="40" w:after="40" w:line="240" w:lineRule="auto"/>
              <w:contextualSpacing/>
              <w:jc w:val="center"/>
              <w:rPr>
                <w:rFonts w:ascii="Century Gothic" w:eastAsia="Times New Roman" w:hAnsi="Century Gothic" w:cs="Calibri"/>
                <w:b/>
                <w:bCs/>
                <w:color w:val="FFFFFF"/>
                <w:sz w:val="16"/>
                <w:szCs w:val="16"/>
                <w:lang w:eastAsia="es-MX"/>
              </w:rPr>
            </w:pPr>
            <w:r w:rsidRPr="005E0655">
              <w:rPr>
                <w:rFonts w:ascii="Century Gothic" w:eastAsia="Times New Roman" w:hAnsi="Century Gothic" w:cs="Calibri"/>
                <w:b/>
                <w:bCs/>
                <w:color w:val="FFFFFF"/>
                <w:sz w:val="16"/>
                <w:szCs w:val="16"/>
                <w:lang w:eastAsia="es-MX"/>
              </w:rPr>
              <w:t>2021</w:t>
            </w:r>
          </w:p>
        </w:tc>
      </w:tr>
      <w:tr w:rsidR="00886D18" w:rsidRPr="005E0655" w14:paraId="59BEEBB1" w14:textId="77777777" w:rsidTr="00886D18">
        <w:trPr>
          <w:trHeight w:val="466"/>
          <w:jc w:val="center"/>
        </w:trPr>
        <w:tc>
          <w:tcPr>
            <w:tcW w:w="6799" w:type="dxa"/>
            <w:shd w:val="clear" w:color="000000" w:fill="F2F2F2"/>
            <w:noWrap/>
            <w:vAlign w:val="center"/>
          </w:tcPr>
          <w:p w14:paraId="76692C3A" w14:textId="77777777" w:rsidR="00886D18" w:rsidRPr="00E750AC" w:rsidRDefault="00886D18" w:rsidP="00EF2651">
            <w:pPr>
              <w:spacing w:before="40" w:after="40"/>
              <w:ind w:left="142"/>
              <w:jc w:val="both"/>
              <w:rPr>
                <w:rFonts w:ascii="Century Gothic" w:hAnsi="Century Gothic"/>
                <w:sz w:val="17"/>
                <w:szCs w:val="17"/>
              </w:rPr>
            </w:pPr>
            <w:r w:rsidRPr="00E750AC">
              <w:rPr>
                <w:rFonts w:ascii="Century Gothic" w:hAnsi="Century Gothic"/>
                <w:sz w:val="17"/>
                <w:szCs w:val="17"/>
              </w:rPr>
              <w:t>Promedio de las tasas de imputación a nivel unidad de observación</w:t>
            </w:r>
          </w:p>
        </w:tc>
        <w:tc>
          <w:tcPr>
            <w:tcW w:w="709" w:type="dxa"/>
            <w:shd w:val="clear" w:color="000000" w:fill="F2F2F2"/>
            <w:vAlign w:val="center"/>
          </w:tcPr>
          <w:p w14:paraId="3BD2A8C7" w14:textId="77777777" w:rsidR="00886D18" w:rsidRPr="00E750AC" w:rsidRDefault="00886D18" w:rsidP="00EF2651">
            <w:pPr>
              <w:spacing w:before="40" w:after="40" w:line="240" w:lineRule="auto"/>
              <w:contextualSpacing/>
              <w:jc w:val="center"/>
              <w:rPr>
                <w:rFonts w:ascii="Century Gothic" w:hAnsi="Century Gothic"/>
                <w:sz w:val="17"/>
                <w:szCs w:val="17"/>
              </w:rPr>
            </w:pPr>
            <w:r w:rsidRPr="00E750AC">
              <w:rPr>
                <w:rFonts w:ascii="Century Gothic" w:hAnsi="Century Gothic"/>
                <w:sz w:val="17"/>
                <w:szCs w:val="17"/>
              </w:rPr>
              <w:t>7%</w:t>
            </w:r>
          </w:p>
        </w:tc>
        <w:tc>
          <w:tcPr>
            <w:tcW w:w="709" w:type="dxa"/>
            <w:shd w:val="clear" w:color="000000" w:fill="F2F2F2"/>
            <w:vAlign w:val="center"/>
          </w:tcPr>
          <w:p w14:paraId="1BA1AFF0" w14:textId="77777777" w:rsidR="00886D18" w:rsidRPr="00E750AC" w:rsidRDefault="00886D18" w:rsidP="00EF2651">
            <w:pPr>
              <w:spacing w:before="40" w:after="40" w:line="240" w:lineRule="auto"/>
              <w:contextualSpacing/>
              <w:jc w:val="center"/>
              <w:rPr>
                <w:rFonts w:ascii="Century Gothic" w:hAnsi="Century Gothic"/>
                <w:sz w:val="17"/>
                <w:szCs w:val="17"/>
              </w:rPr>
            </w:pPr>
            <w:r w:rsidRPr="00E750AC">
              <w:rPr>
                <w:rFonts w:ascii="Century Gothic" w:hAnsi="Century Gothic"/>
                <w:sz w:val="17"/>
                <w:szCs w:val="17"/>
              </w:rPr>
              <w:t>18%</w:t>
            </w:r>
          </w:p>
        </w:tc>
        <w:tc>
          <w:tcPr>
            <w:tcW w:w="730" w:type="dxa"/>
            <w:shd w:val="clear" w:color="000000" w:fill="F2F2F2"/>
            <w:vAlign w:val="center"/>
          </w:tcPr>
          <w:p w14:paraId="24E75545" w14:textId="77777777" w:rsidR="00886D18" w:rsidRPr="00E750AC" w:rsidRDefault="00886D18" w:rsidP="00EF2651">
            <w:pPr>
              <w:spacing w:before="40" w:after="40" w:line="240" w:lineRule="auto"/>
              <w:contextualSpacing/>
              <w:jc w:val="center"/>
              <w:rPr>
                <w:rFonts w:ascii="Century Gothic" w:hAnsi="Century Gothic"/>
                <w:sz w:val="17"/>
                <w:szCs w:val="17"/>
              </w:rPr>
            </w:pPr>
            <w:r w:rsidRPr="00E750AC">
              <w:rPr>
                <w:rFonts w:ascii="Century Gothic" w:hAnsi="Century Gothic"/>
                <w:sz w:val="17"/>
                <w:szCs w:val="17"/>
              </w:rPr>
              <w:t>21%</w:t>
            </w:r>
          </w:p>
        </w:tc>
      </w:tr>
    </w:tbl>
    <w:p w14:paraId="0C64C4EA" w14:textId="77777777" w:rsidR="00886D18" w:rsidRDefault="00886D18" w:rsidP="00886D18">
      <w:pPr>
        <w:spacing w:before="40" w:after="40"/>
        <w:rPr>
          <w:rFonts w:ascii="Century Gothic" w:hAnsi="Century Gothic" w:cstheme="minorHAnsi"/>
          <w:sz w:val="19"/>
          <w:szCs w:val="19"/>
        </w:rPr>
      </w:pPr>
    </w:p>
    <w:p w14:paraId="10E2EFCC" w14:textId="77777777" w:rsidR="00886D18" w:rsidRDefault="00886D18" w:rsidP="00886D18">
      <w:pPr>
        <w:spacing w:before="40" w:after="40"/>
        <w:jc w:val="both"/>
        <w:rPr>
          <w:rFonts w:ascii="Century Gothic" w:hAnsi="Century Gothic" w:cstheme="minorHAnsi"/>
          <w:sz w:val="19"/>
          <w:szCs w:val="19"/>
        </w:rPr>
      </w:pPr>
      <w:r>
        <w:rPr>
          <w:rFonts w:ascii="Century Gothic" w:hAnsi="Century Gothic" w:cstheme="minorHAnsi"/>
          <w:sz w:val="19"/>
          <w:szCs w:val="19"/>
        </w:rPr>
        <w:t xml:space="preserve">En el siguiente cuadro se presentan los programas para los que se observan aumentos en la Tasa de Imputación, respecto al Informe de calidad 2020.  </w:t>
      </w:r>
    </w:p>
    <w:p w14:paraId="6D160DB8" w14:textId="77777777" w:rsidR="00886D18" w:rsidRDefault="00886D18" w:rsidP="00886D18">
      <w:pPr>
        <w:spacing w:before="40" w:after="40"/>
        <w:rPr>
          <w:rFonts w:ascii="Century Gothic" w:hAnsi="Century Gothic" w:cstheme="minorHAnsi"/>
          <w:sz w:val="19"/>
          <w:szCs w:val="19"/>
        </w:rPr>
      </w:pPr>
    </w:p>
    <w:p w14:paraId="021936EC" w14:textId="77777777" w:rsidR="00886D18" w:rsidRDefault="00886D18" w:rsidP="00886D18">
      <w:pPr>
        <w:spacing w:before="40" w:after="40"/>
        <w:jc w:val="center"/>
        <w:rPr>
          <w:rFonts w:ascii="Century Gothic" w:hAnsi="Century Gothic" w:cstheme="minorHAnsi"/>
          <w:sz w:val="19"/>
          <w:szCs w:val="19"/>
        </w:rPr>
      </w:pPr>
      <w:r>
        <w:rPr>
          <w:rFonts w:ascii="Century Gothic" w:hAnsi="Century Gothic"/>
          <w:b/>
          <w:sz w:val="19"/>
          <w:szCs w:val="19"/>
        </w:rPr>
        <w:t>III.6.7.</w:t>
      </w:r>
      <w:r w:rsidRPr="00E222C3">
        <w:rPr>
          <w:rFonts w:ascii="Century Gothic" w:hAnsi="Century Gothic"/>
          <w:b/>
          <w:sz w:val="19"/>
          <w:szCs w:val="19"/>
        </w:rPr>
        <w:t xml:space="preserve"> </w:t>
      </w:r>
      <w:r>
        <w:rPr>
          <w:rFonts w:ascii="Century Gothic" w:hAnsi="Century Gothic"/>
          <w:b/>
          <w:sz w:val="19"/>
          <w:szCs w:val="19"/>
        </w:rPr>
        <w:t>Programas/procesos para los que se observan altas tasas de imputación</w:t>
      </w:r>
    </w:p>
    <w:tbl>
      <w:tblPr>
        <w:tblStyle w:val="Tablaconcuadrcula"/>
        <w:tblW w:w="0" w:type="auto"/>
        <w:jc w:val="center"/>
        <w:tblLook w:val="04A0" w:firstRow="1" w:lastRow="0" w:firstColumn="1" w:lastColumn="0" w:noHBand="0" w:noVBand="1"/>
      </w:tblPr>
      <w:tblGrid>
        <w:gridCol w:w="1798"/>
        <w:gridCol w:w="1798"/>
        <w:gridCol w:w="1798"/>
        <w:gridCol w:w="1798"/>
      </w:tblGrid>
      <w:tr w:rsidR="00886D18" w:rsidRPr="0095149B" w14:paraId="2E2F3F8D" w14:textId="77777777" w:rsidTr="00EF2651">
        <w:trPr>
          <w:tblHeader/>
          <w:jc w:val="center"/>
        </w:trPr>
        <w:tc>
          <w:tcPr>
            <w:tcW w:w="1798" w:type="dxa"/>
            <w:vMerge w:val="restart"/>
            <w:shd w:val="clear" w:color="auto" w:fill="1F3864"/>
            <w:vAlign w:val="center"/>
          </w:tcPr>
          <w:p w14:paraId="1C5C9E94" w14:textId="77777777" w:rsidR="00886D18" w:rsidRPr="00142E77" w:rsidRDefault="00886D18" w:rsidP="00EF2651">
            <w:pPr>
              <w:spacing w:before="40" w:after="40"/>
              <w:jc w:val="center"/>
              <w:rPr>
                <w:rFonts w:ascii="Century Gothic" w:eastAsia="Times New Roman" w:hAnsi="Century Gothic" w:cs="Calibri"/>
                <w:color w:val="FFFFFF"/>
                <w:sz w:val="16"/>
                <w:szCs w:val="16"/>
                <w:lang w:eastAsia="es-MX"/>
              </w:rPr>
            </w:pPr>
            <w:r w:rsidRPr="00142E77">
              <w:rPr>
                <w:rFonts w:ascii="Century Gothic" w:eastAsia="Times New Roman" w:hAnsi="Century Gothic" w:cs="Calibri"/>
                <w:color w:val="FFFFFF"/>
                <w:sz w:val="16"/>
                <w:szCs w:val="16"/>
                <w:lang w:eastAsia="es-MX"/>
              </w:rPr>
              <w:t>Programa</w:t>
            </w:r>
            <w:r>
              <w:rPr>
                <w:rFonts w:ascii="Century Gothic" w:eastAsia="Times New Roman" w:hAnsi="Century Gothic" w:cs="Calibri"/>
                <w:color w:val="FFFFFF"/>
                <w:sz w:val="16"/>
                <w:szCs w:val="16"/>
                <w:lang w:eastAsia="es-MX"/>
              </w:rPr>
              <w:t>/proceso</w:t>
            </w:r>
          </w:p>
        </w:tc>
        <w:tc>
          <w:tcPr>
            <w:tcW w:w="5394" w:type="dxa"/>
            <w:gridSpan w:val="3"/>
            <w:shd w:val="clear" w:color="auto" w:fill="1F3864"/>
            <w:vAlign w:val="center"/>
          </w:tcPr>
          <w:p w14:paraId="283C5901" w14:textId="77777777" w:rsidR="00886D18" w:rsidRPr="00142E77" w:rsidRDefault="00886D18" w:rsidP="00EF2651">
            <w:pPr>
              <w:spacing w:before="40" w:after="40"/>
              <w:jc w:val="center"/>
              <w:rPr>
                <w:rFonts w:ascii="Century Gothic" w:eastAsia="Times New Roman" w:hAnsi="Century Gothic" w:cs="Calibri"/>
                <w:color w:val="FFFFFF"/>
                <w:sz w:val="16"/>
                <w:szCs w:val="16"/>
                <w:lang w:eastAsia="es-MX"/>
              </w:rPr>
            </w:pPr>
            <w:r w:rsidRPr="00142E77">
              <w:rPr>
                <w:rFonts w:ascii="Century Gothic" w:eastAsia="Times New Roman" w:hAnsi="Century Gothic" w:cs="Calibri"/>
                <w:color w:val="FFFFFF"/>
                <w:sz w:val="16"/>
                <w:szCs w:val="16"/>
                <w:lang w:eastAsia="es-MX"/>
              </w:rPr>
              <w:t>Tasa de imputación (</w:t>
            </w:r>
            <w:proofErr w:type="spellStart"/>
            <w:r w:rsidRPr="00142E77">
              <w:rPr>
                <w:rFonts w:ascii="Century Gothic" w:eastAsia="Times New Roman" w:hAnsi="Century Gothic" w:cs="Calibri"/>
                <w:color w:val="FFFFFF"/>
                <w:sz w:val="16"/>
                <w:szCs w:val="16"/>
                <w:lang w:eastAsia="es-MX"/>
              </w:rPr>
              <w:t>ponderada</w:t>
            </w:r>
            <w:proofErr w:type="spellEnd"/>
            <w:r w:rsidRPr="00142E77">
              <w:rPr>
                <w:rFonts w:ascii="Century Gothic" w:eastAsia="Times New Roman" w:hAnsi="Century Gothic" w:cs="Calibri"/>
                <w:color w:val="FFFFFF"/>
                <w:sz w:val="16"/>
                <w:szCs w:val="16"/>
                <w:lang w:eastAsia="es-MX"/>
              </w:rPr>
              <w:t>)</w:t>
            </w:r>
          </w:p>
        </w:tc>
      </w:tr>
      <w:tr w:rsidR="00886D18" w:rsidRPr="0095149B" w14:paraId="43A67E2F" w14:textId="77777777" w:rsidTr="00EF2651">
        <w:trPr>
          <w:tblHeader/>
          <w:jc w:val="center"/>
        </w:trPr>
        <w:tc>
          <w:tcPr>
            <w:tcW w:w="1798" w:type="dxa"/>
            <w:vMerge/>
            <w:shd w:val="clear" w:color="auto" w:fill="1F3864"/>
            <w:vAlign w:val="center"/>
          </w:tcPr>
          <w:p w14:paraId="65A5C2F0" w14:textId="77777777" w:rsidR="00886D18" w:rsidRPr="00142E77" w:rsidRDefault="00886D18" w:rsidP="00EF2651">
            <w:pPr>
              <w:spacing w:before="40" w:after="40"/>
              <w:jc w:val="center"/>
              <w:rPr>
                <w:rFonts w:ascii="Century Gothic" w:hAnsi="Century Gothic" w:cstheme="majorHAnsi"/>
                <w:b/>
                <w:sz w:val="16"/>
                <w:szCs w:val="16"/>
              </w:rPr>
            </w:pPr>
          </w:p>
        </w:tc>
        <w:tc>
          <w:tcPr>
            <w:tcW w:w="1798" w:type="dxa"/>
            <w:shd w:val="clear" w:color="auto" w:fill="1F3864"/>
            <w:vAlign w:val="center"/>
          </w:tcPr>
          <w:p w14:paraId="23344C4D" w14:textId="77777777" w:rsidR="00886D18" w:rsidRPr="00142E77" w:rsidRDefault="00886D18" w:rsidP="00EF2651">
            <w:pPr>
              <w:spacing w:before="40" w:after="40"/>
              <w:jc w:val="center"/>
              <w:rPr>
                <w:rFonts w:ascii="Century Gothic" w:hAnsi="Century Gothic" w:cstheme="majorHAnsi"/>
                <w:b/>
                <w:sz w:val="16"/>
                <w:szCs w:val="16"/>
              </w:rPr>
            </w:pPr>
            <w:r w:rsidRPr="00142E77">
              <w:rPr>
                <w:rFonts w:ascii="Century Gothic" w:eastAsia="Times New Roman" w:hAnsi="Century Gothic" w:cs="Calibri"/>
                <w:color w:val="FFFFFF"/>
                <w:sz w:val="16"/>
                <w:szCs w:val="16"/>
                <w:lang w:eastAsia="es-MX"/>
              </w:rPr>
              <w:t>2019</w:t>
            </w:r>
          </w:p>
        </w:tc>
        <w:tc>
          <w:tcPr>
            <w:tcW w:w="1798" w:type="dxa"/>
            <w:shd w:val="clear" w:color="auto" w:fill="1F3864"/>
            <w:vAlign w:val="center"/>
          </w:tcPr>
          <w:p w14:paraId="285FFB05" w14:textId="77777777" w:rsidR="00886D18" w:rsidRPr="00142E77" w:rsidRDefault="00886D18" w:rsidP="00EF2651">
            <w:pPr>
              <w:spacing w:before="40" w:after="40"/>
              <w:jc w:val="center"/>
              <w:rPr>
                <w:rFonts w:ascii="Century Gothic" w:hAnsi="Century Gothic" w:cstheme="majorHAnsi"/>
                <w:b/>
                <w:sz w:val="16"/>
                <w:szCs w:val="16"/>
              </w:rPr>
            </w:pPr>
            <w:r w:rsidRPr="00142E77">
              <w:rPr>
                <w:rFonts w:ascii="Century Gothic" w:eastAsia="Times New Roman" w:hAnsi="Century Gothic" w:cs="Calibri"/>
                <w:color w:val="FFFFFF"/>
                <w:sz w:val="16"/>
                <w:szCs w:val="16"/>
                <w:lang w:eastAsia="es-MX"/>
              </w:rPr>
              <w:t>2020</w:t>
            </w:r>
          </w:p>
        </w:tc>
        <w:tc>
          <w:tcPr>
            <w:tcW w:w="1798" w:type="dxa"/>
            <w:shd w:val="clear" w:color="auto" w:fill="1F3864"/>
            <w:vAlign w:val="center"/>
          </w:tcPr>
          <w:p w14:paraId="052DA884" w14:textId="77777777" w:rsidR="00886D18" w:rsidRPr="00142E77" w:rsidRDefault="00886D18" w:rsidP="00EF2651">
            <w:pPr>
              <w:spacing w:before="40" w:after="40"/>
              <w:jc w:val="center"/>
              <w:rPr>
                <w:rFonts w:ascii="Century Gothic" w:hAnsi="Century Gothic" w:cstheme="majorHAnsi"/>
                <w:b/>
                <w:sz w:val="16"/>
                <w:szCs w:val="16"/>
              </w:rPr>
            </w:pPr>
            <w:r w:rsidRPr="00142E77">
              <w:rPr>
                <w:rFonts w:ascii="Century Gothic" w:eastAsia="Times New Roman" w:hAnsi="Century Gothic" w:cs="Calibri"/>
                <w:color w:val="FFFFFF"/>
                <w:sz w:val="16"/>
                <w:szCs w:val="16"/>
                <w:lang w:eastAsia="es-MX"/>
              </w:rPr>
              <w:t>2021</w:t>
            </w:r>
          </w:p>
        </w:tc>
      </w:tr>
      <w:tr w:rsidR="00886D18" w:rsidRPr="0095149B" w14:paraId="3DDBDE22" w14:textId="77777777" w:rsidTr="00EF2651">
        <w:trPr>
          <w:jc w:val="center"/>
        </w:trPr>
        <w:tc>
          <w:tcPr>
            <w:tcW w:w="1798" w:type="dxa"/>
            <w:shd w:val="clear" w:color="auto" w:fill="FFFFFF" w:themeFill="background1"/>
          </w:tcPr>
          <w:p w14:paraId="6543ADAF" w14:textId="77777777" w:rsidR="00886D18" w:rsidRPr="00142E77" w:rsidRDefault="00886D18" w:rsidP="00EF2651">
            <w:pPr>
              <w:spacing w:before="40" w:after="40"/>
              <w:jc w:val="center"/>
              <w:rPr>
                <w:rFonts w:ascii="Century Gothic" w:hAnsi="Century Gothic" w:cstheme="majorHAnsi"/>
                <w:b/>
                <w:sz w:val="16"/>
                <w:szCs w:val="16"/>
              </w:rPr>
            </w:pPr>
            <w:r w:rsidRPr="00142E77">
              <w:rPr>
                <w:rFonts w:ascii="Century Gothic" w:hAnsi="Century Gothic"/>
                <w:sz w:val="16"/>
                <w:szCs w:val="16"/>
              </w:rPr>
              <w:t>EAC</w:t>
            </w:r>
          </w:p>
        </w:tc>
        <w:tc>
          <w:tcPr>
            <w:tcW w:w="1798" w:type="dxa"/>
            <w:shd w:val="clear" w:color="auto" w:fill="FFFFFF" w:themeFill="background1"/>
          </w:tcPr>
          <w:p w14:paraId="706AFFE4"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nr</w:t>
            </w:r>
          </w:p>
        </w:tc>
        <w:tc>
          <w:tcPr>
            <w:tcW w:w="1798" w:type="dxa"/>
            <w:shd w:val="clear" w:color="auto" w:fill="FFFFFF" w:themeFill="background1"/>
          </w:tcPr>
          <w:p w14:paraId="53E7CE8E"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nr</w:t>
            </w:r>
          </w:p>
        </w:tc>
        <w:tc>
          <w:tcPr>
            <w:tcW w:w="1798" w:type="dxa"/>
            <w:shd w:val="clear" w:color="auto" w:fill="FFFFFF" w:themeFill="background1"/>
          </w:tcPr>
          <w:p w14:paraId="7EEBF9D2"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22%</w:t>
            </w:r>
          </w:p>
        </w:tc>
      </w:tr>
      <w:tr w:rsidR="00886D18" w:rsidRPr="0095149B" w14:paraId="21617593" w14:textId="77777777" w:rsidTr="00EF2651">
        <w:trPr>
          <w:jc w:val="center"/>
        </w:trPr>
        <w:tc>
          <w:tcPr>
            <w:tcW w:w="1798" w:type="dxa"/>
            <w:shd w:val="clear" w:color="auto" w:fill="FFFFFF" w:themeFill="background1"/>
          </w:tcPr>
          <w:p w14:paraId="36E5871C" w14:textId="77777777" w:rsidR="00886D18" w:rsidRPr="00142E77" w:rsidRDefault="00886D18" w:rsidP="00EF2651">
            <w:pPr>
              <w:spacing w:before="40" w:after="40"/>
              <w:jc w:val="center"/>
              <w:rPr>
                <w:rFonts w:ascii="Century Gothic" w:hAnsi="Century Gothic" w:cstheme="majorHAnsi"/>
                <w:b/>
                <w:sz w:val="16"/>
                <w:szCs w:val="16"/>
              </w:rPr>
            </w:pPr>
            <w:r w:rsidRPr="00142E77">
              <w:rPr>
                <w:rFonts w:ascii="Century Gothic" w:hAnsi="Century Gothic"/>
                <w:sz w:val="16"/>
                <w:szCs w:val="16"/>
              </w:rPr>
              <w:t>EASPNF</w:t>
            </w:r>
          </w:p>
        </w:tc>
        <w:tc>
          <w:tcPr>
            <w:tcW w:w="1798" w:type="dxa"/>
            <w:shd w:val="clear" w:color="auto" w:fill="FFFFFF" w:themeFill="background1"/>
          </w:tcPr>
          <w:p w14:paraId="1E7CFEF6"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nr</w:t>
            </w:r>
          </w:p>
        </w:tc>
        <w:tc>
          <w:tcPr>
            <w:tcW w:w="1798" w:type="dxa"/>
            <w:shd w:val="clear" w:color="auto" w:fill="FFFFFF" w:themeFill="background1"/>
          </w:tcPr>
          <w:p w14:paraId="3C4DE947"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nr</w:t>
            </w:r>
          </w:p>
        </w:tc>
        <w:tc>
          <w:tcPr>
            <w:tcW w:w="1798" w:type="dxa"/>
            <w:shd w:val="clear" w:color="auto" w:fill="FFFFFF" w:themeFill="background1"/>
          </w:tcPr>
          <w:p w14:paraId="13FB0E54"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25%</w:t>
            </w:r>
          </w:p>
        </w:tc>
      </w:tr>
      <w:tr w:rsidR="00886D18" w:rsidRPr="0095149B" w14:paraId="76AFA034" w14:textId="77777777" w:rsidTr="00EF2651">
        <w:trPr>
          <w:jc w:val="center"/>
        </w:trPr>
        <w:tc>
          <w:tcPr>
            <w:tcW w:w="1798" w:type="dxa"/>
            <w:shd w:val="clear" w:color="auto" w:fill="E2EFD9" w:themeFill="accent6" w:themeFillTint="33"/>
          </w:tcPr>
          <w:p w14:paraId="32E83FB3" w14:textId="77777777" w:rsidR="00886D18" w:rsidRPr="00142E77" w:rsidRDefault="00886D18" w:rsidP="00EF2651">
            <w:pPr>
              <w:spacing w:before="40" w:after="40"/>
              <w:jc w:val="center"/>
              <w:rPr>
                <w:rFonts w:ascii="Century Gothic" w:hAnsi="Century Gothic" w:cstheme="majorHAnsi"/>
                <w:b/>
                <w:sz w:val="16"/>
                <w:szCs w:val="16"/>
              </w:rPr>
            </w:pPr>
            <w:r w:rsidRPr="00142E77">
              <w:rPr>
                <w:rFonts w:ascii="Century Gothic" w:hAnsi="Century Gothic"/>
                <w:sz w:val="16"/>
                <w:szCs w:val="16"/>
              </w:rPr>
              <w:t>EAT</w:t>
            </w:r>
          </w:p>
        </w:tc>
        <w:tc>
          <w:tcPr>
            <w:tcW w:w="1798" w:type="dxa"/>
            <w:shd w:val="clear" w:color="auto" w:fill="E2EFD9" w:themeFill="accent6" w:themeFillTint="33"/>
          </w:tcPr>
          <w:p w14:paraId="12E091D1"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nr</w:t>
            </w:r>
          </w:p>
        </w:tc>
        <w:tc>
          <w:tcPr>
            <w:tcW w:w="1798" w:type="dxa"/>
            <w:shd w:val="clear" w:color="auto" w:fill="E2EFD9" w:themeFill="accent6" w:themeFillTint="33"/>
          </w:tcPr>
          <w:p w14:paraId="4C46C5F5"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nr</w:t>
            </w:r>
          </w:p>
        </w:tc>
        <w:tc>
          <w:tcPr>
            <w:tcW w:w="1798" w:type="dxa"/>
            <w:shd w:val="clear" w:color="auto" w:fill="E2EFD9" w:themeFill="accent6" w:themeFillTint="33"/>
          </w:tcPr>
          <w:p w14:paraId="52252956"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39%</w:t>
            </w:r>
          </w:p>
        </w:tc>
      </w:tr>
      <w:tr w:rsidR="00886D18" w:rsidRPr="0095149B" w14:paraId="299235FD" w14:textId="77777777" w:rsidTr="00EF2651">
        <w:trPr>
          <w:jc w:val="center"/>
        </w:trPr>
        <w:tc>
          <w:tcPr>
            <w:tcW w:w="1798" w:type="dxa"/>
            <w:shd w:val="clear" w:color="auto" w:fill="E2EFD9" w:themeFill="accent6" w:themeFillTint="33"/>
          </w:tcPr>
          <w:p w14:paraId="4AA1F489" w14:textId="77777777" w:rsidR="00886D18" w:rsidRPr="00142E77" w:rsidRDefault="00886D18" w:rsidP="00EF2651">
            <w:pPr>
              <w:spacing w:before="40" w:after="40"/>
              <w:jc w:val="center"/>
              <w:rPr>
                <w:rFonts w:ascii="Century Gothic" w:hAnsi="Century Gothic" w:cstheme="majorHAnsi"/>
                <w:b/>
                <w:sz w:val="16"/>
                <w:szCs w:val="16"/>
              </w:rPr>
            </w:pPr>
            <w:r w:rsidRPr="00142E77">
              <w:rPr>
                <w:rFonts w:ascii="Century Gothic" w:hAnsi="Century Gothic"/>
                <w:sz w:val="16"/>
                <w:szCs w:val="16"/>
              </w:rPr>
              <w:t>EMIM</w:t>
            </w:r>
          </w:p>
        </w:tc>
        <w:tc>
          <w:tcPr>
            <w:tcW w:w="1798" w:type="dxa"/>
            <w:shd w:val="clear" w:color="auto" w:fill="E2EFD9" w:themeFill="accent6" w:themeFillTint="33"/>
          </w:tcPr>
          <w:p w14:paraId="422EF92C"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5%</w:t>
            </w:r>
          </w:p>
        </w:tc>
        <w:tc>
          <w:tcPr>
            <w:tcW w:w="1798" w:type="dxa"/>
            <w:shd w:val="clear" w:color="auto" w:fill="E2EFD9" w:themeFill="accent6" w:themeFillTint="33"/>
          </w:tcPr>
          <w:p w14:paraId="1F19D8D0"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15%</w:t>
            </w:r>
          </w:p>
        </w:tc>
        <w:tc>
          <w:tcPr>
            <w:tcW w:w="1798" w:type="dxa"/>
            <w:shd w:val="clear" w:color="auto" w:fill="E2EFD9" w:themeFill="accent6" w:themeFillTint="33"/>
          </w:tcPr>
          <w:p w14:paraId="3D9F7682"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15%</w:t>
            </w:r>
          </w:p>
        </w:tc>
      </w:tr>
      <w:tr w:rsidR="00886D18" w:rsidRPr="0095149B" w14:paraId="4557E918" w14:textId="77777777" w:rsidTr="00EF2651">
        <w:trPr>
          <w:jc w:val="center"/>
        </w:trPr>
        <w:tc>
          <w:tcPr>
            <w:tcW w:w="1798" w:type="dxa"/>
            <w:shd w:val="clear" w:color="auto" w:fill="FFFFFF" w:themeFill="background1"/>
          </w:tcPr>
          <w:p w14:paraId="692DFFCD" w14:textId="77777777" w:rsidR="00886D18" w:rsidRPr="00142E77" w:rsidRDefault="00886D18" w:rsidP="00EF2651">
            <w:pPr>
              <w:spacing w:before="40" w:after="40"/>
              <w:jc w:val="center"/>
              <w:rPr>
                <w:rFonts w:ascii="Century Gothic" w:hAnsi="Century Gothic" w:cstheme="majorHAnsi"/>
                <w:b/>
                <w:sz w:val="16"/>
                <w:szCs w:val="16"/>
              </w:rPr>
            </w:pPr>
            <w:r w:rsidRPr="00142E77">
              <w:rPr>
                <w:rFonts w:ascii="Century Gothic" w:hAnsi="Century Gothic"/>
                <w:sz w:val="16"/>
                <w:szCs w:val="16"/>
              </w:rPr>
              <w:t>EMEC</w:t>
            </w:r>
          </w:p>
        </w:tc>
        <w:tc>
          <w:tcPr>
            <w:tcW w:w="1798" w:type="dxa"/>
            <w:shd w:val="clear" w:color="auto" w:fill="FFFFFF" w:themeFill="background1"/>
          </w:tcPr>
          <w:p w14:paraId="24BB53F6"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6%</w:t>
            </w:r>
          </w:p>
        </w:tc>
        <w:tc>
          <w:tcPr>
            <w:tcW w:w="1798" w:type="dxa"/>
            <w:shd w:val="clear" w:color="auto" w:fill="FFFFFF" w:themeFill="background1"/>
          </w:tcPr>
          <w:p w14:paraId="4190BAD7"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22%</w:t>
            </w:r>
          </w:p>
        </w:tc>
        <w:tc>
          <w:tcPr>
            <w:tcW w:w="1798" w:type="dxa"/>
            <w:shd w:val="clear" w:color="auto" w:fill="FFFFFF" w:themeFill="background1"/>
          </w:tcPr>
          <w:p w14:paraId="685CA5F7"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23%</w:t>
            </w:r>
          </w:p>
        </w:tc>
      </w:tr>
      <w:tr w:rsidR="00886D18" w:rsidRPr="0095149B" w14:paraId="21FDEF20" w14:textId="77777777" w:rsidTr="00EF2651">
        <w:trPr>
          <w:jc w:val="center"/>
        </w:trPr>
        <w:tc>
          <w:tcPr>
            <w:tcW w:w="1798" w:type="dxa"/>
            <w:shd w:val="clear" w:color="auto" w:fill="FFFFFF" w:themeFill="background1"/>
          </w:tcPr>
          <w:p w14:paraId="58961AEE" w14:textId="77777777" w:rsidR="00886D18" w:rsidRPr="00142E77" w:rsidRDefault="00886D18" w:rsidP="00EF2651">
            <w:pPr>
              <w:spacing w:before="40" w:after="40"/>
              <w:jc w:val="center"/>
              <w:rPr>
                <w:rFonts w:ascii="Century Gothic" w:hAnsi="Century Gothic" w:cstheme="majorHAnsi"/>
                <w:b/>
                <w:sz w:val="16"/>
                <w:szCs w:val="16"/>
              </w:rPr>
            </w:pPr>
            <w:r w:rsidRPr="00142E77">
              <w:rPr>
                <w:rFonts w:ascii="Century Gothic" w:hAnsi="Century Gothic"/>
                <w:sz w:val="16"/>
                <w:szCs w:val="16"/>
              </w:rPr>
              <w:t>EMS</w:t>
            </w:r>
          </w:p>
        </w:tc>
        <w:tc>
          <w:tcPr>
            <w:tcW w:w="1798" w:type="dxa"/>
            <w:shd w:val="clear" w:color="auto" w:fill="FFFFFF" w:themeFill="background1"/>
          </w:tcPr>
          <w:p w14:paraId="1193F4CE"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9%</w:t>
            </w:r>
          </w:p>
        </w:tc>
        <w:tc>
          <w:tcPr>
            <w:tcW w:w="1798" w:type="dxa"/>
            <w:shd w:val="clear" w:color="auto" w:fill="FFFFFF" w:themeFill="background1"/>
          </w:tcPr>
          <w:p w14:paraId="74233C3A"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31%</w:t>
            </w:r>
          </w:p>
        </w:tc>
        <w:tc>
          <w:tcPr>
            <w:tcW w:w="1798" w:type="dxa"/>
            <w:shd w:val="clear" w:color="auto" w:fill="FFFFFF" w:themeFill="background1"/>
          </w:tcPr>
          <w:p w14:paraId="06CA8285"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33%</w:t>
            </w:r>
          </w:p>
        </w:tc>
      </w:tr>
      <w:tr w:rsidR="00886D18" w:rsidRPr="0095149B" w14:paraId="28D2F1CD" w14:textId="77777777" w:rsidTr="00EF2651">
        <w:trPr>
          <w:jc w:val="center"/>
        </w:trPr>
        <w:tc>
          <w:tcPr>
            <w:tcW w:w="1798" w:type="dxa"/>
            <w:shd w:val="clear" w:color="auto" w:fill="E2EFD9" w:themeFill="accent6" w:themeFillTint="33"/>
          </w:tcPr>
          <w:p w14:paraId="25CB6B0E" w14:textId="77777777" w:rsidR="00886D18" w:rsidRPr="00142E77" w:rsidRDefault="00886D18" w:rsidP="00EF2651">
            <w:pPr>
              <w:spacing w:before="40" w:after="40"/>
              <w:jc w:val="center"/>
              <w:rPr>
                <w:rFonts w:ascii="Century Gothic" w:hAnsi="Century Gothic"/>
                <w:sz w:val="16"/>
                <w:szCs w:val="16"/>
              </w:rPr>
            </w:pPr>
            <w:r>
              <w:rPr>
                <w:rFonts w:ascii="Century Gothic" w:hAnsi="Century Gothic"/>
                <w:sz w:val="16"/>
                <w:szCs w:val="16"/>
              </w:rPr>
              <w:t>EMOE</w:t>
            </w:r>
          </w:p>
        </w:tc>
        <w:tc>
          <w:tcPr>
            <w:tcW w:w="1798" w:type="dxa"/>
            <w:shd w:val="clear" w:color="auto" w:fill="E2EFD9" w:themeFill="accent6" w:themeFillTint="33"/>
          </w:tcPr>
          <w:p w14:paraId="07D6B60E" w14:textId="77777777" w:rsidR="00886D18" w:rsidRPr="00852902" w:rsidRDefault="00886D18" w:rsidP="00EF2651">
            <w:pPr>
              <w:spacing w:before="40" w:after="40"/>
              <w:jc w:val="center"/>
              <w:rPr>
                <w:rFonts w:ascii="Century Gothic" w:hAnsi="Century Gothic"/>
                <w:sz w:val="16"/>
                <w:szCs w:val="16"/>
              </w:rPr>
            </w:pPr>
            <w:r>
              <w:rPr>
                <w:rFonts w:ascii="Century Gothic" w:hAnsi="Century Gothic"/>
                <w:sz w:val="16"/>
                <w:szCs w:val="16"/>
              </w:rPr>
              <w:t>16%</w:t>
            </w:r>
          </w:p>
        </w:tc>
        <w:tc>
          <w:tcPr>
            <w:tcW w:w="1798" w:type="dxa"/>
            <w:shd w:val="clear" w:color="auto" w:fill="E2EFD9" w:themeFill="accent6" w:themeFillTint="33"/>
          </w:tcPr>
          <w:p w14:paraId="5312F2E1" w14:textId="77777777" w:rsidR="00886D18" w:rsidRPr="00852902" w:rsidRDefault="00886D18" w:rsidP="00EF2651">
            <w:pPr>
              <w:spacing w:before="40" w:after="40"/>
              <w:jc w:val="center"/>
              <w:rPr>
                <w:rFonts w:ascii="Century Gothic" w:hAnsi="Century Gothic"/>
                <w:sz w:val="16"/>
                <w:szCs w:val="16"/>
              </w:rPr>
            </w:pPr>
            <w:r>
              <w:rPr>
                <w:rFonts w:ascii="Century Gothic" w:hAnsi="Century Gothic"/>
                <w:sz w:val="16"/>
                <w:szCs w:val="16"/>
              </w:rPr>
              <w:t>16%</w:t>
            </w:r>
          </w:p>
        </w:tc>
        <w:tc>
          <w:tcPr>
            <w:tcW w:w="1798" w:type="dxa"/>
            <w:shd w:val="clear" w:color="auto" w:fill="E2EFD9" w:themeFill="accent6" w:themeFillTint="33"/>
          </w:tcPr>
          <w:p w14:paraId="18FC79A2" w14:textId="77777777" w:rsidR="00886D18" w:rsidRPr="00852902" w:rsidDel="00D041A9" w:rsidRDefault="00886D18" w:rsidP="00EF2651">
            <w:pPr>
              <w:spacing w:before="40" w:after="40"/>
              <w:jc w:val="center"/>
              <w:rPr>
                <w:rFonts w:ascii="Century Gothic" w:hAnsi="Century Gothic"/>
                <w:sz w:val="16"/>
                <w:szCs w:val="16"/>
              </w:rPr>
            </w:pPr>
            <w:r>
              <w:rPr>
                <w:rFonts w:ascii="Century Gothic" w:hAnsi="Century Gothic"/>
                <w:sz w:val="16"/>
                <w:szCs w:val="16"/>
              </w:rPr>
              <w:t>16&amp;</w:t>
            </w:r>
          </w:p>
        </w:tc>
      </w:tr>
      <w:tr w:rsidR="00886D18" w:rsidRPr="0095149B" w14:paraId="64ABD5AE" w14:textId="77777777" w:rsidTr="00EF2651">
        <w:trPr>
          <w:jc w:val="center"/>
        </w:trPr>
        <w:tc>
          <w:tcPr>
            <w:tcW w:w="1798" w:type="dxa"/>
            <w:shd w:val="clear" w:color="auto" w:fill="E2EFD9" w:themeFill="accent6" w:themeFillTint="33"/>
          </w:tcPr>
          <w:p w14:paraId="3F9316EC" w14:textId="77777777" w:rsidR="00886D18" w:rsidRPr="00142E77" w:rsidRDefault="00886D18" w:rsidP="00EF2651">
            <w:pPr>
              <w:spacing w:before="40" w:after="40"/>
              <w:jc w:val="center"/>
              <w:rPr>
                <w:rFonts w:ascii="Century Gothic" w:hAnsi="Century Gothic" w:cstheme="majorHAnsi"/>
                <w:b/>
                <w:sz w:val="16"/>
                <w:szCs w:val="16"/>
              </w:rPr>
            </w:pPr>
            <w:r w:rsidRPr="00142E77">
              <w:rPr>
                <w:rFonts w:ascii="Century Gothic" w:hAnsi="Century Gothic"/>
                <w:sz w:val="16"/>
                <w:szCs w:val="16"/>
              </w:rPr>
              <w:lastRenderedPageBreak/>
              <w:t>EMOE MAN</w:t>
            </w:r>
          </w:p>
        </w:tc>
        <w:tc>
          <w:tcPr>
            <w:tcW w:w="1798" w:type="dxa"/>
            <w:shd w:val="clear" w:color="auto" w:fill="E2EFD9" w:themeFill="accent6" w:themeFillTint="33"/>
          </w:tcPr>
          <w:p w14:paraId="08E32039"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nr</w:t>
            </w:r>
          </w:p>
        </w:tc>
        <w:tc>
          <w:tcPr>
            <w:tcW w:w="1798" w:type="dxa"/>
            <w:shd w:val="clear" w:color="auto" w:fill="E2EFD9" w:themeFill="accent6" w:themeFillTint="33"/>
          </w:tcPr>
          <w:p w14:paraId="0C57DEEF"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8%</w:t>
            </w:r>
          </w:p>
        </w:tc>
        <w:tc>
          <w:tcPr>
            <w:tcW w:w="1798" w:type="dxa"/>
            <w:shd w:val="clear" w:color="auto" w:fill="E2EFD9" w:themeFill="accent6" w:themeFillTint="33"/>
          </w:tcPr>
          <w:p w14:paraId="22104174" w14:textId="77777777" w:rsidR="00886D18" w:rsidRPr="00142E77" w:rsidRDefault="00886D18" w:rsidP="00EF2651">
            <w:pPr>
              <w:spacing w:before="40" w:after="40"/>
              <w:jc w:val="center"/>
              <w:rPr>
                <w:rFonts w:ascii="Century Gothic" w:hAnsi="Century Gothic" w:cstheme="majorHAnsi"/>
                <w:b/>
                <w:sz w:val="16"/>
                <w:szCs w:val="16"/>
              </w:rPr>
            </w:pPr>
            <w:r w:rsidRPr="00852902">
              <w:rPr>
                <w:rFonts w:ascii="Century Gothic" w:hAnsi="Century Gothic"/>
                <w:sz w:val="16"/>
                <w:szCs w:val="16"/>
              </w:rPr>
              <w:t>9%</w:t>
            </w:r>
          </w:p>
        </w:tc>
      </w:tr>
      <w:tr w:rsidR="00886D18" w:rsidRPr="0095149B" w14:paraId="07D2A97F" w14:textId="77777777" w:rsidTr="00EF2651">
        <w:trPr>
          <w:jc w:val="center"/>
        </w:trPr>
        <w:tc>
          <w:tcPr>
            <w:tcW w:w="1798" w:type="dxa"/>
            <w:shd w:val="clear" w:color="auto" w:fill="E2EFD9" w:themeFill="accent6" w:themeFillTint="33"/>
          </w:tcPr>
          <w:p w14:paraId="2F316C8C" w14:textId="77777777" w:rsidR="00886D18" w:rsidRPr="00142E77" w:rsidRDefault="00886D18" w:rsidP="00EF2651">
            <w:pPr>
              <w:spacing w:before="40" w:after="40"/>
              <w:jc w:val="center"/>
              <w:rPr>
                <w:rFonts w:ascii="Century Gothic" w:hAnsi="Century Gothic"/>
                <w:sz w:val="16"/>
                <w:szCs w:val="16"/>
              </w:rPr>
            </w:pPr>
            <w:r w:rsidRPr="00142E77">
              <w:rPr>
                <w:rFonts w:ascii="Century Gothic" w:hAnsi="Century Gothic"/>
                <w:sz w:val="16"/>
                <w:szCs w:val="16"/>
              </w:rPr>
              <w:t>EMOE CONS</w:t>
            </w:r>
          </w:p>
        </w:tc>
        <w:tc>
          <w:tcPr>
            <w:tcW w:w="1798" w:type="dxa"/>
            <w:shd w:val="clear" w:color="auto" w:fill="E2EFD9" w:themeFill="accent6" w:themeFillTint="33"/>
          </w:tcPr>
          <w:p w14:paraId="161E05C3" w14:textId="77777777" w:rsidR="00886D18" w:rsidRPr="00142E77" w:rsidRDefault="00886D18" w:rsidP="00EF2651">
            <w:pPr>
              <w:spacing w:before="40" w:after="40"/>
              <w:jc w:val="center"/>
              <w:rPr>
                <w:rFonts w:ascii="Century Gothic" w:hAnsi="Century Gothic"/>
                <w:sz w:val="16"/>
                <w:szCs w:val="16"/>
              </w:rPr>
            </w:pPr>
            <w:r w:rsidRPr="00852902">
              <w:rPr>
                <w:rFonts w:ascii="Century Gothic" w:hAnsi="Century Gothic"/>
                <w:sz w:val="16"/>
                <w:szCs w:val="16"/>
              </w:rPr>
              <w:t>nr</w:t>
            </w:r>
          </w:p>
        </w:tc>
        <w:tc>
          <w:tcPr>
            <w:tcW w:w="1798" w:type="dxa"/>
            <w:shd w:val="clear" w:color="auto" w:fill="E2EFD9" w:themeFill="accent6" w:themeFillTint="33"/>
          </w:tcPr>
          <w:p w14:paraId="18CFC795" w14:textId="77777777" w:rsidR="00886D18" w:rsidRPr="00142E77" w:rsidRDefault="00886D18" w:rsidP="00EF2651">
            <w:pPr>
              <w:spacing w:before="40" w:after="40"/>
              <w:jc w:val="center"/>
              <w:rPr>
                <w:rFonts w:ascii="Century Gothic" w:hAnsi="Century Gothic"/>
                <w:sz w:val="16"/>
                <w:szCs w:val="16"/>
              </w:rPr>
            </w:pPr>
            <w:r w:rsidRPr="00852902">
              <w:rPr>
                <w:rFonts w:ascii="Century Gothic" w:hAnsi="Century Gothic"/>
                <w:sz w:val="16"/>
                <w:szCs w:val="16"/>
              </w:rPr>
              <w:t>20%</w:t>
            </w:r>
          </w:p>
        </w:tc>
        <w:tc>
          <w:tcPr>
            <w:tcW w:w="1798" w:type="dxa"/>
            <w:shd w:val="clear" w:color="auto" w:fill="E2EFD9" w:themeFill="accent6" w:themeFillTint="33"/>
          </w:tcPr>
          <w:p w14:paraId="76286C61" w14:textId="77777777" w:rsidR="00886D18" w:rsidRPr="00142E77" w:rsidRDefault="00886D18" w:rsidP="00EF2651">
            <w:pPr>
              <w:spacing w:before="40" w:after="40"/>
              <w:jc w:val="center"/>
              <w:rPr>
                <w:rFonts w:ascii="Century Gothic" w:hAnsi="Century Gothic"/>
                <w:sz w:val="16"/>
                <w:szCs w:val="16"/>
              </w:rPr>
            </w:pPr>
            <w:r w:rsidRPr="00852902">
              <w:rPr>
                <w:rFonts w:ascii="Century Gothic" w:hAnsi="Century Gothic"/>
                <w:sz w:val="16"/>
                <w:szCs w:val="16"/>
              </w:rPr>
              <w:t>22%</w:t>
            </w:r>
          </w:p>
        </w:tc>
      </w:tr>
      <w:tr w:rsidR="00886D18" w:rsidRPr="0095149B" w14:paraId="588ECD1F" w14:textId="77777777" w:rsidTr="00EF2651">
        <w:trPr>
          <w:jc w:val="center"/>
        </w:trPr>
        <w:tc>
          <w:tcPr>
            <w:tcW w:w="1798" w:type="dxa"/>
            <w:shd w:val="clear" w:color="auto" w:fill="FFFFFF" w:themeFill="background1"/>
          </w:tcPr>
          <w:p w14:paraId="37BD221D" w14:textId="77777777" w:rsidR="00886D18" w:rsidRPr="00142E77" w:rsidRDefault="00886D18" w:rsidP="00EF2651">
            <w:pPr>
              <w:spacing w:before="40" w:after="40"/>
              <w:jc w:val="center"/>
              <w:rPr>
                <w:rFonts w:ascii="Century Gothic" w:hAnsi="Century Gothic"/>
                <w:sz w:val="16"/>
                <w:szCs w:val="16"/>
              </w:rPr>
            </w:pPr>
            <w:r w:rsidRPr="00142E77">
              <w:rPr>
                <w:rFonts w:ascii="Century Gothic" w:hAnsi="Century Gothic"/>
                <w:sz w:val="16"/>
                <w:szCs w:val="16"/>
              </w:rPr>
              <w:t>EMOE COM</w:t>
            </w:r>
          </w:p>
        </w:tc>
        <w:tc>
          <w:tcPr>
            <w:tcW w:w="1798" w:type="dxa"/>
            <w:shd w:val="clear" w:color="auto" w:fill="FFFFFF" w:themeFill="background1"/>
          </w:tcPr>
          <w:p w14:paraId="6DD2761E" w14:textId="77777777" w:rsidR="00886D18" w:rsidRPr="00142E77" w:rsidRDefault="00886D18" w:rsidP="00EF2651">
            <w:pPr>
              <w:spacing w:before="40" w:after="40"/>
              <w:jc w:val="center"/>
              <w:rPr>
                <w:rFonts w:ascii="Century Gothic" w:hAnsi="Century Gothic"/>
                <w:sz w:val="16"/>
                <w:szCs w:val="16"/>
              </w:rPr>
            </w:pPr>
            <w:r w:rsidRPr="00852902">
              <w:rPr>
                <w:rFonts w:ascii="Century Gothic" w:hAnsi="Century Gothic"/>
                <w:sz w:val="16"/>
                <w:szCs w:val="16"/>
              </w:rPr>
              <w:t>nr</w:t>
            </w:r>
          </w:p>
        </w:tc>
        <w:tc>
          <w:tcPr>
            <w:tcW w:w="1798" w:type="dxa"/>
            <w:shd w:val="clear" w:color="auto" w:fill="FFFFFF" w:themeFill="background1"/>
          </w:tcPr>
          <w:p w14:paraId="3E0A56F5" w14:textId="77777777" w:rsidR="00886D18" w:rsidRPr="00142E77" w:rsidRDefault="00886D18" w:rsidP="00EF2651">
            <w:pPr>
              <w:spacing w:before="40" w:after="40"/>
              <w:jc w:val="center"/>
              <w:rPr>
                <w:rFonts w:ascii="Century Gothic" w:hAnsi="Century Gothic"/>
                <w:sz w:val="16"/>
                <w:szCs w:val="16"/>
              </w:rPr>
            </w:pPr>
            <w:r w:rsidRPr="00852902">
              <w:rPr>
                <w:rFonts w:ascii="Century Gothic" w:hAnsi="Century Gothic"/>
                <w:sz w:val="16"/>
                <w:szCs w:val="16"/>
              </w:rPr>
              <w:t>15%</w:t>
            </w:r>
          </w:p>
        </w:tc>
        <w:tc>
          <w:tcPr>
            <w:tcW w:w="1798" w:type="dxa"/>
            <w:shd w:val="clear" w:color="auto" w:fill="FFFFFF" w:themeFill="background1"/>
          </w:tcPr>
          <w:p w14:paraId="2DB6CACC" w14:textId="77777777" w:rsidR="00886D18" w:rsidRPr="00142E77" w:rsidRDefault="00886D18" w:rsidP="00EF2651">
            <w:pPr>
              <w:spacing w:before="40" w:after="40"/>
              <w:jc w:val="center"/>
              <w:rPr>
                <w:rFonts w:ascii="Century Gothic" w:hAnsi="Century Gothic"/>
                <w:sz w:val="16"/>
                <w:szCs w:val="16"/>
              </w:rPr>
            </w:pPr>
            <w:r w:rsidRPr="00852902">
              <w:rPr>
                <w:rFonts w:ascii="Century Gothic" w:hAnsi="Century Gothic"/>
                <w:sz w:val="16"/>
                <w:szCs w:val="16"/>
              </w:rPr>
              <w:t>15%</w:t>
            </w:r>
          </w:p>
        </w:tc>
      </w:tr>
      <w:tr w:rsidR="00886D18" w:rsidRPr="0095149B" w14:paraId="2723E6A7" w14:textId="77777777" w:rsidTr="00EF2651">
        <w:trPr>
          <w:jc w:val="center"/>
        </w:trPr>
        <w:tc>
          <w:tcPr>
            <w:tcW w:w="1798" w:type="dxa"/>
            <w:shd w:val="clear" w:color="auto" w:fill="FFFFFF" w:themeFill="background1"/>
          </w:tcPr>
          <w:p w14:paraId="7960165E" w14:textId="77777777" w:rsidR="00886D18" w:rsidRPr="00142E77" w:rsidRDefault="00886D18" w:rsidP="00EF2651">
            <w:pPr>
              <w:spacing w:before="40" w:after="40"/>
              <w:jc w:val="center"/>
              <w:rPr>
                <w:rFonts w:ascii="Century Gothic" w:hAnsi="Century Gothic"/>
                <w:sz w:val="16"/>
                <w:szCs w:val="16"/>
              </w:rPr>
            </w:pPr>
            <w:r w:rsidRPr="00142E77">
              <w:rPr>
                <w:rFonts w:ascii="Century Gothic" w:hAnsi="Century Gothic"/>
                <w:sz w:val="16"/>
                <w:szCs w:val="16"/>
              </w:rPr>
              <w:t>EMOE SER</w:t>
            </w:r>
          </w:p>
        </w:tc>
        <w:tc>
          <w:tcPr>
            <w:tcW w:w="1798" w:type="dxa"/>
            <w:shd w:val="clear" w:color="auto" w:fill="FFFFFF" w:themeFill="background1"/>
          </w:tcPr>
          <w:p w14:paraId="76471ADE" w14:textId="77777777" w:rsidR="00886D18" w:rsidRPr="00142E77" w:rsidRDefault="00886D18" w:rsidP="00EF2651">
            <w:pPr>
              <w:spacing w:before="40" w:after="40"/>
              <w:jc w:val="center"/>
              <w:rPr>
                <w:rFonts w:ascii="Century Gothic" w:hAnsi="Century Gothic"/>
                <w:sz w:val="16"/>
                <w:szCs w:val="16"/>
              </w:rPr>
            </w:pPr>
            <w:r w:rsidRPr="00852902">
              <w:rPr>
                <w:rFonts w:ascii="Century Gothic" w:hAnsi="Century Gothic"/>
                <w:sz w:val="16"/>
                <w:szCs w:val="16"/>
              </w:rPr>
              <w:t>nr</w:t>
            </w:r>
          </w:p>
        </w:tc>
        <w:tc>
          <w:tcPr>
            <w:tcW w:w="1798" w:type="dxa"/>
            <w:shd w:val="clear" w:color="auto" w:fill="FFFFFF" w:themeFill="background1"/>
          </w:tcPr>
          <w:p w14:paraId="20DEA745" w14:textId="77777777" w:rsidR="00886D18" w:rsidRPr="00142E77" w:rsidRDefault="00886D18" w:rsidP="00EF2651">
            <w:pPr>
              <w:spacing w:before="40" w:after="40"/>
              <w:jc w:val="center"/>
              <w:rPr>
                <w:rFonts w:ascii="Century Gothic" w:hAnsi="Century Gothic"/>
                <w:sz w:val="16"/>
                <w:szCs w:val="16"/>
              </w:rPr>
            </w:pPr>
            <w:r w:rsidRPr="00852902">
              <w:rPr>
                <w:rFonts w:ascii="Century Gothic" w:hAnsi="Century Gothic"/>
                <w:sz w:val="16"/>
                <w:szCs w:val="16"/>
              </w:rPr>
              <w:t>25%</w:t>
            </w:r>
          </w:p>
        </w:tc>
        <w:tc>
          <w:tcPr>
            <w:tcW w:w="1798" w:type="dxa"/>
            <w:shd w:val="clear" w:color="auto" w:fill="FFFFFF" w:themeFill="background1"/>
          </w:tcPr>
          <w:p w14:paraId="18C3B5D8" w14:textId="77777777" w:rsidR="00886D18" w:rsidRPr="00142E77" w:rsidRDefault="00886D18" w:rsidP="00EF2651">
            <w:pPr>
              <w:spacing w:before="40" w:after="40"/>
              <w:jc w:val="center"/>
              <w:rPr>
                <w:rFonts w:ascii="Century Gothic" w:hAnsi="Century Gothic"/>
                <w:sz w:val="16"/>
                <w:szCs w:val="16"/>
              </w:rPr>
            </w:pPr>
            <w:r w:rsidRPr="00852902">
              <w:rPr>
                <w:rFonts w:ascii="Century Gothic" w:hAnsi="Century Gothic"/>
                <w:sz w:val="16"/>
                <w:szCs w:val="16"/>
              </w:rPr>
              <w:t>24%</w:t>
            </w:r>
          </w:p>
        </w:tc>
      </w:tr>
    </w:tbl>
    <w:p w14:paraId="27545D93" w14:textId="77777777" w:rsidR="00886D18" w:rsidRDefault="00886D18" w:rsidP="00886D18">
      <w:pPr>
        <w:spacing w:before="40" w:after="40"/>
        <w:rPr>
          <w:rFonts w:ascii="Century Gothic" w:hAnsi="Century Gothic" w:cstheme="minorHAnsi"/>
          <w:sz w:val="19"/>
          <w:szCs w:val="19"/>
        </w:rPr>
      </w:pPr>
    </w:p>
    <w:p w14:paraId="6A96A020" w14:textId="77777777" w:rsidR="00886D18" w:rsidRPr="00142E77" w:rsidRDefault="00886D18" w:rsidP="00886D18">
      <w:pPr>
        <w:spacing w:before="40" w:after="40"/>
        <w:jc w:val="both"/>
        <w:rPr>
          <w:rFonts w:ascii="Century Gothic" w:hAnsi="Century Gothic"/>
          <w:sz w:val="19"/>
          <w:szCs w:val="19"/>
        </w:rPr>
      </w:pPr>
      <w:r w:rsidRPr="00142E77">
        <w:rPr>
          <w:rFonts w:ascii="Century Gothic" w:hAnsi="Century Gothic"/>
          <w:sz w:val="19"/>
          <w:szCs w:val="19"/>
        </w:rPr>
        <w:t>El aumento de las tasas de no respuesta inició en 2020 a partir de la crisis sanitaria, ya sea por bajas debido a contagios en el personal operativo, por negativas de los informantes al estar contagiados o por cierre temporal (o permanente) de establecimientos económicos</w:t>
      </w:r>
      <w:r w:rsidRPr="00A07867">
        <w:rPr>
          <w:rFonts w:ascii="Century Gothic" w:hAnsi="Century Gothic"/>
          <w:sz w:val="19"/>
          <w:szCs w:val="19"/>
        </w:rPr>
        <w:t xml:space="preserve">. </w:t>
      </w:r>
      <w:r w:rsidRPr="00BC6E42">
        <w:rPr>
          <w:rFonts w:ascii="Century Gothic" w:hAnsi="Century Gothic"/>
          <w:sz w:val="19"/>
          <w:szCs w:val="19"/>
        </w:rPr>
        <w:t>En cualquier caso, se requieren estrategias operativas para asegurar el cumplimiento de la muestra mínima, las cuales también podrían tener implicaciones presupuestales.</w:t>
      </w:r>
      <w:r w:rsidRPr="00142E77">
        <w:rPr>
          <w:rFonts w:ascii="Century Gothic" w:hAnsi="Century Gothic"/>
          <w:sz w:val="19"/>
          <w:szCs w:val="19"/>
        </w:rPr>
        <w:t xml:space="preserve"> </w:t>
      </w:r>
    </w:p>
    <w:p w14:paraId="2F89CFA8" w14:textId="77777777" w:rsidR="00886D18" w:rsidRDefault="00886D18" w:rsidP="00886D18">
      <w:pPr>
        <w:spacing w:before="40" w:after="40"/>
        <w:rPr>
          <w:rFonts w:ascii="Century Gothic" w:hAnsi="Century Gothic" w:cstheme="minorHAnsi"/>
          <w:sz w:val="19"/>
          <w:szCs w:val="19"/>
        </w:rPr>
      </w:pPr>
    </w:p>
    <w:p w14:paraId="54F02650" w14:textId="77777777" w:rsidR="00886D18" w:rsidRPr="00142E77" w:rsidRDefault="00886D18" w:rsidP="00886D18">
      <w:pPr>
        <w:spacing w:before="40" w:after="40"/>
        <w:jc w:val="both"/>
        <w:rPr>
          <w:rFonts w:ascii="Century Gothic" w:hAnsi="Century Gothic"/>
          <w:sz w:val="19"/>
          <w:szCs w:val="19"/>
        </w:rPr>
      </w:pPr>
      <w:r w:rsidRPr="00142E77">
        <w:rPr>
          <w:rFonts w:ascii="Century Gothic" w:hAnsi="Century Gothic"/>
          <w:sz w:val="19"/>
          <w:szCs w:val="19"/>
        </w:rPr>
        <w:t>A pesar del aumento de las tasas de no respuesta y menores cumplimientos de la muestra mínima, los coeficientes de variación muestran un comportamiento estable, lo que ilustra el compromiso de las áreas productoras por mantener la calidad estadística de la información difundida.  Esto se ha logrado principalmente a través de un aumento de la información imputada y una disminución de los dominios de estudio.</w:t>
      </w:r>
    </w:p>
    <w:p w14:paraId="1BFAB371" w14:textId="77777777" w:rsidR="00886D18" w:rsidRDefault="00886D18" w:rsidP="00886D18">
      <w:pPr>
        <w:spacing w:before="40" w:after="40"/>
        <w:jc w:val="both"/>
        <w:rPr>
          <w:rFonts w:ascii="Century Gothic" w:hAnsi="Century Gothic"/>
          <w:sz w:val="19"/>
          <w:szCs w:val="19"/>
        </w:rPr>
      </w:pPr>
    </w:p>
    <w:p w14:paraId="7BC2AA7F" w14:textId="77777777" w:rsidR="00886D18" w:rsidRDefault="00886D18" w:rsidP="00886D18">
      <w:pPr>
        <w:spacing w:before="40" w:after="40"/>
        <w:jc w:val="both"/>
        <w:rPr>
          <w:rFonts w:ascii="Century Gothic" w:hAnsi="Century Gothic"/>
          <w:sz w:val="19"/>
          <w:szCs w:val="19"/>
        </w:rPr>
      </w:pPr>
      <w:r w:rsidRPr="00142E77">
        <w:rPr>
          <w:rFonts w:ascii="Century Gothic" w:hAnsi="Century Gothic"/>
          <w:sz w:val="19"/>
          <w:szCs w:val="19"/>
        </w:rPr>
        <w:t xml:space="preserve">Es necesario analizar a profundidad las causas de la no respuesta por programa, con el fin de tomar decisiones respecto a los diseños estadísticos y los procedimientos operativos, que aseguren la calidad de la información.  </w:t>
      </w:r>
    </w:p>
    <w:p w14:paraId="14DB8364" w14:textId="77777777" w:rsidR="00A67A6A" w:rsidRDefault="00A67A6A"/>
    <w:sectPr w:rsidR="00A67A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580F"/>
    <w:multiLevelType w:val="hybridMultilevel"/>
    <w:tmpl w:val="03927B4E"/>
    <w:lvl w:ilvl="0" w:tplc="E82EDD3A">
      <w:start w:val="1"/>
      <w:numFmt w:val="bullet"/>
      <w:lvlText w:val="•"/>
      <w:lvlJc w:val="left"/>
      <w:pPr>
        <w:tabs>
          <w:tab w:val="num" w:pos="720"/>
        </w:tabs>
        <w:ind w:left="720" w:hanging="360"/>
      </w:pPr>
      <w:rPr>
        <w:rFonts w:ascii="Times New Roman" w:hAnsi="Times New Roman" w:hint="default"/>
      </w:rPr>
    </w:lvl>
    <w:lvl w:ilvl="1" w:tplc="814CC6AA" w:tentative="1">
      <w:start w:val="1"/>
      <w:numFmt w:val="bullet"/>
      <w:lvlText w:val="•"/>
      <w:lvlJc w:val="left"/>
      <w:pPr>
        <w:tabs>
          <w:tab w:val="num" w:pos="1440"/>
        </w:tabs>
        <w:ind w:left="1440" w:hanging="360"/>
      </w:pPr>
      <w:rPr>
        <w:rFonts w:ascii="Times New Roman" w:hAnsi="Times New Roman" w:hint="default"/>
      </w:rPr>
    </w:lvl>
    <w:lvl w:ilvl="2" w:tplc="F0A46632" w:tentative="1">
      <w:start w:val="1"/>
      <w:numFmt w:val="bullet"/>
      <w:lvlText w:val="•"/>
      <w:lvlJc w:val="left"/>
      <w:pPr>
        <w:tabs>
          <w:tab w:val="num" w:pos="2160"/>
        </w:tabs>
        <w:ind w:left="2160" w:hanging="360"/>
      </w:pPr>
      <w:rPr>
        <w:rFonts w:ascii="Times New Roman" w:hAnsi="Times New Roman" w:hint="default"/>
      </w:rPr>
    </w:lvl>
    <w:lvl w:ilvl="3" w:tplc="F4260BB6" w:tentative="1">
      <w:start w:val="1"/>
      <w:numFmt w:val="bullet"/>
      <w:lvlText w:val="•"/>
      <w:lvlJc w:val="left"/>
      <w:pPr>
        <w:tabs>
          <w:tab w:val="num" w:pos="2880"/>
        </w:tabs>
        <w:ind w:left="2880" w:hanging="360"/>
      </w:pPr>
      <w:rPr>
        <w:rFonts w:ascii="Times New Roman" w:hAnsi="Times New Roman" w:hint="default"/>
      </w:rPr>
    </w:lvl>
    <w:lvl w:ilvl="4" w:tplc="C88427D4" w:tentative="1">
      <w:start w:val="1"/>
      <w:numFmt w:val="bullet"/>
      <w:lvlText w:val="•"/>
      <w:lvlJc w:val="left"/>
      <w:pPr>
        <w:tabs>
          <w:tab w:val="num" w:pos="3600"/>
        </w:tabs>
        <w:ind w:left="3600" w:hanging="360"/>
      </w:pPr>
      <w:rPr>
        <w:rFonts w:ascii="Times New Roman" w:hAnsi="Times New Roman" w:hint="default"/>
      </w:rPr>
    </w:lvl>
    <w:lvl w:ilvl="5" w:tplc="35242096" w:tentative="1">
      <w:start w:val="1"/>
      <w:numFmt w:val="bullet"/>
      <w:lvlText w:val="•"/>
      <w:lvlJc w:val="left"/>
      <w:pPr>
        <w:tabs>
          <w:tab w:val="num" w:pos="4320"/>
        </w:tabs>
        <w:ind w:left="4320" w:hanging="360"/>
      </w:pPr>
      <w:rPr>
        <w:rFonts w:ascii="Times New Roman" w:hAnsi="Times New Roman" w:hint="default"/>
      </w:rPr>
    </w:lvl>
    <w:lvl w:ilvl="6" w:tplc="629EDEB8" w:tentative="1">
      <w:start w:val="1"/>
      <w:numFmt w:val="bullet"/>
      <w:lvlText w:val="•"/>
      <w:lvlJc w:val="left"/>
      <w:pPr>
        <w:tabs>
          <w:tab w:val="num" w:pos="5040"/>
        </w:tabs>
        <w:ind w:left="5040" w:hanging="360"/>
      </w:pPr>
      <w:rPr>
        <w:rFonts w:ascii="Times New Roman" w:hAnsi="Times New Roman" w:hint="default"/>
      </w:rPr>
    </w:lvl>
    <w:lvl w:ilvl="7" w:tplc="E634F05C" w:tentative="1">
      <w:start w:val="1"/>
      <w:numFmt w:val="bullet"/>
      <w:lvlText w:val="•"/>
      <w:lvlJc w:val="left"/>
      <w:pPr>
        <w:tabs>
          <w:tab w:val="num" w:pos="5760"/>
        </w:tabs>
        <w:ind w:left="5760" w:hanging="360"/>
      </w:pPr>
      <w:rPr>
        <w:rFonts w:ascii="Times New Roman" w:hAnsi="Times New Roman" w:hint="default"/>
      </w:rPr>
    </w:lvl>
    <w:lvl w:ilvl="8" w:tplc="BDC4B7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7CA6DE6"/>
    <w:multiLevelType w:val="hybridMultilevel"/>
    <w:tmpl w:val="AAA62E40"/>
    <w:lvl w:ilvl="0" w:tplc="D40EA490">
      <w:start w:val="1"/>
      <w:numFmt w:val="bullet"/>
      <w:lvlText w:val="•"/>
      <w:lvlJc w:val="left"/>
      <w:pPr>
        <w:tabs>
          <w:tab w:val="num" w:pos="720"/>
        </w:tabs>
        <w:ind w:left="720" w:hanging="360"/>
      </w:pPr>
      <w:rPr>
        <w:rFonts w:ascii="Times New Roman" w:hAnsi="Times New Roman" w:hint="default"/>
      </w:rPr>
    </w:lvl>
    <w:lvl w:ilvl="1" w:tplc="C7F0ED06" w:tentative="1">
      <w:start w:val="1"/>
      <w:numFmt w:val="bullet"/>
      <w:lvlText w:val="•"/>
      <w:lvlJc w:val="left"/>
      <w:pPr>
        <w:tabs>
          <w:tab w:val="num" w:pos="1440"/>
        </w:tabs>
        <w:ind w:left="1440" w:hanging="360"/>
      </w:pPr>
      <w:rPr>
        <w:rFonts w:ascii="Times New Roman" w:hAnsi="Times New Roman" w:hint="default"/>
      </w:rPr>
    </w:lvl>
    <w:lvl w:ilvl="2" w:tplc="C2AAA564" w:tentative="1">
      <w:start w:val="1"/>
      <w:numFmt w:val="bullet"/>
      <w:lvlText w:val="•"/>
      <w:lvlJc w:val="left"/>
      <w:pPr>
        <w:tabs>
          <w:tab w:val="num" w:pos="2160"/>
        </w:tabs>
        <w:ind w:left="2160" w:hanging="360"/>
      </w:pPr>
      <w:rPr>
        <w:rFonts w:ascii="Times New Roman" w:hAnsi="Times New Roman" w:hint="default"/>
      </w:rPr>
    </w:lvl>
    <w:lvl w:ilvl="3" w:tplc="79867868" w:tentative="1">
      <w:start w:val="1"/>
      <w:numFmt w:val="bullet"/>
      <w:lvlText w:val="•"/>
      <w:lvlJc w:val="left"/>
      <w:pPr>
        <w:tabs>
          <w:tab w:val="num" w:pos="2880"/>
        </w:tabs>
        <w:ind w:left="2880" w:hanging="360"/>
      </w:pPr>
      <w:rPr>
        <w:rFonts w:ascii="Times New Roman" w:hAnsi="Times New Roman" w:hint="default"/>
      </w:rPr>
    </w:lvl>
    <w:lvl w:ilvl="4" w:tplc="B04260D0" w:tentative="1">
      <w:start w:val="1"/>
      <w:numFmt w:val="bullet"/>
      <w:lvlText w:val="•"/>
      <w:lvlJc w:val="left"/>
      <w:pPr>
        <w:tabs>
          <w:tab w:val="num" w:pos="3600"/>
        </w:tabs>
        <w:ind w:left="3600" w:hanging="360"/>
      </w:pPr>
      <w:rPr>
        <w:rFonts w:ascii="Times New Roman" w:hAnsi="Times New Roman" w:hint="default"/>
      </w:rPr>
    </w:lvl>
    <w:lvl w:ilvl="5" w:tplc="9E36292A" w:tentative="1">
      <w:start w:val="1"/>
      <w:numFmt w:val="bullet"/>
      <w:lvlText w:val="•"/>
      <w:lvlJc w:val="left"/>
      <w:pPr>
        <w:tabs>
          <w:tab w:val="num" w:pos="4320"/>
        </w:tabs>
        <w:ind w:left="4320" w:hanging="360"/>
      </w:pPr>
      <w:rPr>
        <w:rFonts w:ascii="Times New Roman" w:hAnsi="Times New Roman" w:hint="default"/>
      </w:rPr>
    </w:lvl>
    <w:lvl w:ilvl="6" w:tplc="894A46E0" w:tentative="1">
      <w:start w:val="1"/>
      <w:numFmt w:val="bullet"/>
      <w:lvlText w:val="•"/>
      <w:lvlJc w:val="left"/>
      <w:pPr>
        <w:tabs>
          <w:tab w:val="num" w:pos="5040"/>
        </w:tabs>
        <w:ind w:left="5040" w:hanging="360"/>
      </w:pPr>
      <w:rPr>
        <w:rFonts w:ascii="Times New Roman" w:hAnsi="Times New Roman" w:hint="default"/>
      </w:rPr>
    </w:lvl>
    <w:lvl w:ilvl="7" w:tplc="787212EE" w:tentative="1">
      <w:start w:val="1"/>
      <w:numFmt w:val="bullet"/>
      <w:lvlText w:val="•"/>
      <w:lvlJc w:val="left"/>
      <w:pPr>
        <w:tabs>
          <w:tab w:val="num" w:pos="5760"/>
        </w:tabs>
        <w:ind w:left="5760" w:hanging="360"/>
      </w:pPr>
      <w:rPr>
        <w:rFonts w:ascii="Times New Roman" w:hAnsi="Times New Roman" w:hint="default"/>
      </w:rPr>
    </w:lvl>
    <w:lvl w:ilvl="8" w:tplc="8C4492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86"/>
    <w:rsid w:val="004B3C86"/>
    <w:rsid w:val="00886D18"/>
    <w:rsid w:val="00A67A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3C14A-E485-460F-A54B-93D39A4A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D18"/>
  </w:style>
  <w:style w:type="paragraph" w:styleId="Ttulo1">
    <w:name w:val="heading 1"/>
    <w:basedOn w:val="Normal"/>
    <w:next w:val="Normal"/>
    <w:link w:val="Ttulo1Car"/>
    <w:uiPriority w:val="9"/>
    <w:qFormat/>
    <w:rsid w:val="00886D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6D18"/>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886D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1113</Words>
  <Characters>6122</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TAPIA MENDOZA ALFONSO</dc:creator>
  <cp:keywords/>
  <dc:description/>
  <cp:lastModifiedBy>TAPIA MENDOZA ALFONSO</cp:lastModifiedBy>
  <cp:revision>2</cp:revision>
  <dcterms:created xsi:type="dcterms:W3CDTF">2022-05-17T14:22:00Z</dcterms:created>
  <dcterms:modified xsi:type="dcterms:W3CDTF">2022-05-17T14:24:00Z</dcterms:modified>
</cp:coreProperties>
</file>