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FFBC" w14:textId="77777777" w:rsidR="00863CC5" w:rsidRPr="009A501D" w:rsidRDefault="006F28BF" w:rsidP="00664A1D">
      <w:pPr>
        <w:pStyle w:val="Ttulo2"/>
        <w:rPr>
          <w:rFonts w:ascii="Century Gothic" w:eastAsiaTheme="minorHAnsi" w:hAnsi="Century Gothic" w:cstheme="minorBidi"/>
          <w:bCs/>
          <w:color w:val="0079BF"/>
          <w:sz w:val="24"/>
          <w:szCs w:val="24"/>
        </w:rPr>
      </w:pPr>
      <w:bookmarkStart w:id="0" w:name="_Toc131161797"/>
      <w:r w:rsidRPr="009A501D">
        <w:rPr>
          <w:rFonts w:ascii="Century Gothic" w:eastAsiaTheme="minorHAnsi" w:hAnsi="Century Gothic" w:cstheme="minorBidi"/>
          <w:bCs/>
          <w:color w:val="0079BF"/>
          <w:sz w:val="24"/>
          <w:szCs w:val="24"/>
        </w:rPr>
        <w:t xml:space="preserve">III.1. </w:t>
      </w:r>
      <w:r w:rsidR="0004252C" w:rsidRPr="009A501D">
        <w:rPr>
          <w:rFonts w:ascii="Century Gothic" w:eastAsiaTheme="minorHAnsi" w:hAnsi="Century Gothic" w:cstheme="minorBidi"/>
          <w:bCs/>
          <w:color w:val="0079BF"/>
          <w:sz w:val="24"/>
          <w:szCs w:val="24"/>
        </w:rPr>
        <w:t>Indicadores de pertinencia</w:t>
      </w:r>
      <w:bookmarkEnd w:id="0"/>
      <w:r w:rsidR="0029041B" w:rsidRPr="009A501D">
        <w:rPr>
          <w:rFonts w:ascii="Century Gothic" w:eastAsiaTheme="minorHAnsi" w:hAnsi="Century Gothic" w:cstheme="minorBidi"/>
          <w:bCs/>
          <w:color w:val="0079BF"/>
          <w:sz w:val="24"/>
          <w:szCs w:val="24"/>
        </w:rPr>
        <w:t xml:space="preserve"> </w:t>
      </w:r>
    </w:p>
    <w:p w14:paraId="3FF582C8" w14:textId="2ED5FC23" w:rsidR="005823E5" w:rsidRPr="009A501D" w:rsidRDefault="002604E4" w:rsidP="00664A1D">
      <w:pPr>
        <w:spacing w:before="240"/>
        <w:jc w:val="both"/>
        <w:rPr>
          <w:rFonts w:ascii="Century Gothic" w:hAnsi="Century Gothic"/>
          <w:sz w:val="19"/>
          <w:szCs w:val="19"/>
        </w:rPr>
      </w:pPr>
      <w:r w:rsidRPr="009A501D">
        <w:rPr>
          <w:rFonts w:ascii="Century Gothic" w:hAnsi="Century Gothic"/>
          <w:sz w:val="19"/>
          <w:szCs w:val="19"/>
        </w:rPr>
        <w:t xml:space="preserve">Actualmente, se </w:t>
      </w:r>
      <w:r w:rsidR="00184CB5" w:rsidRPr="009A501D">
        <w:rPr>
          <w:rFonts w:ascii="Century Gothic" w:hAnsi="Century Gothic"/>
          <w:sz w:val="19"/>
          <w:szCs w:val="19"/>
        </w:rPr>
        <w:t xml:space="preserve">cuenta con 12 </w:t>
      </w:r>
      <w:r w:rsidR="005823E5" w:rsidRPr="009A501D">
        <w:rPr>
          <w:rFonts w:ascii="Century Gothic" w:hAnsi="Century Gothic"/>
          <w:sz w:val="19"/>
          <w:szCs w:val="19"/>
        </w:rPr>
        <w:t>indicadores de pertinencia</w:t>
      </w:r>
      <w:r w:rsidR="007A4A8F" w:rsidRPr="009A501D">
        <w:rPr>
          <w:rStyle w:val="Refdenotaalpie"/>
          <w:rFonts w:ascii="Century Gothic" w:hAnsi="Century Gothic"/>
          <w:sz w:val="19"/>
          <w:szCs w:val="19"/>
        </w:rPr>
        <w:footnoteReference w:id="2"/>
      </w:r>
      <w:r w:rsidR="00184CB5" w:rsidRPr="009A501D">
        <w:rPr>
          <w:rFonts w:ascii="Century Gothic" w:hAnsi="Century Gothic"/>
          <w:sz w:val="19"/>
          <w:szCs w:val="19"/>
        </w:rPr>
        <w:t xml:space="preserve">, de los cuales </w:t>
      </w:r>
      <w:r w:rsidR="00AE6ABF" w:rsidRPr="009A501D">
        <w:rPr>
          <w:rFonts w:ascii="Century Gothic" w:hAnsi="Century Gothic"/>
          <w:sz w:val="19"/>
          <w:szCs w:val="19"/>
        </w:rPr>
        <w:t xml:space="preserve">dos </w:t>
      </w:r>
      <w:r w:rsidR="00B76B9C" w:rsidRPr="009A501D">
        <w:rPr>
          <w:rFonts w:ascii="Century Gothic" w:hAnsi="Century Gothic"/>
          <w:sz w:val="19"/>
          <w:szCs w:val="19"/>
        </w:rPr>
        <w:t xml:space="preserve">se vinculan </w:t>
      </w:r>
      <w:r w:rsidR="00AE6ABF" w:rsidRPr="009A501D">
        <w:rPr>
          <w:rFonts w:ascii="Century Gothic" w:hAnsi="Century Gothic"/>
          <w:sz w:val="19"/>
          <w:szCs w:val="19"/>
        </w:rPr>
        <w:t xml:space="preserve">con el grado de </w:t>
      </w:r>
      <w:r w:rsidR="005823E5" w:rsidRPr="009A501D">
        <w:rPr>
          <w:rFonts w:ascii="Century Gothic" w:hAnsi="Century Gothic"/>
          <w:sz w:val="19"/>
          <w:szCs w:val="19"/>
        </w:rPr>
        <w:t xml:space="preserve">cobertura de </w:t>
      </w:r>
      <w:r w:rsidR="00B76B9C" w:rsidRPr="009A501D">
        <w:rPr>
          <w:rFonts w:ascii="Century Gothic" w:hAnsi="Century Gothic"/>
          <w:sz w:val="19"/>
          <w:szCs w:val="19"/>
        </w:rPr>
        <w:t xml:space="preserve">las </w:t>
      </w:r>
      <w:r w:rsidR="005823E5" w:rsidRPr="009A501D">
        <w:rPr>
          <w:rFonts w:ascii="Century Gothic" w:hAnsi="Century Gothic"/>
          <w:sz w:val="19"/>
          <w:szCs w:val="19"/>
        </w:rPr>
        <w:t>necesidades</w:t>
      </w:r>
      <w:r w:rsidR="00B76B9C" w:rsidRPr="009A501D">
        <w:rPr>
          <w:rFonts w:ascii="Century Gothic" w:hAnsi="Century Gothic"/>
          <w:sz w:val="19"/>
          <w:szCs w:val="19"/>
        </w:rPr>
        <w:t xml:space="preserve"> de información y </w:t>
      </w:r>
      <w:r w:rsidR="00F2702B" w:rsidRPr="009A501D">
        <w:rPr>
          <w:rFonts w:ascii="Century Gothic" w:hAnsi="Century Gothic"/>
          <w:sz w:val="19"/>
          <w:szCs w:val="19"/>
        </w:rPr>
        <w:t xml:space="preserve">los diez restantes con el tipo de uso, mediante los cuales se estiman </w:t>
      </w:r>
      <w:r w:rsidR="00B76B9C" w:rsidRPr="009A501D">
        <w:rPr>
          <w:rFonts w:ascii="Century Gothic" w:hAnsi="Century Gothic"/>
          <w:sz w:val="19"/>
          <w:szCs w:val="19"/>
        </w:rPr>
        <w:t>aspectos de efectividad de la producción</w:t>
      </w:r>
      <w:r w:rsidR="00AE6ABF" w:rsidRPr="009A501D">
        <w:rPr>
          <w:rStyle w:val="Refdenotaalpie"/>
          <w:rFonts w:ascii="Century Gothic" w:hAnsi="Century Gothic"/>
          <w:sz w:val="19"/>
          <w:szCs w:val="19"/>
        </w:rPr>
        <w:footnoteReference w:id="3"/>
      </w:r>
      <w:r w:rsidR="00AF2DF2" w:rsidRPr="009A501D">
        <w:rPr>
          <w:rFonts w:ascii="Century Gothic" w:hAnsi="Century Gothic"/>
          <w:sz w:val="19"/>
          <w:szCs w:val="19"/>
        </w:rPr>
        <w:t>.</w:t>
      </w:r>
      <w:r w:rsidR="005823E5" w:rsidRPr="009A501D">
        <w:rPr>
          <w:rFonts w:ascii="Century Gothic" w:hAnsi="Century Gothic"/>
          <w:sz w:val="19"/>
          <w:szCs w:val="19"/>
        </w:rPr>
        <w:t xml:space="preserve"> En los </w:t>
      </w:r>
      <w:r w:rsidR="00DC47C3" w:rsidRPr="009A501D">
        <w:rPr>
          <w:rFonts w:ascii="Century Gothic" w:hAnsi="Century Gothic"/>
          <w:sz w:val="19"/>
          <w:szCs w:val="19"/>
        </w:rPr>
        <w:t>cuadros III.1.1. y III.1.2.</w:t>
      </w:r>
      <w:r w:rsidR="005823E5" w:rsidRPr="009A501D">
        <w:rPr>
          <w:rFonts w:ascii="Century Gothic" w:hAnsi="Century Gothic"/>
          <w:sz w:val="19"/>
          <w:szCs w:val="19"/>
        </w:rPr>
        <w:t xml:space="preserve"> se presenta la estimación de estos indicadores a diciembre de 202</w:t>
      </w:r>
      <w:r w:rsidR="000A2BD1" w:rsidRPr="009A501D">
        <w:rPr>
          <w:rFonts w:ascii="Century Gothic" w:hAnsi="Century Gothic"/>
          <w:sz w:val="19"/>
          <w:szCs w:val="19"/>
        </w:rPr>
        <w:t>2</w:t>
      </w:r>
      <w:r w:rsidR="000B052E" w:rsidRPr="009A501D">
        <w:rPr>
          <w:rFonts w:ascii="Century Gothic" w:hAnsi="Century Gothic"/>
          <w:sz w:val="19"/>
          <w:szCs w:val="19"/>
        </w:rPr>
        <w:t>, respectivamente</w:t>
      </w:r>
      <w:r w:rsidR="005823E5" w:rsidRPr="009A501D">
        <w:rPr>
          <w:rFonts w:ascii="Century Gothic" w:hAnsi="Century Gothic"/>
          <w:sz w:val="19"/>
          <w:szCs w:val="19"/>
        </w:rPr>
        <w:t>.</w:t>
      </w:r>
    </w:p>
    <w:p w14:paraId="49D3EA1D" w14:textId="2306EACE" w:rsidR="005823E5" w:rsidRPr="009A501D" w:rsidRDefault="000B052E" w:rsidP="00664A1D">
      <w:pPr>
        <w:spacing w:before="240"/>
        <w:jc w:val="both"/>
        <w:rPr>
          <w:rFonts w:ascii="Century Gothic" w:hAnsi="Century Gothic"/>
          <w:sz w:val="19"/>
          <w:szCs w:val="19"/>
        </w:rPr>
      </w:pPr>
      <w:r w:rsidRPr="009A501D">
        <w:rPr>
          <w:rFonts w:ascii="Century Gothic" w:hAnsi="Century Gothic"/>
          <w:sz w:val="19"/>
          <w:szCs w:val="19"/>
        </w:rPr>
        <w:t>S</w:t>
      </w:r>
      <w:r w:rsidR="000B061C" w:rsidRPr="009A501D">
        <w:rPr>
          <w:rFonts w:ascii="Century Gothic" w:hAnsi="Century Gothic"/>
          <w:sz w:val="19"/>
          <w:szCs w:val="19"/>
        </w:rPr>
        <w:t xml:space="preserve">e observa </w:t>
      </w:r>
      <w:r w:rsidR="009823A5" w:rsidRPr="009A501D">
        <w:rPr>
          <w:rFonts w:ascii="Century Gothic" w:hAnsi="Century Gothic"/>
          <w:sz w:val="19"/>
          <w:szCs w:val="19"/>
        </w:rPr>
        <w:t xml:space="preserve">que </w:t>
      </w:r>
      <w:r w:rsidR="000B061C" w:rsidRPr="009A501D">
        <w:rPr>
          <w:rFonts w:ascii="Century Gothic" w:hAnsi="Century Gothic"/>
          <w:sz w:val="19"/>
          <w:szCs w:val="19"/>
        </w:rPr>
        <w:t>el porcentaje de indicadores de programas derivados del Plan Nacional de Desarrollo</w:t>
      </w:r>
      <w:r w:rsidR="000667A8" w:rsidRPr="009A501D">
        <w:rPr>
          <w:rFonts w:ascii="Century Gothic" w:hAnsi="Century Gothic"/>
          <w:sz w:val="19"/>
          <w:szCs w:val="19"/>
        </w:rPr>
        <w:t xml:space="preserve"> (PND)</w:t>
      </w:r>
      <w:r w:rsidR="000B061C" w:rsidRPr="009A501D">
        <w:rPr>
          <w:rFonts w:ascii="Century Gothic" w:hAnsi="Century Gothic"/>
          <w:sz w:val="19"/>
          <w:szCs w:val="19"/>
        </w:rPr>
        <w:t xml:space="preserve"> que se calculan con información del INEGI</w:t>
      </w:r>
      <w:r w:rsidR="009F4647" w:rsidRPr="009A501D">
        <w:rPr>
          <w:rFonts w:ascii="Century Gothic" w:hAnsi="Century Gothic"/>
          <w:sz w:val="19"/>
          <w:szCs w:val="19"/>
        </w:rPr>
        <w:t xml:space="preserve"> </w:t>
      </w:r>
      <w:r w:rsidR="00F2702B" w:rsidRPr="009A501D">
        <w:rPr>
          <w:rFonts w:ascii="Century Gothic" w:hAnsi="Century Gothic"/>
          <w:sz w:val="19"/>
          <w:szCs w:val="19"/>
        </w:rPr>
        <w:t>es de</w:t>
      </w:r>
      <w:r w:rsidR="009F4647" w:rsidRPr="009A501D">
        <w:rPr>
          <w:rFonts w:ascii="Century Gothic" w:hAnsi="Century Gothic"/>
          <w:sz w:val="19"/>
          <w:szCs w:val="19"/>
        </w:rPr>
        <w:t xml:space="preserve"> </w:t>
      </w:r>
      <w:r w:rsidRPr="009A501D">
        <w:rPr>
          <w:rFonts w:ascii="Century Gothic" w:hAnsi="Century Gothic"/>
          <w:sz w:val="19"/>
          <w:szCs w:val="19"/>
        </w:rPr>
        <w:t>24.9%</w:t>
      </w:r>
      <w:r w:rsidR="00C65918" w:rsidRPr="009A501D">
        <w:rPr>
          <w:rFonts w:ascii="Century Gothic" w:hAnsi="Century Gothic"/>
          <w:sz w:val="19"/>
          <w:szCs w:val="19"/>
        </w:rPr>
        <w:t xml:space="preserve">. </w:t>
      </w:r>
      <w:r w:rsidR="00526344" w:rsidRPr="009A501D">
        <w:rPr>
          <w:rFonts w:ascii="Century Gothic" w:hAnsi="Century Gothic"/>
          <w:sz w:val="19"/>
          <w:szCs w:val="19"/>
        </w:rPr>
        <w:t>Mientras que</w:t>
      </w:r>
      <w:r w:rsidR="00C65918" w:rsidRPr="009A501D">
        <w:rPr>
          <w:rFonts w:ascii="Century Gothic" w:hAnsi="Century Gothic"/>
          <w:sz w:val="19"/>
          <w:szCs w:val="19"/>
        </w:rPr>
        <w:t xml:space="preserve"> el porcentaje de indicadores </w:t>
      </w:r>
      <w:r w:rsidR="00816B80" w:rsidRPr="009A501D">
        <w:rPr>
          <w:rFonts w:ascii="Century Gothic" w:hAnsi="Century Gothic"/>
          <w:sz w:val="19"/>
          <w:szCs w:val="19"/>
        </w:rPr>
        <w:t>de Objetivos de Desarrollo Sostenible (</w:t>
      </w:r>
      <w:r w:rsidR="00C65918" w:rsidRPr="009A501D">
        <w:rPr>
          <w:rFonts w:ascii="Century Gothic" w:hAnsi="Century Gothic"/>
          <w:sz w:val="19"/>
          <w:szCs w:val="19"/>
        </w:rPr>
        <w:t>ODS</w:t>
      </w:r>
      <w:r w:rsidR="00816B80" w:rsidRPr="009A501D">
        <w:rPr>
          <w:rFonts w:ascii="Century Gothic" w:hAnsi="Century Gothic"/>
          <w:sz w:val="19"/>
          <w:szCs w:val="19"/>
        </w:rPr>
        <w:t>)</w:t>
      </w:r>
      <w:r w:rsidR="00C65918" w:rsidRPr="009A501D">
        <w:rPr>
          <w:rFonts w:ascii="Century Gothic" w:hAnsi="Century Gothic"/>
          <w:sz w:val="19"/>
          <w:szCs w:val="19"/>
        </w:rPr>
        <w:t xml:space="preserve"> que se calculan con programas del INEGI</w:t>
      </w:r>
      <w:r w:rsidR="00F2702B" w:rsidRPr="009A501D">
        <w:rPr>
          <w:rFonts w:ascii="Century Gothic" w:hAnsi="Century Gothic"/>
          <w:sz w:val="19"/>
          <w:szCs w:val="19"/>
        </w:rPr>
        <w:t xml:space="preserve"> es de 70.6, similar al observado en 2021.</w:t>
      </w:r>
    </w:p>
    <w:p w14:paraId="6EB2822B" w14:textId="7B98B325" w:rsidR="0039763F" w:rsidRPr="009A501D" w:rsidRDefault="0039763F">
      <w:pPr>
        <w:rPr>
          <w:rFonts w:ascii="Century Gothic" w:hAnsi="Century Gothic"/>
          <w:sz w:val="19"/>
          <w:szCs w:val="19"/>
        </w:rPr>
      </w:pPr>
    </w:p>
    <w:p w14:paraId="7E13823E" w14:textId="77777777" w:rsidR="0081502B" w:rsidRPr="009A501D" w:rsidRDefault="002E4AA4" w:rsidP="00664A1D">
      <w:pPr>
        <w:spacing w:before="240"/>
        <w:jc w:val="center"/>
        <w:rPr>
          <w:rFonts w:ascii="Century Gothic" w:hAnsi="Century Gothic"/>
          <w:b/>
          <w:sz w:val="19"/>
          <w:szCs w:val="19"/>
        </w:rPr>
      </w:pPr>
      <w:r w:rsidRPr="009A501D">
        <w:rPr>
          <w:rFonts w:ascii="Century Gothic" w:hAnsi="Century Gothic"/>
          <w:b/>
          <w:sz w:val="19"/>
          <w:szCs w:val="19"/>
        </w:rPr>
        <w:t>III</w:t>
      </w:r>
      <w:r w:rsidR="0081502B" w:rsidRPr="009A501D">
        <w:rPr>
          <w:rFonts w:ascii="Century Gothic" w:hAnsi="Century Gothic"/>
          <w:b/>
          <w:sz w:val="19"/>
          <w:szCs w:val="19"/>
        </w:rPr>
        <w:t>.1.</w:t>
      </w:r>
      <w:r w:rsidRPr="009A501D">
        <w:rPr>
          <w:rFonts w:ascii="Century Gothic" w:hAnsi="Century Gothic"/>
          <w:b/>
          <w:sz w:val="19"/>
          <w:szCs w:val="19"/>
        </w:rPr>
        <w:t>1.</w:t>
      </w:r>
      <w:r w:rsidR="0081502B" w:rsidRPr="009A501D">
        <w:rPr>
          <w:rFonts w:ascii="Century Gothic" w:hAnsi="Century Gothic"/>
          <w:b/>
          <w:sz w:val="19"/>
          <w:szCs w:val="19"/>
        </w:rPr>
        <w:t xml:space="preserve"> Estimación de los indicadores de pertinencia (cobertura de necesidades) </w:t>
      </w:r>
    </w:p>
    <w:tbl>
      <w:tblPr>
        <w:tblW w:w="923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20" w:firstRow="1" w:lastRow="0" w:firstColumn="0" w:lastColumn="0" w:noHBand="0" w:noVBand="1"/>
      </w:tblPr>
      <w:tblGrid>
        <w:gridCol w:w="1132"/>
        <w:gridCol w:w="6569"/>
        <w:gridCol w:w="1535"/>
      </w:tblGrid>
      <w:tr w:rsidR="00F2702B" w:rsidRPr="009A501D" w14:paraId="606B7A71" w14:textId="086AF18F" w:rsidTr="00F2702B">
        <w:trPr>
          <w:trHeight w:val="20"/>
          <w:jc w:val="center"/>
        </w:trPr>
        <w:tc>
          <w:tcPr>
            <w:tcW w:w="1132" w:type="dxa"/>
            <w:shd w:val="clear" w:color="auto" w:fill="002060"/>
            <w:tcMar>
              <w:top w:w="3" w:type="dxa"/>
              <w:left w:w="15" w:type="dxa"/>
              <w:bottom w:w="0" w:type="dxa"/>
              <w:right w:w="15" w:type="dxa"/>
            </w:tcMar>
            <w:vAlign w:val="center"/>
            <w:hideMark/>
          </w:tcPr>
          <w:p w14:paraId="4D788673" w14:textId="77777777" w:rsidR="00F2702B" w:rsidRPr="009A501D" w:rsidRDefault="00F2702B" w:rsidP="00664A1D">
            <w:pPr>
              <w:spacing w:after="0"/>
              <w:jc w:val="center"/>
              <w:rPr>
                <w:rFonts w:ascii="Century Gothic" w:hAnsi="Century Gothic"/>
                <w:b/>
                <w:sz w:val="16"/>
                <w:szCs w:val="16"/>
              </w:rPr>
            </w:pPr>
            <w:r w:rsidRPr="009A501D">
              <w:rPr>
                <w:rFonts w:ascii="Century Gothic" w:hAnsi="Century Gothic"/>
                <w:b/>
                <w:sz w:val="16"/>
                <w:szCs w:val="16"/>
              </w:rPr>
              <w:t>Tipo de necesidades</w:t>
            </w:r>
          </w:p>
        </w:tc>
        <w:tc>
          <w:tcPr>
            <w:tcW w:w="6569" w:type="dxa"/>
            <w:shd w:val="clear" w:color="auto" w:fill="002060"/>
            <w:tcMar>
              <w:top w:w="3" w:type="dxa"/>
              <w:left w:w="15" w:type="dxa"/>
              <w:bottom w:w="0" w:type="dxa"/>
              <w:right w:w="15" w:type="dxa"/>
            </w:tcMar>
            <w:vAlign w:val="center"/>
            <w:hideMark/>
          </w:tcPr>
          <w:p w14:paraId="23CAC26B" w14:textId="77777777" w:rsidR="00F2702B" w:rsidRPr="009A501D" w:rsidRDefault="00F2702B" w:rsidP="00664A1D">
            <w:pPr>
              <w:spacing w:after="0"/>
              <w:jc w:val="center"/>
              <w:rPr>
                <w:rFonts w:ascii="Century Gothic" w:hAnsi="Century Gothic"/>
                <w:b/>
                <w:sz w:val="16"/>
                <w:szCs w:val="16"/>
              </w:rPr>
            </w:pPr>
            <w:r w:rsidRPr="009A501D">
              <w:rPr>
                <w:rFonts w:ascii="Century Gothic" w:hAnsi="Century Gothic"/>
                <w:b/>
                <w:sz w:val="16"/>
                <w:szCs w:val="16"/>
              </w:rPr>
              <w:t>Indicadores de pertinencia</w:t>
            </w:r>
          </w:p>
        </w:tc>
        <w:tc>
          <w:tcPr>
            <w:tcW w:w="1535" w:type="dxa"/>
            <w:shd w:val="clear" w:color="auto" w:fill="002060"/>
            <w:vAlign w:val="center"/>
          </w:tcPr>
          <w:p w14:paraId="09C1AA75" w14:textId="6295259B" w:rsidR="00F2702B" w:rsidRPr="009A501D" w:rsidRDefault="00F2702B" w:rsidP="00664A1D">
            <w:pPr>
              <w:spacing w:after="0"/>
              <w:jc w:val="center"/>
              <w:rPr>
                <w:rFonts w:ascii="Century Gothic" w:hAnsi="Century Gothic"/>
                <w:b/>
                <w:sz w:val="16"/>
                <w:szCs w:val="16"/>
              </w:rPr>
            </w:pPr>
            <w:r w:rsidRPr="009A501D">
              <w:rPr>
                <w:rFonts w:ascii="Century Gothic" w:hAnsi="Century Gothic"/>
                <w:b/>
                <w:sz w:val="16"/>
                <w:szCs w:val="16"/>
              </w:rPr>
              <w:t>2022</w:t>
            </w:r>
          </w:p>
        </w:tc>
      </w:tr>
      <w:tr w:rsidR="00F2702B" w:rsidRPr="009A501D" w14:paraId="23BF9DE6" w14:textId="65B5041F" w:rsidTr="00F2702B">
        <w:trPr>
          <w:trHeight w:val="510"/>
          <w:jc w:val="center"/>
        </w:trPr>
        <w:tc>
          <w:tcPr>
            <w:tcW w:w="1132" w:type="dxa"/>
            <w:vMerge w:val="restart"/>
            <w:shd w:val="clear" w:color="auto" w:fill="FFFFFF" w:themeFill="background1"/>
            <w:tcMar>
              <w:top w:w="64" w:type="dxa"/>
              <w:left w:w="15" w:type="dxa"/>
              <w:bottom w:w="0" w:type="dxa"/>
              <w:right w:w="15" w:type="dxa"/>
            </w:tcMar>
            <w:vAlign w:val="center"/>
            <w:hideMark/>
          </w:tcPr>
          <w:p w14:paraId="16451ECA" w14:textId="7A12C283" w:rsidR="00F2702B" w:rsidRPr="009A501D" w:rsidRDefault="00F2702B" w:rsidP="00664A1D">
            <w:pPr>
              <w:spacing w:after="0"/>
              <w:jc w:val="center"/>
              <w:rPr>
                <w:rFonts w:ascii="Century Gothic" w:hAnsi="Century Gothic"/>
                <w:bCs/>
                <w:sz w:val="16"/>
                <w:szCs w:val="16"/>
              </w:rPr>
            </w:pPr>
            <w:r w:rsidRPr="009A501D">
              <w:rPr>
                <w:rFonts w:ascii="Century Gothic" w:hAnsi="Century Gothic"/>
                <w:bCs/>
                <w:sz w:val="16"/>
                <w:szCs w:val="16"/>
              </w:rPr>
              <w:t>Objetivos de Desarrollo Sostenible</w:t>
            </w:r>
          </w:p>
        </w:tc>
        <w:tc>
          <w:tcPr>
            <w:tcW w:w="6569" w:type="dxa"/>
            <w:shd w:val="clear" w:color="auto" w:fill="FFFFFF" w:themeFill="background1"/>
            <w:tcMar>
              <w:top w:w="49" w:type="dxa"/>
              <w:left w:w="15" w:type="dxa"/>
              <w:bottom w:w="0" w:type="dxa"/>
              <w:right w:w="15" w:type="dxa"/>
            </w:tcMar>
            <w:vAlign w:val="center"/>
            <w:hideMark/>
          </w:tcPr>
          <w:p w14:paraId="74BAE7C6" w14:textId="0E31A2E6" w:rsidR="00F2702B" w:rsidRPr="009A501D" w:rsidRDefault="00F2702B" w:rsidP="00664A1D">
            <w:pPr>
              <w:spacing w:after="0"/>
              <w:jc w:val="center"/>
              <w:rPr>
                <w:rFonts w:ascii="Century Gothic" w:hAnsi="Century Gothic"/>
                <w:bCs/>
                <w:sz w:val="16"/>
                <w:szCs w:val="16"/>
              </w:rPr>
            </w:pPr>
            <w:r w:rsidRPr="009A501D">
              <w:rPr>
                <w:rFonts w:ascii="Century Gothic" w:hAnsi="Century Gothic"/>
                <w:bCs/>
                <w:sz w:val="16"/>
                <w:szCs w:val="16"/>
              </w:rPr>
              <w:t>Porcentaje de indicadores que permiten medir la evolución del desarrollo nacional que se calculan con programas de información estadística y geográfica del INEGI.</w:t>
            </w:r>
          </w:p>
        </w:tc>
        <w:tc>
          <w:tcPr>
            <w:tcW w:w="1535" w:type="dxa"/>
            <w:shd w:val="clear" w:color="auto" w:fill="FFFFFF" w:themeFill="background1"/>
            <w:vAlign w:val="center"/>
          </w:tcPr>
          <w:p w14:paraId="6C6C0D40" w14:textId="1C96FA2C" w:rsidR="00F2702B" w:rsidRPr="009A501D" w:rsidRDefault="00F2702B" w:rsidP="00664A1D">
            <w:pPr>
              <w:spacing w:after="0"/>
              <w:jc w:val="center"/>
              <w:rPr>
                <w:rFonts w:ascii="Century Gothic" w:hAnsi="Century Gothic"/>
                <w:bCs/>
                <w:sz w:val="16"/>
                <w:szCs w:val="16"/>
              </w:rPr>
            </w:pPr>
            <w:r w:rsidRPr="009A501D">
              <w:rPr>
                <w:rFonts w:ascii="Century Gothic" w:hAnsi="Century Gothic"/>
                <w:bCs/>
                <w:sz w:val="16"/>
                <w:szCs w:val="16"/>
              </w:rPr>
              <w:t>24.9%</w:t>
            </w:r>
          </w:p>
        </w:tc>
      </w:tr>
      <w:tr w:rsidR="00F2702B" w:rsidRPr="009A501D" w14:paraId="705A1EE1" w14:textId="084530FC" w:rsidTr="00F2702B">
        <w:trPr>
          <w:trHeight w:val="510"/>
          <w:jc w:val="center"/>
        </w:trPr>
        <w:tc>
          <w:tcPr>
            <w:tcW w:w="1132" w:type="dxa"/>
            <w:vMerge/>
            <w:shd w:val="clear" w:color="auto" w:fill="FFFFFF" w:themeFill="background1"/>
            <w:vAlign w:val="center"/>
            <w:hideMark/>
          </w:tcPr>
          <w:p w14:paraId="09194B1D" w14:textId="77777777" w:rsidR="00F2702B" w:rsidRPr="009A501D" w:rsidRDefault="00F2702B" w:rsidP="00664A1D">
            <w:pPr>
              <w:spacing w:after="0"/>
              <w:jc w:val="center"/>
              <w:rPr>
                <w:rFonts w:ascii="Century Gothic" w:hAnsi="Century Gothic"/>
                <w:bCs/>
                <w:sz w:val="16"/>
                <w:szCs w:val="16"/>
              </w:rPr>
            </w:pPr>
          </w:p>
        </w:tc>
        <w:tc>
          <w:tcPr>
            <w:tcW w:w="6569" w:type="dxa"/>
            <w:shd w:val="clear" w:color="auto" w:fill="F2F2F2" w:themeFill="background1" w:themeFillShade="F2"/>
            <w:tcMar>
              <w:top w:w="34" w:type="dxa"/>
              <w:left w:w="15" w:type="dxa"/>
              <w:bottom w:w="0" w:type="dxa"/>
              <w:right w:w="15" w:type="dxa"/>
            </w:tcMar>
            <w:vAlign w:val="center"/>
            <w:hideMark/>
          </w:tcPr>
          <w:p w14:paraId="2A6340BF" w14:textId="553C0E73" w:rsidR="00F2702B" w:rsidRPr="009A501D" w:rsidRDefault="00F2702B" w:rsidP="00664A1D">
            <w:pPr>
              <w:spacing w:after="0" w:line="240" w:lineRule="auto"/>
              <w:jc w:val="center"/>
              <w:rPr>
                <w:rFonts w:ascii="Century Gothic" w:hAnsi="Century Gothic"/>
                <w:bCs/>
                <w:sz w:val="16"/>
                <w:szCs w:val="16"/>
              </w:rPr>
            </w:pPr>
            <w:bookmarkStart w:id="1" w:name="_Hlk127879883"/>
            <w:r w:rsidRPr="009A501D">
              <w:rPr>
                <w:rFonts w:ascii="Century Gothic" w:hAnsi="Century Gothic"/>
                <w:bCs/>
                <w:sz w:val="16"/>
                <w:szCs w:val="16"/>
              </w:rPr>
              <w:t xml:space="preserve">Porcentaje de indicadores de los Objetivos de Desarrollo Sostenible </w:t>
            </w:r>
            <w:r w:rsidRPr="009A501D">
              <w:rPr>
                <w:rFonts w:ascii="Century Gothic" w:hAnsi="Century Gothic"/>
                <w:sz w:val="16"/>
              </w:rPr>
              <w:t xml:space="preserve">que se calculan </w:t>
            </w:r>
            <w:r w:rsidRPr="009A501D">
              <w:rPr>
                <w:rFonts w:ascii="Century Gothic" w:hAnsi="Century Gothic"/>
                <w:bCs/>
                <w:sz w:val="16"/>
                <w:szCs w:val="16"/>
              </w:rPr>
              <w:t>con programas de información estadística y geográfica del INEGI.</w:t>
            </w:r>
            <w:bookmarkEnd w:id="1"/>
          </w:p>
        </w:tc>
        <w:tc>
          <w:tcPr>
            <w:tcW w:w="1535" w:type="dxa"/>
            <w:shd w:val="clear" w:color="auto" w:fill="F2F2F2" w:themeFill="background1" w:themeFillShade="F2"/>
            <w:vAlign w:val="center"/>
          </w:tcPr>
          <w:p w14:paraId="6174FA34" w14:textId="2377D745" w:rsidR="00F2702B" w:rsidRPr="009A501D" w:rsidRDefault="00F2702B" w:rsidP="00664A1D">
            <w:pPr>
              <w:spacing w:after="0"/>
              <w:jc w:val="center"/>
              <w:rPr>
                <w:rFonts w:ascii="Century Gothic" w:hAnsi="Century Gothic"/>
                <w:bCs/>
                <w:sz w:val="16"/>
                <w:szCs w:val="16"/>
              </w:rPr>
            </w:pPr>
            <w:r w:rsidRPr="009A501D">
              <w:rPr>
                <w:rFonts w:ascii="Century Gothic" w:hAnsi="Century Gothic"/>
                <w:bCs/>
                <w:sz w:val="16"/>
                <w:szCs w:val="16"/>
              </w:rPr>
              <w:t>70.6%</w:t>
            </w:r>
          </w:p>
        </w:tc>
      </w:tr>
    </w:tbl>
    <w:p w14:paraId="69354023" w14:textId="44F1FAF1" w:rsidR="00A63873" w:rsidRPr="009A501D" w:rsidRDefault="0028444E" w:rsidP="00B24633">
      <w:pPr>
        <w:spacing w:before="240"/>
        <w:jc w:val="both"/>
        <w:rPr>
          <w:rFonts w:ascii="Century Gothic" w:hAnsi="Century Gothic"/>
          <w:sz w:val="19"/>
          <w:szCs w:val="19"/>
        </w:rPr>
      </w:pPr>
      <w:r w:rsidRPr="009A501D">
        <w:rPr>
          <w:rFonts w:ascii="Century Gothic" w:hAnsi="Century Gothic"/>
          <w:sz w:val="19"/>
          <w:szCs w:val="19"/>
        </w:rPr>
        <w:t>Si bien</w:t>
      </w:r>
      <w:r w:rsidR="0081502B" w:rsidRPr="009A501D">
        <w:rPr>
          <w:rFonts w:ascii="Century Gothic" w:hAnsi="Century Gothic"/>
          <w:sz w:val="19"/>
          <w:szCs w:val="19"/>
        </w:rPr>
        <w:t xml:space="preserve"> los indicadores de pertinencia desde el punto de vista de la efectividad de la producción miden cada uso de forma separada</w:t>
      </w:r>
      <w:r w:rsidR="001B7CC4" w:rsidRPr="009A501D">
        <w:rPr>
          <w:rFonts w:ascii="Century Gothic" w:hAnsi="Century Gothic"/>
          <w:sz w:val="19"/>
          <w:szCs w:val="19"/>
        </w:rPr>
        <w:t xml:space="preserve"> (ver Anexo 1)</w:t>
      </w:r>
      <w:r w:rsidR="0081502B" w:rsidRPr="009A501D">
        <w:rPr>
          <w:rFonts w:ascii="Century Gothic" w:hAnsi="Century Gothic"/>
          <w:sz w:val="19"/>
          <w:szCs w:val="19"/>
        </w:rPr>
        <w:t xml:space="preserve">, un mismo programa </w:t>
      </w:r>
      <w:r w:rsidR="00A376BC" w:rsidRPr="009A501D">
        <w:rPr>
          <w:rFonts w:ascii="Century Gothic" w:hAnsi="Century Gothic"/>
          <w:sz w:val="19"/>
          <w:szCs w:val="19"/>
        </w:rPr>
        <w:t>o proceso</w:t>
      </w:r>
      <w:r w:rsidR="0081502B" w:rsidRPr="009A501D">
        <w:rPr>
          <w:rFonts w:ascii="Century Gothic" w:hAnsi="Century Gothic"/>
          <w:sz w:val="19"/>
          <w:szCs w:val="19"/>
        </w:rPr>
        <w:t xml:space="preserve"> puede ser insumo para </w:t>
      </w:r>
      <w:r w:rsidR="00401335" w:rsidRPr="009A501D">
        <w:rPr>
          <w:rFonts w:ascii="Century Gothic" w:hAnsi="Century Gothic"/>
          <w:sz w:val="19"/>
          <w:szCs w:val="19"/>
        </w:rPr>
        <w:t xml:space="preserve">más de un </w:t>
      </w:r>
      <w:r w:rsidR="0081502B" w:rsidRPr="009A501D">
        <w:rPr>
          <w:rFonts w:ascii="Century Gothic" w:hAnsi="Century Gothic"/>
          <w:sz w:val="19"/>
          <w:szCs w:val="19"/>
        </w:rPr>
        <w:t>uso, por lo que resulta útil analizar el porcentaje acumulado</w:t>
      </w:r>
      <w:r w:rsidR="00C65918" w:rsidRPr="009A501D">
        <w:rPr>
          <w:rFonts w:ascii="Century Gothic" w:hAnsi="Century Gothic"/>
          <w:sz w:val="19"/>
          <w:szCs w:val="19"/>
        </w:rPr>
        <w:t xml:space="preserve"> </w:t>
      </w:r>
      <w:r w:rsidR="0081502B" w:rsidRPr="009A501D">
        <w:rPr>
          <w:rFonts w:ascii="Century Gothic" w:hAnsi="Century Gothic"/>
          <w:sz w:val="19"/>
          <w:szCs w:val="19"/>
        </w:rPr>
        <w:t>del uso externo de los programas de información</w:t>
      </w:r>
      <w:r w:rsidR="004B0812" w:rsidRPr="009A501D">
        <w:rPr>
          <w:rFonts w:ascii="Century Gothic" w:hAnsi="Century Gothic"/>
          <w:sz w:val="19"/>
          <w:szCs w:val="19"/>
        </w:rPr>
        <w:t xml:space="preserve"> o procesos de producción</w:t>
      </w:r>
      <w:r w:rsidR="0081502B" w:rsidRPr="009A501D">
        <w:rPr>
          <w:rFonts w:ascii="Century Gothic" w:hAnsi="Century Gothic"/>
          <w:sz w:val="19"/>
          <w:szCs w:val="19"/>
        </w:rPr>
        <w:t xml:space="preserve">. En el cuadro </w:t>
      </w:r>
      <w:r w:rsidR="002E4AA4" w:rsidRPr="009A501D">
        <w:rPr>
          <w:rFonts w:ascii="Century Gothic" w:hAnsi="Century Gothic"/>
          <w:sz w:val="19"/>
          <w:szCs w:val="19"/>
        </w:rPr>
        <w:t>III.1.2.</w:t>
      </w:r>
      <w:r w:rsidR="0081502B" w:rsidRPr="009A501D">
        <w:rPr>
          <w:rFonts w:ascii="Century Gothic" w:hAnsi="Century Gothic"/>
          <w:sz w:val="19"/>
          <w:szCs w:val="19"/>
        </w:rPr>
        <w:t xml:space="preserve"> </w:t>
      </w:r>
      <w:r w:rsidR="009C30F0" w:rsidRPr="009A501D">
        <w:rPr>
          <w:rFonts w:ascii="Century Gothic" w:hAnsi="Century Gothic"/>
          <w:sz w:val="19"/>
          <w:szCs w:val="19"/>
        </w:rPr>
        <w:t>se observa</w:t>
      </w:r>
      <w:r w:rsidR="0081502B" w:rsidRPr="009A501D">
        <w:rPr>
          <w:rFonts w:ascii="Century Gothic" w:hAnsi="Century Gothic"/>
          <w:sz w:val="19"/>
          <w:szCs w:val="19"/>
        </w:rPr>
        <w:t xml:space="preserve"> que </w:t>
      </w:r>
      <w:r w:rsidR="00AC526F" w:rsidRPr="009A501D">
        <w:rPr>
          <w:rFonts w:ascii="Century Gothic" w:hAnsi="Century Gothic"/>
          <w:sz w:val="19"/>
          <w:szCs w:val="19"/>
        </w:rPr>
        <w:t xml:space="preserve">el 42% de los programas de información </w:t>
      </w:r>
      <w:r w:rsidR="004B0812" w:rsidRPr="009A501D">
        <w:rPr>
          <w:rFonts w:ascii="Century Gothic" w:hAnsi="Century Gothic"/>
          <w:sz w:val="19"/>
          <w:szCs w:val="19"/>
        </w:rPr>
        <w:t>o procesos de producción</w:t>
      </w:r>
      <w:r w:rsidR="00AC526F" w:rsidRPr="009A501D">
        <w:rPr>
          <w:rFonts w:ascii="Century Gothic" w:hAnsi="Century Gothic"/>
          <w:sz w:val="19"/>
          <w:szCs w:val="19"/>
        </w:rPr>
        <w:t xml:space="preserve"> se utilizan para la atención a disposiciones lega</w:t>
      </w:r>
      <w:r w:rsidR="00401335" w:rsidRPr="009A501D">
        <w:rPr>
          <w:rFonts w:ascii="Century Gothic" w:hAnsi="Century Gothic"/>
          <w:sz w:val="19"/>
          <w:szCs w:val="19"/>
        </w:rPr>
        <w:t>l</w:t>
      </w:r>
      <w:r w:rsidR="00AC526F" w:rsidRPr="009A501D">
        <w:rPr>
          <w:rFonts w:ascii="Century Gothic" w:hAnsi="Century Gothic"/>
          <w:sz w:val="19"/>
          <w:szCs w:val="19"/>
        </w:rPr>
        <w:t>es</w:t>
      </w:r>
      <w:r w:rsidR="00401335" w:rsidRPr="009A501D">
        <w:rPr>
          <w:rFonts w:ascii="Century Gothic" w:hAnsi="Century Gothic"/>
          <w:sz w:val="19"/>
          <w:szCs w:val="19"/>
        </w:rPr>
        <w:t>,</w:t>
      </w:r>
      <w:r w:rsidR="00AC526F" w:rsidRPr="009A501D">
        <w:rPr>
          <w:rFonts w:ascii="Century Gothic" w:hAnsi="Century Gothic"/>
          <w:sz w:val="19"/>
          <w:szCs w:val="19"/>
        </w:rPr>
        <w:t xml:space="preserve"> </w:t>
      </w:r>
      <w:r w:rsidR="00B24633" w:rsidRPr="009A501D">
        <w:rPr>
          <w:rFonts w:ascii="Century Gothic" w:hAnsi="Century Gothic"/>
          <w:sz w:val="19"/>
          <w:szCs w:val="19"/>
        </w:rPr>
        <w:t xml:space="preserve">en tanto que </w:t>
      </w:r>
      <w:r w:rsidR="00401335" w:rsidRPr="009A501D">
        <w:rPr>
          <w:rFonts w:ascii="Century Gothic" w:hAnsi="Century Gothic"/>
          <w:sz w:val="19"/>
          <w:szCs w:val="19"/>
        </w:rPr>
        <w:t>el uso para indicadores de los ODS</w:t>
      </w:r>
      <w:r w:rsidR="00AC526F" w:rsidRPr="009A501D">
        <w:rPr>
          <w:rFonts w:ascii="Century Gothic" w:hAnsi="Century Gothic"/>
          <w:sz w:val="19"/>
          <w:szCs w:val="19"/>
        </w:rPr>
        <w:t xml:space="preserve"> alcanza </w:t>
      </w:r>
      <w:r w:rsidR="000667A8" w:rsidRPr="009A501D">
        <w:rPr>
          <w:rFonts w:ascii="Century Gothic" w:hAnsi="Century Gothic"/>
          <w:sz w:val="19"/>
          <w:szCs w:val="19"/>
        </w:rPr>
        <w:t>el</w:t>
      </w:r>
      <w:r w:rsidR="00AC526F" w:rsidRPr="009A501D">
        <w:rPr>
          <w:rFonts w:ascii="Century Gothic" w:hAnsi="Century Gothic"/>
          <w:sz w:val="19"/>
          <w:szCs w:val="19"/>
        </w:rPr>
        <w:t xml:space="preserve"> 69%.</w:t>
      </w:r>
    </w:p>
    <w:p w14:paraId="3AEA7148" w14:textId="77777777" w:rsidR="005C2104" w:rsidRPr="009A501D" w:rsidRDefault="002E4AA4" w:rsidP="00664A1D">
      <w:pPr>
        <w:spacing w:before="240"/>
        <w:jc w:val="center"/>
        <w:rPr>
          <w:rFonts w:ascii="Century Gothic" w:hAnsi="Century Gothic"/>
          <w:sz w:val="19"/>
          <w:szCs w:val="19"/>
        </w:rPr>
      </w:pPr>
      <w:r w:rsidRPr="009A501D">
        <w:rPr>
          <w:rFonts w:ascii="Century Gothic" w:hAnsi="Century Gothic"/>
          <w:b/>
          <w:sz w:val="19"/>
          <w:szCs w:val="19"/>
        </w:rPr>
        <w:t>III.1.2</w:t>
      </w:r>
      <w:r w:rsidR="000F019A" w:rsidRPr="009A501D">
        <w:rPr>
          <w:rFonts w:ascii="Century Gothic" w:hAnsi="Century Gothic"/>
          <w:b/>
          <w:sz w:val="19"/>
          <w:szCs w:val="19"/>
        </w:rPr>
        <w:t xml:space="preserve">. </w:t>
      </w:r>
      <w:r w:rsidR="007A4F36" w:rsidRPr="009A501D">
        <w:rPr>
          <w:rFonts w:ascii="Century Gothic" w:hAnsi="Century Gothic"/>
          <w:b/>
          <w:sz w:val="19"/>
          <w:szCs w:val="19"/>
        </w:rPr>
        <w:t>Porcentaje de p</w:t>
      </w:r>
      <w:r w:rsidR="005C2104" w:rsidRPr="009A501D">
        <w:rPr>
          <w:rFonts w:ascii="Century Gothic" w:hAnsi="Century Gothic"/>
          <w:b/>
          <w:sz w:val="19"/>
          <w:szCs w:val="19"/>
        </w:rPr>
        <w:t>rogramas con uso externo</w:t>
      </w:r>
    </w:p>
    <w:tbl>
      <w:tblPr>
        <w:tblW w:w="9240" w:type="dxa"/>
        <w:jc w:val="center"/>
        <w:tblCellMar>
          <w:left w:w="70" w:type="dxa"/>
          <w:right w:w="70" w:type="dxa"/>
        </w:tblCellMar>
        <w:tblLook w:val="04A0" w:firstRow="1" w:lastRow="0" w:firstColumn="1" w:lastColumn="0" w:noHBand="0" w:noVBand="1"/>
      </w:tblPr>
      <w:tblGrid>
        <w:gridCol w:w="2474"/>
        <w:gridCol w:w="3158"/>
        <w:gridCol w:w="514"/>
        <w:gridCol w:w="442"/>
        <w:gridCol w:w="442"/>
        <w:gridCol w:w="442"/>
        <w:gridCol w:w="442"/>
        <w:gridCol w:w="442"/>
        <w:gridCol w:w="442"/>
        <w:gridCol w:w="442"/>
      </w:tblGrid>
      <w:tr w:rsidR="00AC526F" w:rsidRPr="009A501D" w14:paraId="0510CB48" w14:textId="77777777" w:rsidTr="00F062A3">
        <w:trPr>
          <w:trHeight w:val="20"/>
          <w:jc w:val="center"/>
        </w:trPr>
        <w:tc>
          <w:tcPr>
            <w:tcW w:w="9240" w:type="dxa"/>
            <w:gridSpan w:val="10"/>
            <w:tcBorders>
              <w:top w:val="nil"/>
              <w:left w:val="single" w:sz="8" w:space="0" w:color="FFFFFF"/>
              <w:bottom w:val="single" w:sz="8" w:space="0" w:color="FFFFFF"/>
              <w:right w:val="nil"/>
            </w:tcBorders>
            <w:shd w:val="clear" w:color="auto" w:fill="002060"/>
            <w:vAlign w:val="center"/>
            <w:hideMark/>
          </w:tcPr>
          <w:p w14:paraId="3370AFB0" w14:textId="77777777" w:rsidR="00AC526F" w:rsidRPr="009A501D" w:rsidRDefault="00AC526F" w:rsidP="00A455C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Porcentaje de programas de información del INEGI por tipo de uso</w:t>
            </w:r>
          </w:p>
        </w:tc>
      </w:tr>
      <w:tr w:rsidR="00AC526F" w:rsidRPr="009A501D" w14:paraId="698B6F81" w14:textId="77777777" w:rsidTr="00F062A3">
        <w:trPr>
          <w:trHeight w:val="20"/>
          <w:jc w:val="center"/>
        </w:trPr>
        <w:tc>
          <w:tcPr>
            <w:tcW w:w="5632" w:type="dxa"/>
            <w:gridSpan w:val="2"/>
            <w:tcBorders>
              <w:top w:val="single" w:sz="8" w:space="0" w:color="FFFFFF"/>
              <w:left w:val="single" w:sz="8" w:space="0" w:color="FFFFFF"/>
              <w:bottom w:val="single" w:sz="8" w:space="0" w:color="FFFFFF"/>
              <w:right w:val="single" w:sz="8" w:space="0" w:color="FFFFFF"/>
            </w:tcBorders>
            <w:shd w:val="clear" w:color="auto" w:fill="002060"/>
            <w:vAlign w:val="center"/>
            <w:hideMark/>
          </w:tcPr>
          <w:p w14:paraId="7053428C" w14:textId="77777777" w:rsidR="00AC526F" w:rsidRPr="009A501D" w:rsidRDefault="00AC526F" w:rsidP="00A455C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Tipo de uso</w:t>
            </w:r>
          </w:p>
        </w:tc>
        <w:tc>
          <w:tcPr>
            <w:tcW w:w="3608" w:type="dxa"/>
            <w:gridSpan w:val="8"/>
            <w:tcBorders>
              <w:top w:val="single" w:sz="8" w:space="0" w:color="FFFFFF"/>
              <w:left w:val="nil"/>
              <w:bottom w:val="single" w:sz="8" w:space="0" w:color="FFFFFF"/>
              <w:right w:val="single" w:sz="8" w:space="0" w:color="FFFFFF"/>
            </w:tcBorders>
            <w:shd w:val="clear" w:color="auto" w:fill="002060"/>
            <w:vAlign w:val="center"/>
            <w:hideMark/>
          </w:tcPr>
          <w:p w14:paraId="452CFA4F" w14:textId="77777777" w:rsidR="00AC526F" w:rsidRPr="009A501D" w:rsidRDefault="00AC526F" w:rsidP="00A455C6">
            <w:pPr>
              <w:spacing w:after="0" w:line="240" w:lineRule="auto"/>
              <w:jc w:val="center"/>
              <w:rPr>
                <w:rFonts w:ascii="Century Gothic" w:eastAsia="Times New Roman" w:hAnsi="Century Gothic" w:cs="Arial"/>
                <w:b/>
                <w:bCs/>
                <w:color w:val="FFFFFF"/>
                <w:sz w:val="16"/>
                <w:szCs w:val="16"/>
                <w:lang w:eastAsia="es-MX"/>
              </w:rPr>
            </w:pPr>
            <w:r w:rsidRPr="009A501D">
              <w:rPr>
                <w:rFonts w:ascii="Century Gothic" w:eastAsia="Times New Roman" w:hAnsi="Century Gothic" w:cs="Arial"/>
                <w:b/>
                <w:bCs/>
                <w:color w:val="FFFFFF"/>
                <w:sz w:val="16"/>
                <w:szCs w:val="16"/>
                <w:lang w:eastAsia="es-MX"/>
              </w:rPr>
              <w:t>Porcentaje acumulado</w:t>
            </w:r>
          </w:p>
        </w:tc>
      </w:tr>
      <w:tr w:rsidR="00253B61" w:rsidRPr="009A501D" w14:paraId="7780920A" w14:textId="77777777" w:rsidTr="00253B61">
        <w:trPr>
          <w:trHeight w:val="20"/>
          <w:jc w:val="center"/>
        </w:trPr>
        <w:tc>
          <w:tcPr>
            <w:tcW w:w="2474" w:type="dxa"/>
            <w:vMerge w:val="restart"/>
            <w:tcBorders>
              <w:top w:val="nil"/>
              <w:left w:val="single" w:sz="8" w:space="0" w:color="FFFFFF"/>
              <w:bottom w:val="single" w:sz="8" w:space="0" w:color="FFFFFF"/>
              <w:right w:val="nil"/>
            </w:tcBorders>
            <w:shd w:val="clear" w:color="auto" w:fill="F2F2F2" w:themeFill="background1" w:themeFillShade="F2"/>
            <w:vAlign w:val="center"/>
            <w:hideMark/>
          </w:tcPr>
          <w:p w14:paraId="25419AA8"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Atención a disposiciones legales</w:t>
            </w:r>
          </w:p>
        </w:tc>
        <w:tc>
          <w:tcPr>
            <w:tcW w:w="3158" w:type="dxa"/>
            <w:tcBorders>
              <w:top w:val="nil"/>
              <w:left w:val="nil"/>
              <w:bottom w:val="single" w:sz="8" w:space="0" w:color="FFFFFF"/>
              <w:right w:val="nil"/>
            </w:tcBorders>
            <w:shd w:val="clear" w:color="auto" w:fill="F2F2F2" w:themeFill="background1" w:themeFillShade="F2"/>
            <w:noWrap/>
            <w:vAlign w:val="center"/>
            <w:hideMark/>
          </w:tcPr>
          <w:p w14:paraId="60D6DCFF"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Constitución y leyes</w:t>
            </w:r>
          </w:p>
        </w:tc>
        <w:tc>
          <w:tcPr>
            <w:tcW w:w="514" w:type="dxa"/>
            <w:tcBorders>
              <w:top w:val="nil"/>
              <w:left w:val="single" w:sz="8" w:space="0" w:color="FFFFFF"/>
              <w:bottom w:val="single" w:sz="8" w:space="0" w:color="FFFFFF"/>
              <w:right w:val="single" w:sz="8" w:space="0" w:color="FFFFFF"/>
            </w:tcBorders>
            <w:shd w:val="clear" w:color="auto" w:fill="F2F2F2" w:themeFill="background1" w:themeFillShade="F2"/>
            <w:noWrap/>
            <w:vAlign w:val="bottom"/>
            <w:hideMark/>
          </w:tcPr>
          <w:p w14:paraId="2DE904CB" w14:textId="77777777" w:rsidR="00AC526F" w:rsidRPr="009A501D" w:rsidRDefault="00AC526F" w:rsidP="00A455C6">
            <w:pPr>
              <w:spacing w:after="0" w:line="240" w:lineRule="auto"/>
              <w:jc w:val="right"/>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39%</w:t>
            </w:r>
          </w:p>
        </w:tc>
        <w:tc>
          <w:tcPr>
            <w:tcW w:w="442" w:type="dxa"/>
            <w:vMerge w:val="restart"/>
            <w:tcBorders>
              <w:top w:val="nil"/>
              <w:left w:val="single" w:sz="8" w:space="0" w:color="FFFFFF"/>
              <w:bottom w:val="single" w:sz="8" w:space="0" w:color="FFFFFF"/>
              <w:right w:val="nil"/>
            </w:tcBorders>
            <w:shd w:val="clear" w:color="auto" w:fill="F2F2F2" w:themeFill="background1" w:themeFillShade="F2"/>
            <w:noWrap/>
            <w:vAlign w:val="center"/>
            <w:hideMark/>
          </w:tcPr>
          <w:p w14:paraId="5F69B7A3"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42%</w:t>
            </w:r>
          </w:p>
        </w:tc>
        <w:tc>
          <w:tcPr>
            <w:tcW w:w="442" w:type="dxa"/>
            <w:vMerge w:val="restart"/>
            <w:tcBorders>
              <w:top w:val="nil"/>
              <w:left w:val="single" w:sz="8" w:space="0" w:color="FFFFFF"/>
              <w:bottom w:val="single" w:sz="8" w:space="0" w:color="FFFFFF"/>
              <w:right w:val="nil"/>
            </w:tcBorders>
            <w:shd w:val="clear" w:color="auto" w:fill="D9D9D9" w:themeFill="background1" w:themeFillShade="D9"/>
            <w:noWrap/>
            <w:vAlign w:val="center"/>
            <w:hideMark/>
          </w:tcPr>
          <w:p w14:paraId="75B6C486"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59%</w:t>
            </w:r>
          </w:p>
        </w:tc>
        <w:tc>
          <w:tcPr>
            <w:tcW w:w="442" w:type="dxa"/>
            <w:vMerge w:val="restart"/>
            <w:tcBorders>
              <w:top w:val="nil"/>
              <w:left w:val="single" w:sz="8" w:space="0" w:color="FFFFFF"/>
              <w:bottom w:val="single" w:sz="8" w:space="0" w:color="FFFFFF"/>
              <w:right w:val="nil"/>
            </w:tcBorders>
            <w:shd w:val="clear" w:color="auto" w:fill="D9D9D9" w:themeFill="background1" w:themeFillShade="D9"/>
            <w:noWrap/>
            <w:vAlign w:val="center"/>
            <w:hideMark/>
          </w:tcPr>
          <w:p w14:paraId="7F9E407D"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60%</w:t>
            </w:r>
          </w:p>
        </w:tc>
        <w:tc>
          <w:tcPr>
            <w:tcW w:w="442" w:type="dxa"/>
            <w:vMerge w:val="restart"/>
            <w:tcBorders>
              <w:top w:val="nil"/>
              <w:left w:val="single" w:sz="8" w:space="0" w:color="FFFFFF"/>
              <w:bottom w:val="single" w:sz="8" w:space="0" w:color="FFFFFF"/>
              <w:right w:val="nil"/>
            </w:tcBorders>
            <w:shd w:val="clear" w:color="auto" w:fill="D9D9D9" w:themeFill="background1" w:themeFillShade="D9"/>
            <w:noWrap/>
            <w:vAlign w:val="center"/>
            <w:hideMark/>
          </w:tcPr>
          <w:p w14:paraId="751CE654"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69%</w:t>
            </w:r>
          </w:p>
        </w:tc>
        <w:tc>
          <w:tcPr>
            <w:tcW w:w="442" w:type="dxa"/>
            <w:vMerge w:val="restart"/>
            <w:tcBorders>
              <w:top w:val="nil"/>
              <w:left w:val="single" w:sz="8" w:space="0" w:color="FFFFFF"/>
              <w:bottom w:val="single" w:sz="8" w:space="0" w:color="FFFFFF"/>
              <w:right w:val="nil"/>
            </w:tcBorders>
            <w:shd w:val="clear" w:color="auto" w:fill="D9D9D9" w:themeFill="background1" w:themeFillShade="D9"/>
            <w:noWrap/>
            <w:vAlign w:val="center"/>
            <w:hideMark/>
          </w:tcPr>
          <w:p w14:paraId="70BD2C82"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87%</w:t>
            </w:r>
          </w:p>
        </w:tc>
        <w:tc>
          <w:tcPr>
            <w:tcW w:w="442" w:type="dxa"/>
            <w:vMerge w:val="restart"/>
            <w:tcBorders>
              <w:top w:val="nil"/>
              <w:left w:val="single" w:sz="8" w:space="0" w:color="FFFFFF"/>
              <w:bottom w:val="single" w:sz="8" w:space="0" w:color="FFFFFF"/>
              <w:right w:val="nil"/>
            </w:tcBorders>
            <w:shd w:val="clear" w:color="auto" w:fill="DEEAF6" w:themeFill="accent1" w:themeFillTint="33"/>
            <w:noWrap/>
            <w:vAlign w:val="center"/>
            <w:hideMark/>
          </w:tcPr>
          <w:p w14:paraId="24616B25"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91%</w:t>
            </w:r>
          </w:p>
        </w:tc>
        <w:tc>
          <w:tcPr>
            <w:tcW w:w="442" w:type="dxa"/>
            <w:vMerge w:val="restart"/>
            <w:tcBorders>
              <w:top w:val="nil"/>
              <w:left w:val="single" w:sz="8" w:space="0" w:color="FFFFFF"/>
              <w:bottom w:val="single" w:sz="8" w:space="0" w:color="FFFFFF"/>
              <w:right w:val="single" w:sz="8" w:space="0" w:color="FFFFFF"/>
            </w:tcBorders>
            <w:shd w:val="clear" w:color="auto" w:fill="DEEAF6" w:themeFill="accent1" w:themeFillTint="33"/>
            <w:noWrap/>
            <w:vAlign w:val="center"/>
            <w:hideMark/>
          </w:tcPr>
          <w:p w14:paraId="48581DEB"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97%</w:t>
            </w:r>
          </w:p>
        </w:tc>
      </w:tr>
      <w:tr w:rsidR="00C47A98" w:rsidRPr="009A501D" w14:paraId="1D039BC1" w14:textId="77777777" w:rsidTr="00253B61">
        <w:trPr>
          <w:trHeight w:val="20"/>
          <w:jc w:val="center"/>
        </w:trPr>
        <w:tc>
          <w:tcPr>
            <w:tcW w:w="2474" w:type="dxa"/>
            <w:vMerge/>
            <w:tcBorders>
              <w:top w:val="nil"/>
              <w:left w:val="single" w:sz="8" w:space="0" w:color="FFFFFF"/>
              <w:bottom w:val="single" w:sz="8" w:space="0" w:color="FFFFFF"/>
              <w:right w:val="nil"/>
            </w:tcBorders>
            <w:vAlign w:val="center"/>
            <w:hideMark/>
          </w:tcPr>
          <w:p w14:paraId="1A6F8963"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p>
        </w:tc>
        <w:tc>
          <w:tcPr>
            <w:tcW w:w="3158" w:type="dxa"/>
            <w:tcBorders>
              <w:top w:val="nil"/>
              <w:left w:val="nil"/>
              <w:bottom w:val="single" w:sz="8" w:space="0" w:color="FFFFFF"/>
              <w:right w:val="nil"/>
            </w:tcBorders>
            <w:shd w:val="clear" w:color="auto" w:fill="F2F2F2" w:themeFill="background1" w:themeFillShade="F2"/>
            <w:noWrap/>
            <w:vAlign w:val="center"/>
            <w:hideMark/>
          </w:tcPr>
          <w:p w14:paraId="43F66944"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Tratados Internacionales</w:t>
            </w:r>
          </w:p>
        </w:tc>
        <w:tc>
          <w:tcPr>
            <w:tcW w:w="514" w:type="dxa"/>
            <w:tcBorders>
              <w:top w:val="nil"/>
              <w:left w:val="nil"/>
              <w:bottom w:val="single" w:sz="8" w:space="0" w:color="FFFFFF"/>
              <w:right w:val="nil"/>
            </w:tcBorders>
            <w:shd w:val="clear" w:color="auto" w:fill="F2F2F2" w:themeFill="background1" w:themeFillShade="F2"/>
            <w:noWrap/>
            <w:vAlign w:val="bottom"/>
            <w:hideMark/>
          </w:tcPr>
          <w:p w14:paraId="5F31286C"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shd w:val="clear" w:color="auto" w:fill="F2F2F2" w:themeFill="background1" w:themeFillShade="F2"/>
            <w:vAlign w:val="center"/>
            <w:hideMark/>
          </w:tcPr>
          <w:p w14:paraId="7BE8A573"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2720346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1986FE34"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6AD2DFDD"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36E30C5C"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3F5DEEA1"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shd w:val="clear" w:color="auto" w:fill="DEEAF6" w:themeFill="accent1" w:themeFillTint="33"/>
            <w:vAlign w:val="center"/>
            <w:hideMark/>
          </w:tcPr>
          <w:p w14:paraId="11985BBA"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C47A98" w:rsidRPr="009A501D" w14:paraId="1CD4E045" w14:textId="77777777" w:rsidTr="00253B61">
        <w:trPr>
          <w:trHeight w:val="20"/>
          <w:jc w:val="center"/>
        </w:trPr>
        <w:tc>
          <w:tcPr>
            <w:tcW w:w="2474" w:type="dxa"/>
            <w:vMerge w:val="restart"/>
            <w:tcBorders>
              <w:top w:val="nil"/>
              <w:left w:val="single" w:sz="8" w:space="0" w:color="FFFFFF"/>
              <w:bottom w:val="single" w:sz="8" w:space="0" w:color="FFFFFF"/>
              <w:right w:val="nil"/>
            </w:tcBorders>
            <w:shd w:val="clear" w:color="auto" w:fill="D9D9D9" w:themeFill="background1" w:themeFillShade="D9"/>
            <w:vAlign w:val="center"/>
            <w:hideMark/>
          </w:tcPr>
          <w:p w14:paraId="2E7B02E5"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Uso en la medición del desarrollo nacional</w:t>
            </w:r>
          </w:p>
        </w:tc>
        <w:tc>
          <w:tcPr>
            <w:tcW w:w="3672" w:type="dxa"/>
            <w:gridSpan w:val="2"/>
            <w:tcBorders>
              <w:top w:val="single" w:sz="8" w:space="0" w:color="FFFFFF"/>
              <w:left w:val="nil"/>
              <w:bottom w:val="single" w:sz="8" w:space="0" w:color="FFFFFF"/>
              <w:right w:val="nil"/>
            </w:tcBorders>
            <w:shd w:val="clear" w:color="auto" w:fill="D9D9D9" w:themeFill="background1" w:themeFillShade="D9"/>
            <w:noWrap/>
            <w:vAlign w:val="center"/>
            <w:hideMark/>
          </w:tcPr>
          <w:p w14:paraId="402AE57B"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Indicadores de programas derivados del PND</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48B274CD"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0137C381"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5353D5F9"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52448E72"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2B197A51"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0B76332C"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shd w:val="clear" w:color="auto" w:fill="DEEAF6" w:themeFill="accent1" w:themeFillTint="33"/>
            <w:vAlign w:val="center"/>
            <w:hideMark/>
          </w:tcPr>
          <w:p w14:paraId="5095C5D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C47A98" w:rsidRPr="009A501D" w14:paraId="6130F42C" w14:textId="77777777" w:rsidTr="00253B61">
        <w:trPr>
          <w:trHeight w:val="20"/>
          <w:jc w:val="center"/>
        </w:trPr>
        <w:tc>
          <w:tcPr>
            <w:tcW w:w="2474"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2DAC6BE4"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p>
        </w:tc>
        <w:tc>
          <w:tcPr>
            <w:tcW w:w="3158" w:type="dxa"/>
            <w:tcBorders>
              <w:top w:val="nil"/>
              <w:left w:val="nil"/>
              <w:bottom w:val="single" w:sz="8" w:space="0" w:color="FFFFFF"/>
              <w:right w:val="nil"/>
            </w:tcBorders>
            <w:shd w:val="clear" w:color="auto" w:fill="D9D9D9" w:themeFill="background1" w:themeFillShade="D9"/>
            <w:noWrap/>
            <w:vAlign w:val="center"/>
            <w:hideMark/>
          </w:tcPr>
          <w:p w14:paraId="4AB3E5D7"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Indicadores Clave</w:t>
            </w:r>
          </w:p>
        </w:tc>
        <w:tc>
          <w:tcPr>
            <w:tcW w:w="514" w:type="dxa"/>
            <w:tcBorders>
              <w:top w:val="nil"/>
              <w:left w:val="nil"/>
              <w:bottom w:val="single" w:sz="8" w:space="0" w:color="FFFFFF"/>
              <w:right w:val="nil"/>
            </w:tcBorders>
            <w:shd w:val="clear" w:color="auto" w:fill="D9D9D9" w:themeFill="background1" w:themeFillShade="D9"/>
            <w:noWrap/>
            <w:vAlign w:val="bottom"/>
            <w:hideMark/>
          </w:tcPr>
          <w:p w14:paraId="7285450A"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7DB68BF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5F245BF8"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10E91FD3"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5A769640"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126F02B9"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47C83525"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shd w:val="clear" w:color="auto" w:fill="DEEAF6" w:themeFill="accent1" w:themeFillTint="33"/>
            <w:vAlign w:val="center"/>
            <w:hideMark/>
          </w:tcPr>
          <w:p w14:paraId="66ABA049"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C47A98" w:rsidRPr="009A501D" w14:paraId="42F1736A" w14:textId="77777777" w:rsidTr="00253B61">
        <w:trPr>
          <w:trHeight w:val="20"/>
          <w:jc w:val="center"/>
        </w:trPr>
        <w:tc>
          <w:tcPr>
            <w:tcW w:w="2474"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2E142C27"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p>
        </w:tc>
        <w:tc>
          <w:tcPr>
            <w:tcW w:w="3158" w:type="dxa"/>
            <w:tcBorders>
              <w:top w:val="nil"/>
              <w:left w:val="nil"/>
              <w:bottom w:val="single" w:sz="8" w:space="0" w:color="FFFFFF"/>
              <w:right w:val="nil"/>
            </w:tcBorders>
            <w:shd w:val="clear" w:color="auto" w:fill="D9D9D9" w:themeFill="background1" w:themeFillShade="D9"/>
            <w:noWrap/>
            <w:vAlign w:val="center"/>
            <w:hideMark/>
          </w:tcPr>
          <w:p w14:paraId="56EEAAC9"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Indicadores de los ODS</w:t>
            </w:r>
          </w:p>
        </w:tc>
        <w:tc>
          <w:tcPr>
            <w:tcW w:w="514" w:type="dxa"/>
            <w:tcBorders>
              <w:top w:val="nil"/>
              <w:left w:val="nil"/>
              <w:bottom w:val="single" w:sz="8" w:space="0" w:color="FFFFFF"/>
              <w:right w:val="nil"/>
            </w:tcBorders>
            <w:shd w:val="clear" w:color="auto" w:fill="D9D9D9" w:themeFill="background1" w:themeFillShade="D9"/>
            <w:noWrap/>
            <w:vAlign w:val="bottom"/>
            <w:hideMark/>
          </w:tcPr>
          <w:p w14:paraId="1D1AB9F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255CDD2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769CB8EB"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756EFF7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3E4B47E1"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vAlign w:val="center"/>
            <w:hideMark/>
          </w:tcPr>
          <w:p w14:paraId="69115FD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5A97E5B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shd w:val="clear" w:color="auto" w:fill="DEEAF6" w:themeFill="accent1" w:themeFillTint="33"/>
            <w:vAlign w:val="center"/>
            <w:hideMark/>
          </w:tcPr>
          <w:p w14:paraId="1055B445"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C47A98" w:rsidRPr="009A501D" w14:paraId="3D61D695" w14:textId="77777777" w:rsidTr="00253B61">
        <w:trPr>
          <w:trHeight w:val="20"/>
          <w:jc w:val="center"/>
        </w:trPr>
        <w:tc>
          <w:tcPr>
            <w:tcW w:w="2474" w:type="dxa"/>
            <w:vMerge/>
            <w:tcBorders>
              <w:top w:val="nil"/>
              <w:left w:val="single" w:sz="8" w:space="0" w:color="FFFFFF"/>
              <w:bottom w:val="single" w:sz="8" w:space="0" w:color="FFFFFF"/>
              <w:right w:val="nil"/>
            </w:tcBorders>
            <w:shd w:val="clear" w:color="auto" w:fill="D9D9D9" w:themeFill="background1" w:themeFillShade="D9"/>
            <w:vAlign w:val="center"/>
            <w:hideMark/>
          </w:tcPr>
          <w:p w14:paraId="43E573C3"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p>
        </w:tc>
        <w:tc>
          <w:tcPr>
            <w:tcW w:w="3158" w:type="dxa"/>
            <w:tcBorders>
              <w:top w:val="nil"/>
              <w:left w:val="nil"/>
              <w:bottom w:val="single" w:sz="8" w:space="0" w:color="FFFFFF"/>
              <w:right w:val="nil"/>
            </w:tcBorders>
            <w:shd w:val="clear" w:color="auto" w:fill="D9D9D9" w:themeFill="background1" w:themeFillShade="D9"/>
            <w:noWrap/>
            <w:vAlign w:val="center"/>
            <w:hideMark/>
          </w:tcPr>
          <w:p w14:paraId="5496D9E7"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Metas genéricas del PND</w:t>
            </w:r>
          </w:p>
        </w:tc>
        <w:tc>
          <w:tcPr>
            <w:tcW w:w="514" w:type="dxa"/>
            <w:tcBorders>
              <w:top w:val="nil"/>
              <w:left w:val="nil"/>
              <w:bottom w:val="single" w:sz="8" w:space="0" w:color="FFFFFF"/>
              <w:right w:val="nil"/>
            </w:tcBorders>
            <w:shd w:val="clear" w:color="auto" w:fill="D9D9D9" w:themeFill="background1" w:themeFillShade="D9"/>
            <w:noWrap/>
            <w:vAlign w:val="bottom"/>
            <w:hideMark/>
          </w:tcPr>
          <w:p w14:paraId="3A32597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38A02A2A"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737E5C9B"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51B38DDC"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9D9D9" w:themeFill="background1" w:themeFillShade="D9"/>
            <w:noWrap/>
            <w:vAlign w:val="center"/>
            <w:hideMark/>
          </w:tcPr>
          <w:p w14:paraId="70560BF5"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vAlign w:val="center"/>
            <w:hideMark/>
          </w:tcPr>
          <w:p w14:paraId="3015AA72"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4A389561"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shd w:val="clear" w:color="auto" w:fill="DEEAF6" w:themeFill="accent1" w:themeFillTint="33"/>
            <w:vAlign w:val="center"/>
            <w:hideMark/>
          </w:tcPr>
          <w:p w14:paraId="77C78C64"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DC159D" w:rsidRPr="009A501D" w14:paraId="51482C28" w14:textId="77777777" w:rsidTr="00253B61">
        <w:trPr>
          <w:trHeight w:val="20"/>
          <w:jc w:val="center"/>
        </w:trPr>
        <w:tc>
          <w:tcPr>
            <w:tcW w:w="2474" w:type="dxa"/>
            <w:vMerge w:val="restart"/>
            <w:tcBorders>
              <w:top w:val="nil"/>
              <w:left w:val="single" w:sz="8" w:space="0" w:color="FFFFFF"/>
              <w:bottom w:val="single" w:sz="8" w:space="0" w:color="FFFFFF"/>
              <w:right w:val="nil"/>
            </w:tcBorders>
            <w:shd w:val="clear" w:color="auto" w:fill="DEEAF6" w:themeFill="accent1" w:themeFillTint="33"/>
            <w:vAlign w:val="center"/>
            <w:hideMark/>
          </w:tcPr>
          <w:p w14:paraId="6D71EE83" w14:textId="77777777" w:rsidR="00AC526F" w:rsidRPr="009A501D" w:rsidRDefault="00AC526F" w:rsidP="00A455C6">
            <w:pPr>
              <w:spacing w:after="0" w:line="240" w:lineRule="auto"/>
              <w:jc w:val="center"/>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Consultas de usuarios</w:t>
            </w:r>
          </w:p>
        </w:tc>
        <w:tc>
          <w:tcPr>
            <w:tcW w:w="5440" w:type="dxa"/>
            <w:gridSpan w:val="6"/>
            <w:tcBorders>
              <w:top w:val="single" w:sz="8" w:space="0" w:color="FFFFFF"/>
              <w:left w:val="nil"/>
              <w:bottom w:val="single" w:sz="8" w:space="0" w:color="FFFFFF"/>
              <w:right w:val="nil"/>
            </w:tcBorders>
            <w:shd w:val="clear" w:color="auto" w:fill="DEEAF6" w:themeFill="accent1" w:themeFillTint="33"/>
            <w:noWrap/>
            <w:vAlign w:val="center"/>
            <w:hideMark/>
          </w:tcPr>
          <w:p w14:paraId="46D8165E"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Laboratorio de microdatos (principalmente para investigación)</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6ADEFAD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nil"/>
            </w:tcBorders>
            <w:shd w:val="clear" w:color="auto" w:fill="DEEAF6" w:themeFill="accent1" w:themeFillTint="33"/>
            <w:vAlign w:val="center"/>
            <w:hideMark/>
          </w:tcPr>
          <w:p w14:paraId="074B3E57"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c>
          <w:tcPr>
            <w:tcW w:w="442" w:type="dxa"/>
            <w:vMerge/>
            <w:tcBorders>
              <w:top w:val="nil"/>
              <w:left w:val="single" w:sz="8" w:space="0" w:color="FFFFFF"/>
              <w:bottom w:val="single" w:sz="8" w:space="0" w:color="FFFFFF"/>
              <w:right w:val="single" w:sz="8" w:space="0" w:color="FFFFFF"/>
            </w:tcBorders>
            <w:vAlign w:val="center"/>
            <w:hideMark/>
          </w:tcPr>
          <w:p w14:paraId="6CA356DC"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r w:rsidR="00DC159D" w:rsidRPr="009A501D" w14:paraId="359F2069" w14:textId="77777777" w:rsidTr="00253B61">
        <w:trPr>
          <w:trHeight w:val="20"/>
          <w:jc w:val="center"/>
        </w:trPr>
        <w:tc>
          <w:tcPr>
            <w:tcW w:w="2474" w:type="dxa"/>
            <w:vMerge/>
            <w:tcBorders>
              <w:top w:val="nil"/>
              <w:left w:val="single" w:sz="8" w:space="0" w:color="FFFFFF"/>
              <w:bottom w:val="single" w:sz="8" w:space="0" w:color="FFFFFF"/>
              <w:right w:val="nil"/>
            </w:tcBorders>
            <w:shd w:val="clear" w:color="auto" w:fill="DEEAF6" w:themeFill="accent1" w:themeFillTint="33"/>
            <w:vAlign w:val="center"/>
            <w:hideMark/>
          </w:tcPr>
          <w:p w14:paraId="58D2ECA5" w14:textId="77777777" w:rsidR="00AC526F" w:rsidRPr="009A501D" w:rsidRDefault="00AC526F" w:rsidP="00A455C6">
            <w:pPr>
              <w:spacing w:after="0" w:line="240" w:lineRule="auto"/>
              <w:rPr>
                <w:rFonts w:ascii="Century Gothic" w:eastAsia="Times New Roman" w:hAnsi="Century Gothic" w:cs="Arial"/>
                <w:color w:val="000000"/>
                <w:sz w:val="16"/>
                <w:szCs w:val="16"/>
                <w:lang w:eastAsia="es-MX"/>
              </w:rPr>
            </w:pPr>
          </w:p>
        </w:tc>
        <w:tc>
          <w:tcPr>
            <w:tcW w:w="3672" w:type="dxa"/>
            <w:gridSpan w:val="2"/>
            <w:tcBorders>
              <w:top w:val="single" w:sz="8" w:space="0" w:color="FFFFFF"/>
              <w:left w:val="nil"/>
              <w:bottom w:val="single" w:sz="8" w:space="0" w:color="FFFFFF"/>
              <w:right w:val="nil"/>
            </w:tcBorders>
            <w:shd w:val="clear" w:color="auto" w:fill="DEEAF6" w:themeFill="accent1" w:themeFillTint="33"/>
            <w:noWrap/>
            <w:vAlign w:val="center"/>
            <w:hideMark/>
          </w:tcPr>
          <w:p w14:paraId="2ECD6849" w14:textId="4CA9EE80" w:rsidR="00AC526F" w:rsidRPr="009A501D" w:rsidRDefault="00AC526F" w:rsidP="00A455C6">
            <w:pPr>
              <w:spacing w:after="0" w:line="240" w:lineRule="auto"/>
              <w:rPr>
                <w:rFonts w:ascii="Century Gothic" w:eastAsia="Times New Roman" w:hAnsi="Century Gothic" w:cs="Arial"/>
                <w:color w:val="000000"/>
                <w:sz w:val="16"/>
                <w:szCs w:val="16"/>
                <w:lang w:eastAsia="es-MX"/>
              </w:rPr>
            </w:pPr>
            <w:r w:rsidRPr="009A501D">
              <w:rPr>
                <w:rFonts w:ascii="Century Gothic" w:eastAsia="Times New Roman" w:hAnsi="Century Gothic" w:cs="Arial"/>
                <w:color w:val="000000"/>
                <w:sz w:val="16"/>
                <w:szCs w:val="16"/>
                <w:lang w:eastAsia="es-MX"/>
              </w:rPr>
              <w:t xml:space="preserve">Usuarios de la </w:t>
            </w:r>
            <w:r w:rsidR="000667A8" w:rsidRPr="009A501D">
              <w:rPr>
                <w:rFonts w:ascii="Century Gothic" w:eastAsia="Times New Roman" w:hAnsi="Century Gothic" w:cs="Arial"/>
                <w:color w:val="000000"/>
                <w:sz w:val="16"/>
                <w:szCs w:val="16"/>
                <w:lang w:eastAsia="es-MX"/>
              </w:rPr>
              <w:t>p</w:t>
            </w:r>
            <w:r w:rsidRPr="009A501D">
              <w:rPr>
                <w:rFonts w:ascii="Century Gothic" w:eastAsia="Times New Roman" w:hAnsi="Century Gothic" w:cs="Arial"/>
                <w:color w:val="000000"/>
                <w:sz w:val="16"/>
                <w:szCs w:val="16"/>
                <w:lang w:eastAsia="es-MX"/>
              </w:rPr>
              <w:t>ágina del INEGI</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1926730B"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73181B26"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7ED67CCF"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057F02B8"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74980782"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tcBorders>
              <w:top w:val="nil"/>
              <w:left w:val="nil"/>
              <w:bottom w:val="single" w:sz="8" w:space="0" w:color="FFFFFF"/>
              <w:right w:val="nil"/>
            </w:tcBorders>
            <w:shd w:val="clear" w:color="auto" w:fill="DEEAF6" w:themeFill="accent1" w:themeFillTint="33"/>
            <w:noWrap/>
            <w:vAlign w:val="center"/>
            <w:hideMark/>
          </w:tcPr>
          <w:p w14:paraId="07650F0D"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r w:rsidRPr="009A501D">
              <w:rPr>
                <w:rFonts w:ascii="Century Gothic" w:eastAsia="Times New Roman" w:hAnsi="Century Gothic" w:cs="Arial"/>
                <w:color w:val="000000"/>
                <w:sz w:val="18"/>
                <w:szCs w:val="18"/>
                <w:lang w:eastAsia="es-MX"/>
              </w:rPr>
              <w:t> </w:t>
            </w:r>
          </w:p>
        </w:tc>
        <w:tc>
          <w:tcPr>
            <w:tcW w:w="442" w:type="dxa"/>
            <w:vMerge/>
            <w:tcBorders>
              <w:top w:val="nil"/>
              <w:left w:val="single" w:sz="8" w:space="0" w:color="FFFFFF"/>
              <w:bottom w:val="single" w:sz="8" w:space="0" w:color="FFFFFF"/>
              <w:right w:val="single" w:sz="8" w:space="0" w:color="FFFFFF"/>
            </w:tcBorders>
            <w:vAlign w:val="center"/>
            <w:hideMark/>
          </w:tcPr>
          <w:p w14:paraId="4AFF0CE9" w14:textId="77777777" w:rsidR="00AC526F" w:rsidRPr="009A501D" w:rsidRDefault="00AC526F" w:rsidP="00A455C6">
            <w:pPr>
              <w:spacing w:after="0" w:line="240" w:lineRule="auto"/>
              <w:rPr>
                <w:rFonts w:ascii="Century Gothic" w:eastAsia="Times New Roman" w:hAnsi="Century Gothic" w:cs="Arial"/>
                <w:color w:val="000000"/>
                <w:sz w:val="18"/>
                <w:szCs w:val="18"/>
                <w:lang w:eastAsia="es-MX"/>
              </w:rPr>
            </w:pPr>
          </w:p>
        </w:tc>
      </w:tr>
    </w:tbl>
    <w:p w14:paraId="4CCDF4AF" w14:textId="77777777" w:rsidR="00FE05C1" w:rsidRPr="009A501D" w:rsidRDefault="0004512F" w:rsidP="00DD01CE">
      <w:pPr>
        <w:ind w:left="851" w:right="735"/>
        <w:jc w:val="both"/>
        <w:rPr>
          <w:rFonts w:ascii="Century Gothic" w:hAnsi="Century Gothic"/>
          <w:sz w:val="14"/>
          <w:szCs w:val="14"/>
        </w:rPr>
      </w:pPr>
      <w:r w:rsidRPr="009A501D">
        <w:rPr>
          <w:rFonts w:ascii="Century Gothic" w:hAnsi="Century Gothic"/>
          <w:sz w:val="14"/>
          <w:szCs w:val="14"/>
        </w:rPr>
        <w:t>No</w:t>
      </w:r>
      <w:r w:rsidR="008969E4" w:rsidRPr="009A501D">
        <w:rPr>
          <w:rFonts w:ascii="Century Gothic" w:hAnsi="Century Gothic"/>
          <w:sz w:val="14"/>
          <w:szCs w:val="14"/>
        </w:rPr>
        <w:t xml:space="preserve">ta: </w:t>
      </w:r>
      <w:r w:rsidR="009C30F0" w:rsidRPr="009A501D">
        <w:rPr>
          <w:rFonts w:ascii="Century Gothic" w:hAnsi="Century Gothic"/>
          <w:sz w:val="14"/>
          <w:szCs w:val="14"/>
        </w:rPr>
        <w:t>la suma es diferente a</w:t>
      </w:r>
      <w:r w:rsidRPr="009A501D">
        <w:rPr>
          <w:rFonts w:ascii="Century Gothic" w:hAnsi="Century Gothic"/>
          <w:sz w:val="14"/>
          <w:szCs w:val="14"/>
        </w:rPr>
        <w:t xml:space="preserve"> 100%</w:t>
      </w:r>
      <w:r w:rsidR="009C30F0" w:rsidRPr="009A501D">
        <w:rPr>
          <w:rFonts w:ascii="Century Gothic" w:hAnsi="Century Gothic"/>
          <w:sz w:val="14"/>
          <w:szCs w:val="14"/>
        </w:rPr>
        <w:t>,</w:t>
      </w:r>
      <w:r w:rsidRPr="009A501D">
        <w:rPr>
          <w:rFonts w:ascii="Century Gothic" w:hAnsi="Century Gothic"/>
          <w:sz w:val="14"/>
          <w:szCs w:val="14"/>
        </w:rPr>
        <w:t xml:space="preserve"> ya que</w:t>
      </w:r>
      <w:r w:rsidR="009C30F0" w:rsidRPr="009A501D">
        <w:rPr>
          <w:rFonts w:ascii="Century Gothic" w:hAnsi="Century Gothic"/>
          <w:sz w:val="14"/>
          <w:szCs w:val="14"/>
        </w:rPr>
        <w:t>,</w:t>
      </w:r>
      <w:r w:rsidRPr="009A501D">
        <w:rPr>
          <w:rFonts w:ascii="Century Gothic" w:hAnsi="Century Gothic"/>
          <w:sz w:val="14"/>
          <w:szCs w:val="14"/>
        </w:rPr>
        <w:t xml:space="preserve"> el programa </w:t>
      </w:r>
      <w:r w:rsidR="00AC526F" w:rsidRPr="009A501D">
        <w:rPr>
          <w:rFonts w:ascii="Century Gothic" w:hAnsi="Century Gothic"/>
          <w:sz w:val="14"/>
          <w:szCs w:val="14"/>
        </w:rPr>
        <w:t>Marco Maestro de Muestreo se utiliza sólo como insumo de otros programas</w:t>
      </w:r>
      <w:r w:rsidR="009C30F0" w:rsidRPr="009A501D">
        <w:rPr>
          <w:rFonts w:ascii="Century Gothic" w:hAnsi="Century Gothic"/>
          <w:sz w:val="14"/>
          <w:szCs w:val="14"/>
        </w:rPr>
        <w:t>. N</w:t>
      </w:r>
      <w:r w:rsidR="00AC526F" w:rsidRPr="009A501D">
        <w:rPr>
          <w:rFonts w:ascii="Century Gothic" w:hAnsi="Century Gothic"/>
          <w:sz w:val="14"/>
          <w:szCs w:val="14"/>
        </w:rPr>
        <w:t xml:space="preserve">o se identificó ningún uso </w:t>
      </w:r>
      <w:r w:rsidR="00401335" w:rsidRPr="009A501D">
        <w:rPr>
          <w:rFonts w:ascii="Century Gothic" w:hAnsi="Century Gothic"/>
          <w:sz w:val="14"/>
          <w:szCs w:val="14"/>
        </w:rPr>
        <w:t xml:space="preserve">para </w:t>
      </w:r>
      <w:r w:rsidR="00AC526F" w:rsidRPr="009A501D">
        <w:rPr>
          <w:rFonts w:ascii="Century Gothic" w:hAnsi="Century Gothic"/>
          <w:sz w:val="14"/>
          <w:szCs w:val="14"/>
        </w:rPr>
        <w:t xml:space="preserve">los </w:t>
      </w:r>
      <w:r w:rsidR="00401335" w:rsidRPr="009A501D">
        <w:rPr>
          <w:rFonts w:ascii="Century Gothic" w:hAnsi="Century Gothic"/>
          <w:sz w:val="14"/>
          <w:szCs w:val="14"/>
        </w:rPr>
        <w:t>casos</w:t>
      </w:r>
      <w:r w:rsidR="00AC526F" w:rsidRPr="009A501D">
        <w:rPr>
          <w:rFonts w:ascii="Century Gothic" w:hAnsi="Century Gothic"/>
          <w:sz w:val="14"/>
          <w:szCs w:val="14"/>
        </w:rPr>
        <w:t xml:space="preserve"> de Estimación de Características Sociodemográficas en Áreas Pequeñas y la Evaluación Cognitiva para la ENASEM</w:t>
      </w:r>
      <w:r w:rsidR="00401335" w:rsidRPr="009A501D">
        <w:rPr>
          <w:rFonts w:ascii="Century Gothic" w:hAnsi="Century Gothic"/>
          <w:sz w:val="14"/>
          <w:szCs w:val="14"/>
        </w:rPr>
        <w:t>.</w:t>
      </w:r>
    </w:p>
    <w:p w14:paraId="77594949" w14:textId="1CCF6630" w:rsidR="00CC04C8" w:rsidRPr="009A501D" w:rsidRDefault="0018318A" w:rsidP="00A57720">
      <w:pPr>
        <w:ind w:right="27"/>
        <w:jc w:val="both"/>
        <w:rPr>
          <w:rFonts w:ascii="Century Gothic" w:hAnsi="Century Gothic"/>
        </w:rPr>
      </w:pPr>
      <w:r w:rsidRPr="009A501D">
        <w:rPr>
          <w:rFonts w:ascii="Century Gothic" w:hAnsi="Century Gothic"/>
          <w:sz w:val="19"/>
          <w:szCs w:val="19"/>
        </w:rPr>
        <w:t>Cabe señalar que</w:t>
      </w:r>
      <w:r w:rsidR="00401335" w:rsidRPr="009A501D">
        <w:rPr>
          <w:rFonts w:ascii="Century Gothic" w:hAnsi="Century Gothic"/>
          <w:sz w:val="19"/>
          <w:szCs w:val="19"/>
        </w:rPr>
        <w:t>, además de alguno de los usos descritos en el cuadro III.1.2,</w:t>
      </w:r>
      <w:r w:rsidRPr="009A501D">
        <w:rPr>
          <w:rFonts w:ascii="Century Gothic" w:hAnsi="Century Gothic"/>
          <w:sz w:val="19"/>
          <w:szCs w:val="19"/>
        </w:rPr>
        <w:t xml:space="preserve"> </w:t>
      </w:r>
      <w:r w:rsidR="009C30F0" w:rsidRPr="009A501D">
        <w:rPr>
          <w:rFonts w:ascii="Century Gothic" w:hAnsi="Century Gothic"/>
          <w:sz w:val="19"/>
          <w:szCs w:val="19"/>
        </w:rPr>
        <w:t xml:space="preserve">el </w:t>
      </w:r>
      <w:r w:rsidRPr="009A501D">
        <w:rPr>
          <w:rFonts w:ascii="Century Gothic" w:hAnsi="Century Gothic"/>
          <w:sz w:val="19"/>
          <w:szCs w:val="19"/>
        </w:rPr>
        <w:t xml:space="preserve">48% de los programas de información </w:t>
      </w:r>
      <w:r w:rsidR="004A0794" w:rsidRPr="009A501D">
        <w:rPr>
          <w:rFonts w:ascii="Century Gothic" w:hAnsi="Century Gothic"/>
          <w:sz w:val="19"/>
          <w:szCs w:val="19"/>
        </w:rPr>
        <w:t>o procesos de producción</w:t>
      </w:r>
      <w:r w:rsidRPr="009A501D">
        <w:rPr>
          <w:rFonts w:ascii="Century Gothic" w:hAnsi="Century Gothic"/>
          <w:sz w:val="19"/>
          <w:szCs w:val="19"/>
        </w:rPr>
        <w:t xml:space="preserve"> </w:t>
      </w:r>
      <w:r w:rsidR="00401335" w:rsidRPr="009A501D">
        <w:rPr>
          <w:rFonts w:ascii="Century Gothic" w:hAnsi="Century Gothic"/>
          <w:sz w:val="19"/>
          <w:szCs w:val="19"/>
        </w:rPr>
        <w:t>son</w:t>
      </w:r>
      <w:r w:rsidRPr="009A501D">
        <w:rPr>
          <w:rFonts w:ascii="Century Gothic" w:hAnsi="Century Gothic"/>
          <w:sz w:val="19"/>
          <w:szCs w:val="19"/>
        </w:rPr>
        <w:t xml:space="preserve"> insumo de otros programas </w:t>
      </w:r>
      <w:r w:rsidR="004A0794" w:rsidRPr="009A501D">
        <w:rPr>
          <w:rFonts w:ascii="Century Gothic" w:hAnsi="Century Gothic"/>
          <w:sz w:val="19"/>
          <w:szCs w:val="19"/>
        </w:rPr>
        <w:t xml:space="preserve">o procesos </w:t>
      </w:r>
      <w:r w:rsidRPr="009A501D">
        <w:rPr>
          <w:rFonts w:ascii="Century Gothic" w:hAnsi="Century Gothic"/>
          <w:sz w:val="19"/>
          <w:szCs w:val="19"/>
        </w:rPr>
        <w:t>del INEGI.</w:t>
      </w:r>
    </w:p>
    <w:p w14:paraId="4C3DA7B0" w14:textId="77777777" w:rsidR="00E455D0" w:rsidRPr="009A501D" w:rsidRDefault="00E455D0" w:rsidP="00664A1D">
      <w:pPr>
        <w:spacing w:before="240"/>
        <w:rPr>
          <w:rFonts w:ascii="Century Gothic" w:hAnsi="Century Gothic"/>
        </w:rPr>
        <w:sectPr w:rsidR="00E455D0" w:rsidRPr="009A501D" w:rsidSect="00555CB3">
          <w:headerReference w:type="even" r:id="rId9"/>
          <w:headerReference w:type="default" r:id="rId10"/>
          <w:footerReference w:type="even" r:id="rId11"/>
          <w:footerReference w:type="default" r:id="rId12"/>
          <w:pgSz w:w="12240" w:h="15840"/>
          <w:pgMar w:top="720" w:right="720" w:bottom="720" w:left="720" w:header="709" w:footer="709" w:gutter="0"/>
          <w:pgNumType w:start="0"/>
          <w:cols w:space="708"/>
          <w:titlePg/>
          <w:docGrid w:linePitch="360"/>
        </w:sectPr>
      </w:pPr>
    </w:p>
    <w:p w14:paraId="29A23D27" w14:textId="77777777" w:rsidR="00580CBB" w:rsidRPr="009A501D" w:rsidRDefault="00580CBB" w:rsidP="00664A1D">
      <w:pPr>
        <w:pStyle w:val="Ttulo2"/>
        <w:rPr>
          <w:rFonts w:ascii="Century Gothic" w:eastAsiaTheme="minorHAnsi" w:hAnsi="Century Gothic" w:cstheme="minorBidi"/>
          <w:bCs/>
          <w:color w:val="0079BF"/>
          <w:sz w:val="24"/>
          <w:szCs w:val="24"/>
        </w:rPr>
      </w:pPr>
      <w:bookmarkStart w:id="2" w:name="_Toc96438922"/>
      <w:bookmarkStart w:id="3" w:name="_Toc131161812"/>
      <w:bookmarkStart w:id="4" w:name="_Hlk62026836"/>
      <w:r w:rsidRPr="009A501D">
        <w:rPr>
          <w:rFonts w:ascii="Century Gothic" w:eastAsiaTheme="minorHAnsi" w:hAnsi="Century Gothic" w:cstheme="minorBidi"/>
          <w:bCs/>
          <w:color w:val="0079BF"/>
          <w:sz w:val="24"/>
          <w:szCs w:val="24"/>
        </w:rPr>
        <w:lastRenderedPageBreak/>
        <w:t>Anexo 1: Marco conceptual e insumos para el cálculo de los indicadores de pertinencia</w:t>
      </w:r>
      <w:bookmarkEnd w:id="2"/>
      <w:bookmarkEnd w:id="3"/>
    </w:p>
    <w:p w14:paraId="2FD7429C" w14:textId="7DE9B87D"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 xml:space="preserve">Conforme a la Política de Calidad Institucional, la pertinencia se refiere a que la información estadística y geográfica satisfaga las necesidades actuales y requerimientos emergentes de los usuarios. Desde un punto de vista conceptual, el principio de pertinencia tiene dos componentes: las necesidades de información de los usuarios y la información producida a través de programas estadísticos y geográficos. A partir de estos componentes, la pertinencia de la información tiene dos dimensiones (ver </w:t>
      </w:r>
      <w:r w:rsidR="00D35CE1" w:rsidRPr="009A501D">
        <w:rPr>
          <w:rFonts w:ascii="Century Gothic" w:hAnsi="Century Gothic"/>
          <w:sz w:val="19"/>
          <w:szCs w:val="19"/>
        </w:rPr>
        <w:t>figura</w:t>
      </w:r>
      <w:r w:rsidRPr="009A501D">
        <w:rPr>
          <w:rFonts w:ascii="Century Gothic" w:hAnsi="Century Gothic"/>
          <w:sz w:val="19"/>
          <w:szCs w:val="19"/>
        </w:rPr>
        <w:t xml:space="preserve"> A.1.1.):</w:t>
      </w:r>
    </w:p>
    <w:p w14:paraId="3D4FFD93" w14:textId="77777777" w:rsidR="00B82529" w:rsidRPr="009A501D" w:rsidRDefault="00580CBB" w:rsidP="00B82529">
      <w:pPr>
        <w:pStyle w:val="Prrafodelista"/>
        <w:numPr>
          <w:ilvl w:val="0"/>
          <w:numId w:val="4"/>
        </w:numPr>
        <w:spacing w:before="240"/>
        <w:ind w:left="284" w:hanging="284"/>
        <w:jc w:val="both"/>
        <w:rPr>
          <w:rFonts w:ascii="Century Gothic" w:hAnsi="Century Gothic"/>
          <w:sz w:val="19"/>
          <w:szCs w:val="19"/>
        </w:rPr>
      </w:pPr>
      <w:r w:rsidRPr="009A501D">
        <w:rPr>
          <w:rFonts w:ascii="Century Gothic" w:hAnsi="Century Gothic"/>
          <w:sz w:val="19"/>
          <w:szCs w:val="19"/>
        </w:rPr>
        <w:t>Cobertura de las necesidades.  Esta dimensión parte de la totalidad de las necesidades de información y verifica para cuáles existe información disponible.  Es decir, este es un enfoque desde la demanda, que permite conocer el nivel de respuesta a las necesidades de los usuarios.</w:t>
      </w:r>
      <w:bookmarkEnd w:id="4"/>
    </w:p>
    <w:p w14:paraId="59A55133" w14:textId="17E813E5" w:rsidR="00580CBB" w:rsidRPr="009A501D" w:rsidRDefault="00580CBB" w:rsidP="00B82529">
      <w:pPr>
        <w:pStyle w:val="Prrafodelista"/>
        <w:numPr>
          <w:ilvl w:val="0"/>
          <w:numId w:val="4"/>
        </w:numPr>
        <w:spacing w:before="240"/>
        <w:ind w:left="284" w:hanging="284"/>
        <w:jc w:val="both"/>
        <w:rPr>
          <w:rFonts w:ascii="Century Gothic" w:hAnsi="Century Gothic"/>
          <w:sz w:val="19"/>
          <w:szCs w:val="19"/>
        </w:rPr>
      </w:pPr>
      <w:r w:rsidRPr="009A501D">
        <w:rPr>
          <w:rFonts w:ascii="Century Gothic" w:hAnsi="Century Gothic"/>
          <w:sz w:val="19"/>
          <w:szCs w:val="19"/>
        </w:rPr>
        <w:t>Efectividad de la producción de información.  En este caso, a partir de la totalidad de información producida se verifica cuál se utiliza para satisfacer las necesidades de los usuarios. Es decir, este es un enfoque desde la oferta que permite conocer el grado en que los programas de información responden a las necesidades.</w:t>
      </w:r>
    </w:p>
    <w:p w14:paraId="5BDCFB2E" w14:textId="71233884"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 xml:space="preserve">En el caso ideal, donde la totalidad de la información producida se utiliza para satisfacer todas las necesidades de los usuarios, sólo existiría un desfase temporal derivado de las nuevas necesidades y de la innovación en la producción de información antes de ser utilizada de forma regular (ver </w:t>
      </w:r>
      <w:r w:rsidR="00791B96" w:rsidRPr="009A501D">
        <w:rPr>
          <w:rFonts w:ascii="Century Gothic" w:hAnsi="Century Gothic"/>
          <w:sz w:val="19"/>
          <w:szCs w:val="19"/>
        </w:rPr>
        <w:t>figura</w:t>
      </w:r>
      <w:r w:rsidRPr="009A501D">
        <w:rPr>
          <w:rFonts w:ascii="Century Gothic" w:hAnsi="Century Gothic"/>
          <w:sz w:val="19"/>
          <w:szCs w:val="19"/>
        </w:rPr>
        <w:t xml:space="preserve"> A.1.2.).  Es decir, en ningún caso se podría alcanzar una cobertura completa (efectividad del 100%). </w:t>
      </w:r>
    </w:p>
    <w:tbl>
      <w:tblPr>
        <w:tblW w:w="0" w:type="auto"/>
        <w:jc w:val="center"/>
        <w:tblLook w:val="04A0" w:firstRow="1" w:lastRow="0" w:firstColumn="1" w:lastColumn="0" w:noHBand="0" w:noVBand="1"/>
      </w:tblPr>
      <w:tblGrid>
        <w:gridCol w:w="7088"/>
        <w:gridCol w:w="5074"/>
      </w:tblGrid>
      <w:tr w:rsidR="00580CBB" w:rsidRPr="009A501D" w14:paraId="59EE68AE" w14:textId="77777777" w:rsidTr="007A357E">
        <w:trPr>
          <w:jc w:val="center"/>
        </w:trPr>
        <w:tc>
          <w:tcPr>
            <w:tcW w:w="7088" w:type="dxa"/>
            <w:vAlign w:val="center"/>
          </w:tcPr>
          <w:p w14:paraId="6C2976AF" w14:textId="77777777" w:rsidR="00580CBB" w:rsidRPr="009A501D" w:rsidRDefault="00580CBB" w:rsidP="007A357E">
            <w:pPr>
              <w:pStyle w:val="Prrafodelista"/>
              <w:spacing w:after="0"/>
              <w:ind w:left="0"/>
              <w:jc w:val="center"/>
              <w:rPr>
                <w:rFonts w:ascii="Century Gothic" w:hAnsi="Century Gothic"/>
                <w:b/>
                <w:sz w:val="19"/>
                <w:szCs w:val="19"/>
              </w:rPr>
            </w:pPr>
            <w:r w:rsidRPr="009A501D">
              <w:rPr>
                <w:rFonts w:ascii="Century Gothic" w:hAnsi="Century Gothic"/>
                <w:b/>
                <w:sz w:val="19"/>
                <w:szCs w:val="19"/>
              </w:rPr>
              <w:t>A.1.1.  Esquema Conceptual para la medición de pertinencia</w:t>
            </w:r>
          </w:p>
        </w:tc>
        <w:tc>
          <w:tcPr>
            <w:tcW w:w="5074" w:type="dxa"/>
            <w:vAlign w:val="center"/>
          </w:tcPr>
          <w:p w14:paraId="0DBAFFA7" w14:textId="77777777" w:rsidR="00580CBB" w:rsidRPr="009A501D" w:rsidRDefault="00580CBB" w:rsidP="007A357E">
            <w:pPr>
              <w:pStyle w:val="Prrafodelista"/>
              <w:spacing w:after="0"/>
              <w:ind w:left="0"/>
              <w:jc w:val="center"/>
              <w:rPr>
                <w:rFonts w:ascii="Century Gothic" w:hAnsi="Century Gothic"/>
                <w:b/>
                <w:sz w:val="19"/>
                <w:szCs w:val="19"/>
              </w:rPr>
            </w:pPr>
            <w:r w:rsidRPr="009A501D">
              <w:rPr>
                <w:rFonts w:ascii="Century Gothic" w:hAnsi="Century Gothic"/>
                <w:b/>
                <w:sz w:val="19"/>
                <w:szCs w:val="19"/>
              </w:rPr>
              <w:t>A.1.2.  Caso ideal de pertinencia</w:t>
            </w:r>
          </w:p>
        </w:tc>
      </w:tr>
      <w:tr w:rsidR="00580CBB" w:rsidRPr="009A501D" w14:paraId="4E01348C" w14:textId="77777777" w:rsidTr="00BC774F">
        <w:trPr>
          <w:jc w:val="center"/>
        </w:trPr>
        <w:tc>
          <w:tcPr>
            <w:tcW w:w="7088" w:type="dxa"/>
            <w:vAlign w:val="center"/>
          </w:tcPr>
          <w:p w14:paraId="2A32D233" w14:textId="44B934AC" w:rsidR="00580CBB" w:rsidRPr="009A501D" w:rsidRDefault="00580CBB" w:rsidP="007A357E">
            <w:pPr>
              <w:pStyle w:val="Prrafodelista"/>
              <w:spacing w:after="0"/>
              <w:ind w:left="0"/>
              <w:jc w:val="center"/>
              <w:rPr>
                <w:rFonts w:ascii="Century Gothic" w:hAnsi="Century Gothic"/>
                <w:b/>
                <w:sz w:val="19"/>
                <w:szCs w:val="19"/>
              </w:rPr>
            </w:pPr>
            <w:r w:rsidRPr="009A501D">
              <w:rPr>
                <w:rFonts w:ascii="Century Gothic" w:hAnsi="Century Gothic"/>
                <w:b/>
                <w:noProof/>
                <w:sz w:val="19"/>
                <w:szCs w:val="19"/>
                <w:lang w:eastAsia="es-MX"/>
              </w:rPr>
              <w:drawing>
                <wp:inline distT="0" distB="0" distL="0" distR="0" wp14:anchorId="19E67005" wp14:editId="38643CC5">
                  <wp:extent cx="3503981" cy="2498094"/>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548" cy="2505628"/>
                          </a:xfrm>
                          <a:prstGeom prst="rect">
                            <a:avLst/>
                          </a:prstGeom>
                          <a:noFill/>
                          <a:ln>
                            <a:noFill/>
                          </a:ln>
                        </pic:spPr>
                      </pic:pic>
                    </a:graphicData>
                  </a:graphic>
                </wp:inline>
              </w:drawing>
            </w:r>
          </w:p>
        </w:tc>
        <w:tc>
          <w:tcPr>
            <w:tcW w:w="5074" w:type="dxa"/>
            <w:vAlign w:val="center"/>
          </w:tcPr>
          <w:p w14:paraId="7AB6B315" w14:textId="7C76DBB6" w:rsidR="00580CBB" w:rsidRPr="009A501D" w:rsidRDefault="00580CBB" w:rsidP="007A357E">
            <w:pPr>
              <w:pStyle w:val="Prrafodelista"/>
              <w:spacing w:after="0"/>
              <w:ind w:left="0"/>
              <w:jc w:val="center"/>
              <w:rPr>
                <w:rFonts w:ascii="Century Gothic" w:hAnsi="Century Gothic"/>
                <w:b/>
                <w:sz w:val="19"/>
                <w:szCs w:val="19"/>
              </w:rPr>
            </w:pPr>
            <w:r w:rsidRPr="009A501D">
              <w:rPr>
                <w:rFonts w:ascii="Century Gothic" w:hAnsi="Century Gothic"/>
                <w:b/>
                <w:noProof/>
                <w:sz w:val="19"/>
                <w:szCs w:val="19"/>
                <w:lang w:eastAsia="es-MX"/>
              </w:rPr>
              <w:drawing>
                <wp:inline distT="0" distB="0" distL="0" distR="0" wp14:anchorId="787C19F2" wp14:editId="4BFC4496">
                  <wp:extent cx="2173458" cy="245838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3458" cy="2458388"/>
                          </a:xfrm>
                          <a:prstGeom prst="rect">
                            <a:avLst/>
                          </a:prstGeom>
                          <a:noFill/>
                          <a:ln>
                            <a:noFill/>
                          </a:ln>
                        </pic:spPr>
                      </pic:pic>
                    </a:graphicData>
                  </a:graphic>
                </wp:inline>
              </w:drawing>
            </w:r>
          </w:p>
        </w:tc>
      </w:tr>
    </w:tbl>
    <w:p w14:paraId="6D1F5B97" w14:textId="30E0F839"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El primer paso para avanzar en la medición de la pertinencia fue determinar las principales fuentes de las necesidades de información, para lo cual se realizó un análisis del marco legal. El artículo 26 de la Constitución Política de los Estados Unidos Mexicanos establece el Sistema de Planeación Democrática del Desarrollo Nacional</w:t>
      </w:r>
      <w:r w:rsidR="00391FD0" w:rsidRPr="009A501D">
        <w:rPr>
          <w:rFonts w:ascii="Century Gothic" w:hAnsi="Century Gothic"/>
          <w:sz w:val="19"/>
          <w:szCs w:val="19"/>
        </w:rPr>
        <w:t xml:space="preserve"> en su apartado A</w:t>
      </w:r>
      <w:r w:rsidRPr="009A501D">
        <w:rPr>
          <w:rFonts w:ascii="Century Gothic" w:hAnsi="Century Gothic"/>
          <w:sz w:val="19"/>
          <w:szCs w:val="19"/>
        </w:rPr>
        <w:t>, el Sistema Nacional de Información Estadística y Geográfica (SNIEG)</w:t>
      </w:r>
      <w:r w:rsidR="00391FD0" w:rsidRPr="009A501D">
        <w:rPr>
          <w:rFonts w:ascii="Century Gothic" w:hAnsi="Century Gothic"/>
          <w:sz w:val="19"/>
          <w:szCs w:val="19"/>
        </w:rPr>
        <w:t xml:space="preserve"> en su apartado B</w:t>
      </w:r>
      <w:r w:rsidRPr="009A501D">
        <w:rPr>
          <w:rFonts w:ascii="Century Gothic" w:hAnsi="Century Gothic"/>
          <w:sz w:val="19"/>
          <w:szCs w:val="19"/>
        </w:rPr>
        <w:t xml:space="preserve"> y al organismo encargado de la evaluación de la política de desarrollo social</w:t>
      </w:r>
      <w:r w:rsidR="00391FD0" w:rsidRPr="009A501D">
        <w:rPr>
          <w:rFonts w:ascii="Century Gothic" w:hAnsi="Century Gothic"/>
          <w:sz w:val="19"/>
          <w:szCs w:val="19"/>
        </w:rPr>
        <w:t>, en su apartado C</w:t>
      </w:r>
      <w:r w:rsidRPr="009A501D">
        <w:rPr>
          <w:rFonts w:ascii="Century Gothic" w:hAnsi="Century Gothic"/>
          <w:sz w:val="19"/>
          <w:szCs w:val="19"/>
        </w:rPr>
        <w:t xml:space="preserve">. Así, en el contexto constitucional, la información está ligada a la planeación del Estado </w:t>
      </w:r>
      <w:r w:rsidRPr="009A501D">
        <w:rPr>
          <w:rFonts w:ascii="Century Gothic" w:hAnsi="Century Gothic"/>
          <w:sz w:val="19"/>
          <w:szCs w:val="19"/>
        </w:rPr>
        <w:lastRenderedPageBreak/>
        <w:t xml:space="preserve">y a la rendición de cuentas a la sociedad. Este aspecto está reforzado en el artículo 3 de la Ley del SNIEG, donde se establece que la finalidad de la información suministrada por el SNIEG es la de coadyuvar al desarrollo nacional.  </w:t>
      </w:r>
    </w:p>
    <w:p w14:paraId="76C2E314" w14:textId="3B44C89B" w:rsidR="00580CBB" w:rsidRPr="009A501D" w:rsidRDefault="00D56DDF" w:rsidP="00664A1D">
      <w:pPr>
        <w:spacing w:before="240"/>
        <w:jc w:val="both"/>
        <w:rPr>
          <w:rFonts w:ascii="Century Gothic" w:hAnsi="Century Gothic"/>
          <w:sz w:val="19"/>
          <w:szCs w:val="19"/>
        </w:rPr>
      </w:pPr>
      <w:r w:rsidRPr="009A501D">
        <w:rPr>
          <w:rFonts w:ascii="Century Gothic" w:hAnsi="Century Gothic"/>
          <w:sz w:val="19"/>
          <w:szCs w:val="19"/>
        </w:rPr>
        <w:t>De esta manera</w:t>
      </w:r>
      <w:r w:rsidR="00BE0B71" w:rsidRPr="009A501D">
        <w:rPr>
          <w:rFonts w:ascii="Century Gothic" w:hAnsi="Century Gothic"/>
          <w:sz w:val="19"/>
          <w:szCs w:val="19"/>
        </w:rPr>
        <w:t xml:space="preserve">, </w:t>
      </w:r>
      <w:r w:rsidR="00580CBB" w:rsidRPr="009A501D">
        <w:rPr>
          <w:rFonts w:ascii="Century Gothic" w:hAnsi="Century Gothic"/>
          <w:sz w:val="19"/>
          <w:szCs w:val="19"/>
        </w:rPr>
        <w:t xml:space="preserve">se determinó que las necesidades de información deben estar vinculadas a la necesidad de información para la planeación y evaluación de los temas del desarrollo nacional. Posteriormente, se identificaron los instrumentos nacionales e internacionales que rigen los objetivos del desarrollo nacional, los cuales se dividen en las siguientes categorías: </w:t>
      </w:r>
    </w:p>
    <w:p w14:paraId="2D8E5C2B" w14:textId="77777777" w:rsidR="00580CBB" w:rsidRPr="009A501D" w:rsidRDefault="00580CBB" w:rsidP="00664A1D">
      <w:pPr>
        <w:pStyle w:val="Prrafodelista"/>
        <w:numPr>
          <w:ilvl w:val="0"/>
          <w:numId w:val="16"/>
        </w:numPr>
        <w:spacing w:before="240"/>
        <w:jc w:val="both"/>
        <w:rPr>
          <w:rFonts w:ascii="Century Gothic" w:hAnsi="Century Gothic"/>
          <w:sz w:val="19"/>
          <w:szCs w:val="19"/>
        </w:rPr>
      </w:pPr>
      <w:r w:rsidRPr="009A501D">
        <w:rPr>
          <w:rFonts w:ascii="Century Gothic" w:hAnsi="Century Gothic"/>
          <w:sz w:val="19"/>
          <w:szCs w:val="19"/>
        </w:rPr>
        <w:t>Marco legal, que incluye las disposiciones de la Constitución Política de los Estados Unidos Mexicanos, Leyes Federales y Tratados Internacionales.</w:t>
      </w:r>
    </w:p>
    <w:p w14:paraId="4972B8A9" w14:textId="77777777" w:rsidR="00580CBB" w:rsidRPr="009A501D" w:rsidRDefault="00580CBB" w:rsidP="00664A1D">
      <w:pPr>
        <w:pStyle w:val="Prrafodelista"/>
        <w:numPr>
          <w:ilvl w:val="0"/>
          <w:numId w:val="16"/>
        </w:numPr>
        <w:spacing w:before="240"/>
        <w:jc w:val="both"/>
        <w:rPr>
          <w:rFonts w:ascii="Century Gothic" w:hAnsi="Century Gothic"/>
          <w:sz w:val="19"/>
          <w:szCs w:val="19"/>
        </w:rPr>
      </w:pPr>
      <w:r w:rsidRPr="009A501D">
        <w:rPr>
          <w:rFonts w:ascii="Century Gothic" w:hAnsi="Century Gothic"/>
          <w:sz w:val="19"/>
          <w:szCs w:val="19"/>
        </w:rPr>
        <w:t>Objetivos de desarrollo expuestos en el Plan Nacional de Desarrollo (PND) vigente, y los programas que de él se derivan, así como en los Objetivos de Desarrollo Sostenible (ODS).</w:t>
      </w:r>
    </w:p>
    <w:p w14:paraId="5122F978" w14:textId="77777777" w:rsidR="00580CBB" w:rsidRPr="009A501D" w:rsidRDefault="00580CBB" w:rsidP="00664A1D">
      <w:pPr>
        <w:pStyle w:val="Prrafodelista"/>
        <w:numPr>
          <w:ilvl w:val="0"/>
          <w:numId w:val="16"/>
        </w:numPr>
        <w:spacing w:before="240"/>
        <w:jc w:val="both"/>
        <w:rPr>
          <w:rFonts w:ascii="Century Gothic" w:hAnsi="Century Gothic"/>
          <w:sz w:val="19"/>
          <w:szCs w:val="19"/>
        </w:rPr>
      </w:pPr>
      <w:r w:rsidRPr="009A501D">
        <w:rPr>
          <w:rFonts w:ascii="Century Gothic" w:hAnsi="Century Gothic"/>
          <w:sz w:val="19"/>
          <w:szCs w:val="19"/>
        </w:rPr>
        <w:t>Temas de coyuntura que se convierten en necesidades de información.</w:t>
      </w:r>
    </w:p>
    <w:p w14:paraId="57C60426" w14:textId="2D692BBD"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En 2019 se avanzó en la definición de indicadores de pertinencia desde el punto de vista de la medición de la efectividad de la producción de información. Se aprobaron indicadores que permiten conocer el porcentaje de programas cuya información se utiliza para atender las disposiciones del marco legal, así como los objetivos de desarrollo. Sin embargo, para producir la información final se requiere llevar a cabo programas de información intermedios de uso interno, por lo que se incluyeron dos indicadore</w:t>
      </w:r>
      <w:r w:rsidR="00BA4948" w:rsidRPr="009A501D">
        <w:rPr>
          <w:rFonts w:ascii="Century Gothic" w:hAnsi="Century Gothic"/>
          <w:sz w:val="19"/>
          <w:szCs w:val="19"/>
        </w:rPr>
        <w:t xml:space="preserve">s que permitan </w:t>
      </w:r>
      <w:r w:rsidRPr="009A501D">
        <w:rPr>
          <w:rFonts w:ascii="Century Gothic" w:hAnsi="Century Gothic"/>
          <w:sz w:val="19"/>
          <w:szCs w:val="19"/>
        </w:rPr>
        <w:t xml:space="preserve">realizar análisis completos de pertinencia. Por completitud también se incluyeron indicadores de consultas de información por parte de los usuarios. Los indicadores aprobados se presentan en </w:t>
      </w:r>
      <w:r w:rsidR="00B978EF" w:rsidRPr="009A501D">
        <w:rPr>
          <w:rFonts w:ascii="Century Gothic" w:hAnsi="Century Gothic"/>
          <w:sz w:val="19"/>
          <w:szCs w:val="19"/>
        </w:rPr>
        <w:t>la</w:t>
      </w:r>
      <w:r w:rsidRPr="009A501D">
        <w:rPr>
          <w:rFonts w:ascii="Century Gothic" w:hAnsi="Century Gothic"/>
          <w:sz w:val="19"/>
          <w:szCs w:val="19"/>
        </w:rPr>
        <w:t xml:space="preserve"> </w:t>
      </w:r>
      <w:r w:rsidR="00B978EF" w:rsidRPr="009A501D">
        <w:rPr>
          <w:rFonts w:ascii="Century Gothic" w:hAnsi="Century Gothic"/>
          <w:sz w:val="19"/>
          <w:szCs w:val="19"/>
        </w:rPr>
        <w:t>figura</w:t>
      </w:r>
      <w:r w:rsidRPr="009A501D">
        <w:rPr>
          <w:rFonts w:ascii="Century Gothic" w:hAnsi="Century Gothic"/>
          <w:sz w:val="19"/>
          <w:szCs w:val="19"/>
        </w:rPr>
        <w:t xml:space="preserve"> A.1.3.</w:t>
      </w:r>
    </w:p>
    <w:p w14:paraId="49E2A3C0" w14:textId="133ED457"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 xml:space="preserve">En 2021 se aprobaron dos indicadores de pertinencia para la medición de la cobertura de las necesidades, considerando las necesidades a partir de los objetivos de desarrollo que se plasman tanto en los Objetivos de Desarrollo Sostenible propuestos por Naciones Unidas como los indicadores del desarrollo nacional que se incluyen en los programas sectoriales y especiales del gobierno federal. </w:t>
      </w:r>
    </w:p>
    <w:p w14:paraId="18F172DC" w14:textId="77777777"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Durante la discusión de las propuestas de indicadores en el Comité en 2019, se analizó la conveniencia de ponderar los distintos elementos de la pertinencia y se llegó a la conclusión de presentar los indicadores por separado, así como los datos de origen para que quien utilice esta información pueda realizar los análisis que requiera. Cabe señalar que los indicadores aprobados miden el uso de los programas de información de forma completa, sin embargo, un análisis más detallado requiere revisar el uso de las variables contenidas dentro de los programas de información.  Es posible que conforme se avance en la institucionalización del Inventario de Programas de Información, y en la identificación de procesos y productos de información relacionados, pueda hacerse un ejercicio para identificar el uso a nivel variable, tomando en cuenta que referentes de uso como los indicadores ODS, los indicadores clave del Catálogo Nacional de Indicadores, o los indicadores de programas derivados del Plan Nacional de Desarrollo tienen mucho por avanzar en cuanto a la forma en que se identifica la información sobre las fuentes utilizadas en sus cálculos.</w:t>
      </w:r>
    </w:p>
    <w:p w14:paraId="265EC0E7" w14:textId="77777777" w:rsidR="00580CBB" w:rsidRPr="009A501D" w:rsidRDefault="00580CBB" w:rsidP="00664A1D">
      <w:pPr>
        <w:spacing w:before="240"/>
        <w:rPr>
          <w:rFonts w:ascii="Century Gothic" w:hAnsi="Century Gothic"/>
          <w:sz w:val="19"/>
          <w:szCs w:val="19"/>
        </w:rPr>
      </w:pPr>
      <w:r w:rsidRPr="009A501D">
        <w:rPr>
          <w:rFonts w:ascii="Century Gothic" w:hAnsi="Century Gothic"/>
          <w:sz w:val="19"/>
          <w:szCs w:val="19"/>
        </w:rPr>
        <w:br w:type="page"/>
      </w:r>
    </w:p>
    <w:p w14:paraId="1C1B1C57" w14:textId="77777777" w:rsidR="00580CBB" w:rsidRPr="009A501D" w:rsidRDefault="00580CBB" w:rsidP="00664A1D">
      <w:pPr>
        <w:spacing w:before="240"/>
        <w:jc w:val="center"/>
        <w:rPr>
          <w:rFonts w:ascii="Century Gothic" w:hAnsi="Century Gothic"/>
          <w:b/>
          <w:sz w:val="19"/>
          <w:szCs w:val="19"/>
        </w:rPr>
      </w:pPr>
      <w:r w:rsidRPr="009A501D">
        <w:lastRenderedPageBreak/>
        <w:t xml:space="preserve"> </w:t>
      </w:r>
      <w:r w:rsidRPr="009A501D">
        <w:rPr>
          <w:rFonts w:ascii="Century Gothic" w:hAnsi="Century Gothic"/>
          <w:b/>
          <w:sz w:val="19"/>
          <w:szCs w:val="19"/>
        </w:rPr>
        <w:t>A.1.3.  Indicadores Aprobados por el Comité de Aseguramiento de la Calidad</w:t>
      </w:r>
    </w:p>
    <w:p w14:paraId="571AE57C" w14:textId="0035EF3F" w:rsidR="00580CBB" w:rsidRPr="009A501D" w:rsidRDefault="00580CBB" w:rsidP="00664A1D">
      <w:pPr>
        <w:spacing w:before="240"/>
        <w:jc w:val="center"/>
        <w:rPr>
          <w:rFonts w:ascii="Century Gothic" w:hAnsi="Century Gothic"/>
          <w:b/>
          <w:sz w:val="19"/>
          <w:szCs w:val="19"/>
        </w:rPr>
      </w:pPr>
      <w:r w:rsidRPr="009A501D">
        <w:rPr>
          <w:noProof/>
          <w:lang w:eastAsia="es-MX"/>
        </w:rPr>
        <w:drawing>
          <wp:inline distT="0" distB="0" distL="0" distR="0" wp14:anchorId="27E00915" wp14:editId="58C93542">
            <wp:extent cx="8070424" cy="4662910"/>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0457" cy="4668707"/>
                    </a:xfrm>
                    <a:prstGeom prst="rect">
                      <a:avLst/>
                    </a:prstGeom>
                    <a:noFill/>
                    <a:ln>
                      <a:noFill/>
                    </a:ln>
                  </pic:spPr>
                </pic:pic>
              </a:graphicData>
            </a:graphic>
          </wp:inline>
        </w:drawing>
      </w:r>
    </w:p>
    <w:p w14:paraId="780BAA21" w14:textId="409703C7" w:rsidR="00580CBB" w:rsidRPr="009A501D" w:rsidRDefault="00580CBB" w:rsidP="006621CE">
      <w:pPr>
        <w:spacing w:before="240"/>
        <w:jc w:val="both"/>
        <w:rPr>
          <w:rFonts w:ascii="Century Gothic" w:hAnsi="Century Gothic"/>
          <w:sz w:val="19"/>
          <w:szCs w:val="19"/>
        </w:rPr>
      </w:pPr>
      <w:r w:rsidRPr="009A501D">
        <w:rPr>
          <w:rFonts w:ascii="Century Gothic" w:hAnsi="Century Gothic"/>
          <w:sz w:val="19"/>
          <w:szCs w:val="19"/>
        </w:rPr>
        <w:t xml:space="preserve">Al analizar la pertinencia desde el punto de vista de la cobertura de necesidades, se observa que </w:t>
      </w:r>
      <w:r w:rsidR="000F55EC" w:rsidRPr="009A501D">
        <w:rPr>
          <w:rFonts w:ascii="Century Gothic" w:hAnsi="Century Gothic"/>
          <w:sz w:val="19"/>
          <w:szCs w:val="19"/>
        </w:rPr>
        <w:t xml:space="preserve">un alto porcentaje </w:t>
      </w:r>
      <w:r w:rsidRPr="009A501D">
        <w:rPr>
          <w:rFonts w:ascii="Century Gothic" w:hAnsi="Century Gothic"/>
          <w:sz w:val="19"/>
          <w:szCs w:val="19"/>
        </w:rPr>
        <w:t>de indicadores de los Objetivos de Desarrollo Sostenible</w:t>
      </w:r>
      <w:r w:rsidR="00F2702B" w:rsidRPr="009A501D">
        <w:rPr>
          <w:rFonts w:ascii="Century Gothic" w:hAnsi="Century Gothic"/>
          <w:sz w:val="19"/>
          <w:szCs w:val="19"/>
        </w:rPr>
        <w:t xml:space="preserve"> en 2022</w:t>
      </w:r>
      <w:r w:rsidRPr="009A501D">
        <w:rPr>
          <w:rFonts w:ascii="Century Gothic" w:hAnsi="Century Gothic"/>
          <w:sz w:val="19"/>
          <w:szCs w:val="19"/>
        </w:rPr>
        <w:t xml:space="preserve"> se </w:t>
      </w:r>
      <w:r w:rsidR="00FA76D1" w:rsidRPr="009A501D">
        <w:rPr>
          <w:rFonts w:ascii="Century Gothic" w:hAnsi="Century Gothic"/>
          <w:sz w:val="19"/>
          <w:szCs w:val="19"/>
        </w:rPr>
        <w:t>calcula</w:t>
      </w:r>
      <w:r w:rsidR="00F2702B" w:rsidRPr="009A501D">
        <w:rPr>
          <w:rFonts w:ascii="Century Gothic" w:hAnsi="Century Gothic"/>
          <w:sz w:val="19"/>
          <w:szCs w:val="19"/>
        </w:rPr>
        <w:t>ron</w:t>
      </w:r>
      <w:r w:rsidR="00FA76D1" w:rsidRPr="009A501D">
        <w:rPr>
          <w:rFonts w:ascii="Century Gothic" w:hAnsi="Century Gothic"/>
          <w:sz w:val="19"/>
          <w:szCs w:val="19"/>
        </w:rPr>
        <w:t xml:space="preserve"> </w:t>
      </w:r>
      <w:r w:rsidR="00B24236" w:rsidRPr="009A501D">
        <w:rPr>
          <w:rFonts w:ascii="Century Gothic" w:hAnsi="Century Gothic"/>
          <w:sz w:val="19"/>
          <w:szCs w:val="19"/>
        </w:rPr>
        <w:t>con</w:t>
      </w:r>
      <w:r w:rsidR="00D85B7F" w:rsidRPr="009A501D">
        <w:rPr>
          <w:rFonts w:ascii="Century Gothic" w:hAnsi="Century Gothic"/>
          <w:sz w:val="19"/>
          <w:szCs w:val="19"/>
        </w:rPr>
        <w:t xml:space="preserve"> </w:t>
      </w:r>
      <w:r w:rsidR="00484BAC" w:rsidRPr="009A501D">
        <w:rPr>
          <w:rFonts w:ascii="Century Gothic" w:hAnsi="Century Gothic"/>
          <w:sz w:val="19"/>
          <w:szCs w:val="19"/>
        </w:rPr>
        <w:t>programas</w:t>
      </w:r>
      <w:r w:rsidRPr="009A501D">
        <w:rPr>
          <w:rFonts w:ascii="Century Gothic" w:hAnsi="Century Gothic"/>
          <w:sz w:val="19"/>
          <w:szCs w:val="19"/>
        </w:rPr>
        <w:t xml:space="preserve"> de </w:t>
      </w:r>
      <w:r w:rsidR="00484BAC" w:rsidRPr="009A501D">
        <w:rPr>
          <w:rFonts w:ascii="Century Gothic" w:hAnsi="Century Gothic"/>
          <w:sz w:val="19"/>
          <w:szCs w:val="19"/>
        </w:rPr>
        <w:t>información</w:t>
      </w:r>
      <w:r w:rsidRPr="009A501D">
        <w:rPr>
          <w:rFonts w:ascii="Century Gothic" w:hAnsi="Century Gothic"/>
          <w:sz w:val="19"/>
          <w:szCs w:val="19"/>
        </w:rPr>
        <w:t xml:space="preserve"> </w:t>
      </w:r>
      <w:r w:rsidR="00B24236" w:rsidRPr="009A501D">
        <w:rPr>
          <w:rFonts w:ascii="Century Gothic" w:hAnsi="Century Gothic"/>
          <w:sz w:val="19"/>
          <w:szCs w:val="19"/>
        </w:rPr>
        <w:t xml:space="preserve">o procesos de producción </w:t>
      </w:r>
      <w:r w:rsidRPr="009A501D">
        <w:rPr>
          <w:rFonts w:ascii="Century Gothic" w:hAnsi="Century Gothic"/>
          <w:sz w:val="19"/>
          <w:szCs w:val="19"/>
        </w:rPr>
        <w:t>del INEGI (7</w:t>
      </w:r>
      <w:r w:rsidR="000F55EC" w:rsidRPr="009A501D">
        <w:rPr>
          <w:rFonts w:ascii="Century Gothic" w:hAnsi="Century Gothic"/>
          <w:sz w:val="19"/>
          <w:szCs w:val="19"/>
        </w:rPr>
        <w:t>0</w:t>
      </w:r>
      <w:r w:rsidRPr="009A501D">
        <w:rPr>
          <w:rFonts w:ascii="Century Gothic" w:hAnsi="Century Gothic"/>
          <w:sz w:val="19"/>
          <w:szCs w:val="19"/>
        </w:rPr>
        <w:t>.</w:t>
      </w:r>
      <w:r w:rsidR="000F55EC" w:rsidRPr="009A501D">
        <w:rPr>
          <w:rFonts w:ascii="Century Gothic" w:hAnsi="Century Gothic"/>
          <w:sz w:val="19"/>
          <w:szCs w:val="19"/>
        </w:rPr>
        <w:t>6</w:t>
      </w:r>
      <w:r w:rsidRPr="009A501D">
        <w:rPr>
          <w:rFonts w:ascii="Century Gothic" w:hAnsi="Century Gothic"/>
          <w:sz w:val="19"/>
          <w:szCs w:val="19"/>
        </w:rPr>
        <w:t xml:space="preserve">%), a diferencia de lo que sucede con los indicadores de los programas derivados del Plan Nacional de Desarrollo en los que sólo </w:t>
      </w:r>
      <w:r w:rsidR="00F2702B" w:rsidRPr="009A501D">
        <w:rPr>
          <w:rFonts w:ascii="Century Gothic" w:hAnsi="Century Gothic"/>
          <w:sz w:val="19"/>
          <w:szCs w:val="19"/>
        </w:rPr>
        <w:t>se utiliza</w:t>
      </w:r>
      <w:r w:rsidRPr="009A501D">
        <w:rPr>
          <w:rFonts w:ascii="Century Gothic" w:hAnsi="Century Gothic"/>
          <w:sz w:val="19"/>
          <w:szCs w:val="19"/>
        </w:rPr>
        <w:t xml:space="preserve"> información del INEGI en un 2</w:t>
      </w:r>
      <w:r w:rsidR="000F55EC" w:rsidRPr="009A501D">
        <w:rPr>
          <w:rFonts w:ascii="Century Gothic" w:hAnsi="Century Gothic"/>
          <w:sz w:val="19"/>
          <w:szCs w:val="19"/>
        </w:rPr>
        <w:t>4</w:t>
      </w:r>
      <w:r w:rsidRPr="009A501D">
        <w:rPr>
          <w:rFonts w:ascii="Century Gothic" w:hAnsi="Century Gothic"/>
          <w:sz w:val="19"/>
          <w:szCs w:val="19"/>
        </w:rPr>
        <w:t>.</w:t>
      </w:r>
      <w:r w:rsidR="000F55EC" w:rsidRPr="009A501D">
        <w:rPr>
          <w:rFonts w:ascii="Century Gothic" w:hAnsi="Century Gothic"/>
          <w:sz w:val="19"/>
          <w:szCs w:val="19"/>
        </w:rPr>
        <w:t>9</w:t>
      </w:r>
      <w:r w:rsidRPr="009A501D">
        <w:rPr>
          <w:rFonts w:ascii="Century Gothic" w:hAnsi="Century Gothic"/>
          <w:sz w:val="19"/>
          <w:szCs w:val="19"/>
        </w:rPr>
        <w:t>% (ver cuadro A.1.4).</w:t>
      </w:r>
      <w:r w:rsidRPr="009A501D">
        <w:rPr>
          <w:rFonts w:ascii="Century Gothic" w:hAnsi="Century Gothic"/>
          <w:sz w:val="19"/>
          <w:szCs w:val="19"/>
        </w:rPr>
        <w:br w:type="page"/>
      </w:r>
    </w:p>
    <w:p w14:paraId="728A9DEF" w14:textId="77777777" w:rsidR="00580CBB" w:rsidRPr="009A501D" w:rsidRDefault="00580CBB" w:rsidP="00664A1D">
      <w:pPr>
        <w:spacing w:before="240"/>
        <w:jc w:val="center"/>
        <w:rPr>
          <w:rFonts w:ascii="Century Gothic" w:hAnsi="Century Gothic"/>
          <w:b/>
          <w:sz w:val="19"/>
          <w:szCs w:val="19"/>
        </w:rPr>
      </w:pPr>
      <w:r w:rsidRPr="009A501D">
        <w:rPr>
          <w:rFonts w:ascii="Century Gothic" w:hAnsi="Century Gothic"/>
          <w:b/>
          <w:sz w:val="19"/>
          <w:szCs w:val="19"/>
        </w:rPr>
        <w:lastRenderedPageBreak/>
        <w:t xml:space="preserve">A.1.4.  Estimación de los indicadores de pertinencia (cobertura de necesidades) </w:t>
      </w:r>
    </w:p>
    <w:tbl>
      <w:tblPr>
        <w:tblStyle w:val="Tablaconcuadrcula"/>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218"/>
        <w:gridCol w:w="6662"/>
        <w:gridCol w:w="1559"/>
        <w:gridCol w:w="1559"/>
      </w:tblGrid>
      <w:tr w:rsidR="00FB1B7E" w:rsidRPr="009A501D" w14:paraId="40512219" w14:textId="3D950B59" w:rsidTr="00FB1B7E">
        <w:trPr>
          <w:jc w:val="center"/>
        </w:trPr>
        <w:tc>
          <w:tcPr>
            <w:tcW w:w="1218" w:type="dxa"/>
            <w:shd w:val="clear" w:color="auto" w:fill="FFD966" w:themeFill="accent4" w:themeFillTint="99"/>
            <w:vAlign w:val="center"/>
          </w:tcPr>
          <w:p w14:paraId="4AD9D408" w14:textId="77777777" w:rsidR="00FB1B7E" w:rsidRPr="009A501D" w:rsidRDefault="00FB1B7E" w:rsidP="00664A1D">
            <w:pPr>
              <w:jc w:val="center"/>
              <w:rPr>
                <w:rFonts w:ascii="Century Gothic" w:hAnsi="Century Gothic"/>
                <w:b/>
                <w:sz w:val="16"/>
                <w:szCs w:val="16"/>
              </w:rPr>
            </w:pPr>
            <w:r w:rsidRPr="009A501D">
              <w:rPr>
                <w:rFonts w:ascii="Century Gothic" w:hAnsi="Century Gothic"/>
                <w:b/>
                <w:sz w:val="16"/>
                <w:szCs w:val="16"/>
              </w:rPr>
              <w:t>Tipo de necesidades</w:t>
            </w:r>
          </w:p>
        </w:tc>
        <w:tc>
          <w:tcPr>
            <w:tcW w:w="6662" w:type="dxa"/>
            <w:shd w:val="clear" w:color="auto" w:fill="FFD966" w:themeFill="accent4" w:themeFillTint="99"/>
            <w:vAlign w:val="center"/>
          </w:tcPr>
          <w:p w14:paraId="21A81AA3" w14:textId="77777777" w:rsidR="00FB1B7E" w:rsidRPr="009A501D" w:rsidRDefault="00FB1B7E" w:rsidP="00664A1D">
            <w:pPr>
              <w:jc w:val="center"/>
              <w:rPr>
                <w:rFonts w:ascii="Century Gothic" w:hAnsi="Century Gothic"/>
                <w:b/>
                <w:sz w:val="16"/>
                <w:szCs w:val="16"/>
              </w:rPr>
            </w:pPr>
            <w:r w:rsidRPr="009A501D">
              <w:rPr>
                <w:rFonts w:ascii="Century Gothic" w:hAnsi="Century Gothic"/>
                <w:b/>
                <w:sz w:val="16"/>
                <w:szCs w:val="16"/>
              </w:rPr>
              <w:t>Indicadores de pertinencia</w:t>
            </w:r>
          </w:p>
        </w:tc>
        <w:tc>
          <w:tcPr>
            <w:tcW w:w="1559" w:type="dxa"/>
            <w:shd w:val="clear" w:color="auto" w:fill="FFD966" w:themeFill="accent4" w:themeFillTint="99"/>
            <w:vAlign w:val="center"/>
          </w:tcPr>
          <w:p w14:paraId="6CF64F67" w14:textId="77777777" w:rsidR="00FB1B7E" w:rsidRPr="009A501D" w:rsidRDefault="00FB1B7E" w:rsidP="00664A1D">
            <w:pPr>
              <w:jc w:val="center"/>
              <w:rPr>
                <w:rFonts w:ascii="Century Gothic" w:hAnsi="Century Gothic"/>
                <w:b/>
                <w:sz w:val="16"/>
                <w:szCs w:val="16"/>
              </w:rPr>
            </w:pPr>
            <w:r w:rsidRPr="009A501D">
              <w:rPr>
                <w:rFonts w:ascii="Century Gothic" w:hAnsi="Century Gothic"/>
                <w:b/>
                <w:sz w:val="16"/>
                <w:szCs w:val="16"/>
              </w:rPr>
              <w:t>Estimación a diciembre 2021</w:t>
            </w:r>
          </w:p>
        </w:tc>
        <w:tc>
          <w:tcPr>
            <w:tcW w:w="1559" w:type="dxa"/>
            <w:shd w:val="clear" w:color="auto" w:fill="FFD966" w:themeFill="accent4" w:themeFillTint="99"/>
          </w:tcPr>
          <w:p w14:paraId="19E13624" w14:textId="0F68AD06" w:rsidR="00FB1B7E" w:rsidRPr="009A501D" w:rsidRDefault="00FB1B7E" w:rsidP="00664A1D">
            <w:pPr>
              <w:jc w:val="center"/>
              <w:rPr>
                <w:rFonts w:ascii="Century Gothic" w:hAnsi="Century Gothic"/>
                <w:b/>
                <w:sz w:val="16"/>
                <w:szCs w:val="16"/>
              </w:rPr>
            </w:pPr>
            <w:r w:rsidRPr="009A501D">
              <w:rPr>
                <w:rFonts w:ascii="Century Gothic" w:hAnsi="Century Gothic"/>
                <w:b/>
                <w:sz w:val="16"/>
                <w:szCs w:val="16"/>
              </w:rPr>
              <w:t>Estimación a diciembre 2022</w:t>
            </w:r>
          </w:p>
        </w:tc>
      </w:tr>
      <w:tr w:rsidR="00FB1B7E" w:rsidRPr="009A501D" w14:paraId="6A2BF1DB" w14:textId="6FE6D0A0" w:rsidTr="00FB1B7E">
        <w:trPr>
          <w:jc w:val="center"/>
        </w:trPr>
        <w:tc>
          <w:tcPr>
            <w:tcW w:w="1218" w:type="dxa"/>
            <w:vMerge w:val="restart"/>
            <w:shd w:val="clear" w:color="auto" w:fill="FFF2CC" w:themeFill="accent4" w:themeFillTint="33"/>
            <w:vAlign w:val="center"/>
          </w:tcPr>
          <w:p w14:paraId="0395E058" w14:textId="77777777" w:rsidR="00FB1B7E" w:rsidRPr="009A501D" w:rsidRDefault="00FB1B7E" w:rsidP="00664A1D">
            <w:pPr>
              <w:jc w:val="both"/>
              <w:rPr>
                <w:rFonts w:ascii="Century Gothic" w:hAnsi="Century Gothic"/>
                <w:sz w:val="16"/>
                <w:szCs w:val="16"/>
              </w:rPr>
            </w:pPr>
            <w:r w:rsidRPr="009A501D">
              <w:rPr>
                <w:rFonts w:ascii="Century Gothic" w:hAnsi="Century Gothic"/>
                <w:sz w:val="16"/>
                <w:szCs w:val="16"/>
              </w:rPr>
              <w:t>Objetivos de Desarrollo</w:t>
            </w:r>
          </w:p>
        </w:tc>
        <w:tc>
          <w:tcPr>
            <w:tcW w:w="6662" w:type="dxa"/>
            <w:shd w:val="clear" w:color="auto" w:fill="FFF2CC" w:themeFill="accent4" w:themeFillTint="33"/>
            <w:vAlign w:val="center"/>
          </w:tcPr>
          <w:p w14:paraId="27CC397B" w14:textId="60D84DF1" w:rsidR="00FB1B7E" w:rsidRPr="009A501D" w:rsidRDefault="00FB1B7E" w:rsidP="00664A1D">
            <w:pPr>
              <w:jc w:val="both"/>
              <w:rPr>
                <w:rFonts w:ascii="Century Gothic" w:hAnsi="Century Gothic"/>
                <w:sz w:val="16"/>
                <w:szCs w:val="16"/>
              </w:rPr>
            </w:pPr>
            <w:r w:rsidRPr="009A501D">
              <w:rPr>
                <w:rFonts w:ascii="Century Gothic" w:hAnsi="Century Gothic"/>
                <w:sz w:val="16"/>
                <w:szCs w:val="16"/>
              </w:rPr>
              <w:t>Porcentaje de indicadores que permiten medir la evolución del desarrollo nacional que se calculan con programas de información estadística y geográfica del INEGI.</w:t>
            </w:r>
          </w:p>
        </w:tc>
        <w:tc>
          <w:tcPr>
            <w:tcW w:w="1559" w:type="dxa"/>
            <w:shd w:val="clear" w:color="auto" w:fill="FFF2CC" w:themeFill="accent4" w:themeFillTint="33"/>
            <w:vAlign w:val="center"/>
          </w:tcPr>
          <w:p w14:paraId="2479A7ED" w14:textId="77777777" w:rsidR="00FB1B7E" w:rsidRPr="009A501D" w:rsidRDefault="00FB1B7E" w:rsidP="00664A1D">
            <w:pPr>
              <w:jc w:val="center"/>
              <w:rPr>
                <w:rFonts w:ascii="Century Gothic" w:hAnsi="Century Gothic"/>
                <w:sz w:val="16"/>
                <w:szCs w:val="16"/>
              </w:rPr>
            </w:pPr>
            <w:r w:rsidRPr="009A501D">
              <w:rPr>
                <w:rFonts w:ascii="Century Gothic" w:hAnsi="Century Gothic"/>
                <w:sz w:val="16"/>
                <w:szCs w:val="16"/>
              </w:rPr>
              <w:t>22%</w:t>
            </w:r>
          </w:p>
        </w:tc>
        <w:tc>
          <w:tcPr>
            <w:tcW w:w="1559" w:type="dxa"/>
            <w:shd w:val="clear" w:color="auto" w:fill="FFF2CC" w:themeFill="accent4" w:themeFillTint="33"/>
            <w:vAlign w:val="center"/>
          </w:tcPr>
          <w:p w14:paraId="04DE8A42" w14:textId="13F678E8" w:rsidR="00FB1B7E" w:rsidRPr="009A501D" w:rsidRDefault="00FB1B7E" w:rsidP="00664A1D">
            <w:pPr>
              <w:jc w:val="center"/>
              <w:rPr>
                <w:rFonts w:ascii="Century Gothic" w:hAnsi="Century Gothic"/>
                <w:sz w:val="16"/>
                <w:szCs w:val="16"/>
              </w:rPr>
            </w:pPr>
            <w:r w:rsidRPr="009A501D">
              <w:rPr>
                <w:rFonts w:ascii="Century Gothic" w:hAnsi="Century Gothic"/>
                <w:sz w:val="16"/>
                <w:szCs w:val="16"/>
              </w:rPr>
              <w:t>24.9%</w:t>
            </w:r>
          </w:p>
        </w:tc>
      </w:tr>
      <w:tr w:rsidR="00FB1B7E" w:rsidRPr="009A501D" w14:paraId="66C7FC15" w14:textId="686AAA77" w:rsidTr="00FB1B7E">
        <w:trPr>
          <w:jc w:val="center"/>
        </w:trPr>
        <w:tc>
          <w:tcPr>
            <w:tcW w:w="1218" w:type="dxa"/>
            <w:vMerge/>
            <w:shd w:val="clear" w:color="auto" w:fill="FFF2CC" w:themeFill="accent4" w:themeFillTint="33"/>
            <w:vAlign w:val="center"/>
          </w:tcPr>
          <w:p w14:paraId="32EA58B1" w14:textId="77777777" w:rsidR="00FB1B7E" w:rsidRPr="009A501D" w:rsidRDefault="00FB1B7E" w:rsidP="00664A1D">
            <w:pPr>
              <w:jc w:val="both"/>
              <w:rPr>
                <w:rFonts w:ascii="Century Gothic" w:hAnsi="Century Gothic"/>
                <w:sz w:val="16"/>
                <w:szCs w:val="16"/>
              </w:rPr>
            </w:pPr>
          </w:p>
        </w:tc>
        <w:tc>
          <w:tcPr>
            <w:tcW w:w="6662" w:type="dxa"/>
            <w:shd w:val="clear" w:color="auto" w:fill="FFF2CC" w:themeFill="accent4" w:themeFillTint="33"/>
            <w:vAlign w:val="center"/>
          </w:tcPr>
          <w:p w14:paraId="63595AFC" w14:textId="664500FB" w:rsidR="00FB1B7E" w:rsidRPr="009A501D" w:rsidRDefault="00FB1B7E" w:rsidP="00664A1D">
            <w:pPr>
              <w:jc w:val="both"/>
              <w:rPr>
                <w:rFonts w:ascii="Century Gothic" w:hAnsi="Century Gothic"/>
                <w:sz w:val="16"/>
                <w:szCs w:val="16"/>
              </w:rPr>
            </w:pPr>
            <w:r w:rsidRPr="009A501D">
              <w:rPr>
                <w:rFonts w:ascii="Century Gothic" w:hAnsi="Century Gothic"/>
                <w:sz w:val="16"/>
                <w:szCs w:val="16"/>
              </w:rPr>
              <w:t>Porcentaje de indicadores de los Objetivos de Desarrollo Sostenible que se calculan con programas de información estadística y geográfica del INEGI.</w:t>
            </w:r>
          </w:p>
        </w:tc>
        <w:tc>
          <w:tcPr>
            <w:tcW w:w="1559" w:type="dxa"/>
            <w:shd w:val="clear" w:color="auto" w:fill="FFF2CC" w:themeFill="accent4" w:themeFillTint="33"/>
            <w:vAlign w:val="center"/>
          </w:tcPr>
          <w:p w14:paraId="225D0CFD" w14:textId="3DADDEF0" w:rsidR="00FB1B7E" w:rsidRPr="009A501D" w:rsidRDefault="00FB1B7E" w:rsidP="00664A1D">
            <w:pPr>
              <w:jc w:val="center"/>
              <w:rPr>
                <w:rFonts w:ascii="Century Gothic" w:hAnsi="Century Gothic"/>
                <w:sz w:val="16"/>
                <w:szCs w:val="16"/>
              </w:rPr>
            </w:pPr>
            <w:r w:rsidRPr="009A501D">
              <w:rPr>
                <w:rFonts w:ascii="Century Gothic" w:hAnsi="Century Gothic"/>
                <w:sz w:val="16"/>
                <w:szCs w:val="16"/>
              </w:rPr>
              <w:t>70.5%*</w:t>
            </w:r>
          </w:p>
        </w:tc>
        <w:tc>
          <w:tcPr>
            <w:tcW w:w="1559" w:type="dxa"/>
            <w:shd w:val="clear" w:color="auto" w:fill="FFF2CC" w:themeFill="accent4" w:themeFillTint="33"/>
            <w:vAlign w:val="center"/>
          </w:tcPr>
          <w:p w14:paraId="5F1A82AD" w14:textId="5F41C5A8" w:rsidR="00FB1B7E" w:rsidRPr="009A501D" w:rsidRDefault="00FB1B7E" w:rsidP="00664A1D">
            <w:pPr>
              <w:jc w:val="center"/>
              <w:rPr>
                <w:rFonts w:ascii="Century Gothic" w:hAnsi="Century Gothic"/>
                <w:sz w:val="16"/>
                <w:szCs w:val="16"/>
              </w:rPr>
            </w:pPr>
            <w:r w:rsidRPr="009A501D">
              <w:rPr>
                <w:rFonts w:ascii="Century Gothic" w:hAnsi="Century Gothic"/>
                <w:sz w:val="16"/>
                <w:szCs w:val="16"/>
              </w:rPr>
              <w:t>70.6%</w:t>
            </w:r>
          </w:p>
        </w:tc>
      </w:tr>
    </w:tbl>
    <w:p w14:paraId="6118566F" w14:textId="04EB0920" w:rsidR="00496D96" w:rsidRPr="009A501D" w:rsidRDefault="00AC3CF7" w:rsidP="001914BB">
      <w:pPr>
        <w:spacing w:before="40" w:after="40"/>
        <w:ind w:left="1134" w:right="1075"/>
        <w:rPr>
          <w:rFonts w:ascii="Century Gothic" w:hAnsi="Century Gothic"/>
          <w:sz w:val="14"/>
          <w:szCs w:val="14"/>
        </w:rPr>
      </w:pPr>
      <w:r w:rsidRPr="009A501D">
        <w:rPr>
          <w:rFonts w:ascii="Century Gothic" w:hAnsi="Century Gothic"/>
          <w:sz w:val="14"/>
          <w:szCs w:val="14"/>
        </w:rPr>
        <w:t>*No corresponde al dato del informe de</w:t>
      </w:r>
      <w:r w:rsidR="00B24236" w:rsidRPr="009A501D">
        <w:rPr>
          <w:rFonts w:ascii="Century Gothic" w:hAnsi="Century Gothic"/>
          <w:sz w:val="14"/>
          <w:szCs w:val="14"/>
        </w:rPr>
        <w:t xml:space="preserve"> </w:t>
      </w:r>
      <w:r w:rsidRPr="009A501D">
        <w:rPr>
          <w:rFonts w:ascii="Century Gothic" w:hAnsi="Century Gothic"/>
          <w:sz w:val="14"/>
          <w:szCs w:val="14"/>
        </w:rPr>
        <w:t>2021</w:t>
      </w:r>
      <w:r w:rsidR="00496D96" w:rsidRPr="009A501D">
        <w:rPr>
          <w:rFonts w:ascii="Century Gothic" w:hAnsi="Century Gothic"/>
          <w:sz w:val="14"/>
          <w:szCs w:val="14"/>
        </w:rPr>
        <w:t>,</w:t>
      </w:r>
      <w:r w:rsidR="00B24236" w:rsidRPr="009A501D">
        <w:rPr>
          <w:rFonts w:ascii="Century Gothic" w:hAnsi="Century Gothic"/>
          <w:sz w:val="14"/>
          <w:szCs w:val="14"/>
        </w:rPr>
        <w:t xml:space="preserve"> </w:t>
      </w:r>
      <w:r w:rsidRPr="009A501D">
        <w:rPr>
          <w:rFonts w:ascii="Century Gothic" w:hAnsi="Century Gothic"/>
          <w:sz w:val="14"/>
          <w:szCs w:val="14"/>
        </w:rPr>
        <w:t xml:space="preserve">debido a que se detectó </w:t>
      </w:r>
      <w:r w:rsidR="00496D96" w:rsidRPr="009A501D">
        <w:rPr>
          <w:rFonts w:ascii="Century Gothic" w:hAnsi="Century Gothic"/>
          <w:sz w:val="14"/>
          <w:szCs w:val="14"/>
        </w:rPr>
        <w:t>un doble conteo de las fuentes utilizadas para el cálculo de los indicadores ODS.</w:t>
      </w:r>
      <w:r w:rsidR="00E33B01">
        <w:rPr>
          <w:rFonts w:ascii="Century Gothic" w:hAnsi="Century Gothic"/>
          <w:sz w:val="14"/>
          <w:szCs w:val="14"/>
        </w:rPr>
        <w:t xml:space="preserve"> En este sentido se reporta el dato ajustado, que es comparable con el reporte a diciembre de 2022.</w:t>
      </w:r>
    </w:p>
    <w:p w14:paraId="3B62986D" w14:textId="0FDB09EC" w:rsidR="00AC3CF7" w:rsidRPr="009A501D" w:rsidRDefault="00AC3CF7" w:rsidP="00B24236">
      <w:pPr>
        <w:ind w:firstLine="1843"/>
        <w:jc w:val="both"/>
        <w:rPr>
          <w:rFonts w:ascii="Century Gothic" w:hAnsi="Century Gothic"/>
          <w:sz w:val="15"/>
          <w:szCs w:val="15"/>
        </w:rPr>
      </w:pPr>
    </w:p>
    <w:p w14:paraId="2DB956AB" w14:textId="4DD361B3"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En el cuadro A.1.5, se presentan los indicadores de pertinencia desde el punto de vista de la efectividad de la producción, los cuales miden cada uso de forma separada, por lo que no se pueden sumar entre sí.</w:t>
      </w:r>
    </w:p>
    <w:p w14:paraId="136C06CF" w14:textId="610D622C" w:rsidR="00580CBB" w:rsidRPr="009A501D" w:rsidRDefault="00580CBB" w:rsidP="00664A1D">
      <w:pPr>
        <w:spacing w:before="240"/>
        <w:jc w:val="center"/>
        <w:rPr>
          <w:rFonts w:ascii="Century Gothic" w:hAnsi="Century Gothic"/>
          <w:sz w:val="19"/>
          <w:szCs w:val="19"/>
        </w:rPr>
      </w:pPr>
      <w:r w:rsidRPr="009A501D">
        <w:rPr>
          <w:rFonts w:ascii="Century Gothic" w:hAnsi="Century Gothic"/>
          <w:b/>
          <w:sz w:val="19"/>
          <w:szCs w:val="19"/>
        </w:rPr>
        <w:t>A.1.5.  Estimación de los indicadores de pertinencia (efectividad de la producción)</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1"/>
        <w:gridCol w:w="1134"/>
        <w:gridCol w:w="9639"/>
        <w:gridCol w:w="708"/>
        <w:gridCol w:w="709"/>
        <w:gridCol w:w="709"/>
        <w:gridCol w:w="709"/>
      </w:tblGrid>
      <w:tr w:rsidR="004C0178" w:rsidRPr="009A501D" w14:paraId="316211AA" w14:textId="749DDD74" w:rsidTr="00643EBD">
        <w:tc>
          <w:tcPr>
            <w:tcW w:w="1555" w:type="dxa"/>
            <w:gridSpan w:val="2"/>
            <w:shd w:val="clear" w:color="auto" w:fill="006FC0"/>
            <w:vAlign w:val="center"/>
          </w:tcPr>
          <w:p w14:paraId="324DF24A" w14:textId="77777777" w:rsidR="004C0178" w:rsidRPr="009A501D" w:rsidRDefault="004C0178" w:rsidP="00664A1D">
            <w:pPr>
              <w:jc w:val="center"/>
              <w:rPr>
                <w:rFonts w:ascii="Century Gothic" w:hAnsi="Century Gothic"/>
                <w:b/>
                <w:sz w:val="19"/>
                <w:szCs w:val="19"/>
              </w:rPr>
            </w:pPr>
            <w:r w:rsidRPr="009A501D">
              <w:rPr>
                <w:rFonts w:ascii="Century Gothic" w:hAnsi="Century Gothic"/>
                <w:b/>
                <w:color w:val="FFFFFF" w:themeColor="background1"/>
                <w:sz w:val="16"/>
                <w:szCs w:val="16"/>
              </w:rPr>
              <w:t>Tipo de uso</w:t>
            </w:r>
          </w:p>
        </w:tc>
        <w:tc>
          <w:tcPr>
            <w:tcW w:w="9639" w:type="dxa"/>
            <w:shd w:val="clear" w:color="auto" w:fill="006FC0"/>
            <w:vAlign w:val="center"/>
          </w:tcPr>
          <w:p w14:paraId="7354D879" w14:textId="77777777" w:rsidR="004C0178" w:rsidRPr="009A501D" w:rsidRDefault="004C0178" w:rsidP="00664A1D">
            <w:pPr>
              <w:jc w:val="center"/>
              <w:rPr>
                <w:rFonts w:ascii="Century Gothic" w:hAnsi="Century Gothic"/>
                <w:b/>
                <w:sz w:val="19"/>
                <w:szCs w:val="19"/>
              </w:rPr>
            </w:pPr>
            <w:r w:rsidRPr="009A501D">
              <w:rPr>
                <w:rFonts w:ascii="Century Gothic" w:hAnsi="Century Gothic"/>
                <w:b/>
                <w:color w:val="FFFFFF" w:themeColor="background1"/>
                <w:sz w:val="16"/>
                <w:szCs w:val="16"/>
              </w:rPr>
              <w:t>Indicadores de pertinencia</w:t>
            </w:r>
          </w:p>
        </w:tc>
        <w:tc>
          <w:tcPr>
            <w:tcW w:w="708" w:type="dxa"/>
            <w:shd w:val="clear" w:color="auto" w:fill="006FC0"/>
            <w:vAlign w:val="center"/>
          </w:tcPr>
          <w:p w14:paraId="190180C3" w14:textId="77777777" w:rsidR="004C0178" w:rsidRPr="009A501D" w:rsidRDefault="004C0178" w:rsidP="00664A1D">
            <w:pPr>
              <w:jc w:val="center"/>
              <w:rPr>
                <w:rFonts w:ascii="Century Gothic" w:hAnsi="Century Gothic"/>
                <w:b/>
                <w:sz w:val="19"/>
                <w:szCs w:val="19"/>
              </w:rPr>
            </w:pPr>
            <w:r w:rsidRPr="009A501D">
              <w:rPr>
                <w:rFonts w:ascii="Century Gothic" w:hAnsi="Century Gothic"/>
                <w:b/>
                <w:color w:val="FFFFFF" w:themeColor="background1"/>
                <w:sz w:val="16"/>
                <w:szCs w:val="16"/>
              </w:rPr>
              <w:t>2019</w:t>
            </w:r>
          </w:p>
        </w:tc>
        <w:tc>
          <w:tcPr>
            <w:tcW w:w="709" w:type="dxa"/>
            <w:shd w:val="clear" w:color="auto" w:fill="006FC0"/>
            <w:vAlign w:val="center"/>
          </w:tcPr>
          <w:p w14:paraId="69B57468" w14:textId="77777777" w:rsidR="004C0178" w:rsidRPr="009A501D" w:rsidRDefault="004C0178" w:rsidP="00664A1D">
            <w:pPr>
              <w:jc w:val="center"/>
              <w:rPr>
                <w:rFonts w:ascii="Century Gothic" w:hAnsi="Century Gothic"/>
                <w:b/>
                <w:sz w:val="19"/>
                <w:szCs w:val="19"/>
              </w:rPr>
            </w:pPr>
            <w:r w:rsidRPr="009A501D">
              <w:rPr>
                <w:rFonts w:ascii="Century Gothic" w:hAnsi="Century Gothic"/>
                <w:b/>
                <w:color w:val="FFFFFF" w:themeColor="background1"/>
                <w:sz w:val="16"/>
                <w:szCs w:val="16"/>
              </w:rPr>
              <w:t>2020</w:t>
            </w:r>
          </w:p>
        </w:tc>
        <w:tc>
          <w:tcPr>
            <w:tcW w:w="709" w:type="dxa"/>
            <w:shd w:val="clear" w:color="auto" w:fill="006FC0"/>
            <w:vAlign w:val="center"/>
          </w:tcPr>
          <w:p w14:paraId="713FA321" w14:textId="77777777" w:rsidR="004C0178" w:rsidRPr="009A501D" w:rsidRDefault="004C0178" w:rsidP="00664A1D">
            <w:pPr>
              <w:jc w:val="center"/>
              <w:rPr>
                <w:rFonts w:ascii="Century Gothic" w:hAnsi="Century Gothic"/>
                <w:b/>
                <w:sz w:val="19"/>
                <w:szCs w:val="19"/>
              </w:rPr>
            </w:pPr>
            <w:r w:rsidRPr="009A501D">
              <w:rPr>
                <w:rFonts w:ascii="Century Gothic" w:hAnsi="Century Gothic"/>
                <w:b/>
                <w:color w:val="FFFFFF" w:themeColor="background1"/>
                <w:sz w:val="16"/>
                <w:szCs w:val="16"/>
              </w:rPr>
              <w:t>2021*</w:t>
            </w:r>
          </w:p>
        </w:tc>
        <w:tc>
          <w:tcPr>
            <w:tcW w:w="709" w:type="dxa"/>
            <w:shd w:val="clear" w:color="auto" w:fill="006FC0"/>
          </w:tcPr>
          <w:p w14:paraId="6745A918" w14:textId="118A5945" w:rsidR="004C0178" w:rsidRPr="009A501D" w:rsidRDefault="004C0178" w:rsidP="00664A1D">
            <w:pPr>
              <w:jc w:val="center"/>
              <w:rPr>
                <w:rFonts w:ascii="Century Gothic" w:hAnsi="Century Gothic"/>
                <w:b/>
                <w:color w:val="FFFFFF" w:themeColor="background1"/>
                <w:sz w:val="16"/>
                <w:szCs w:val="16"/>
              </w:rPr>
            </w:pPr>
            <w:r w:rsidRPr="009A501D">
              <w:rPr>
                <w:rFonts w:ascii="Century Gothic" w:hAnsi="Century Gothic"/>
                <w:b/>
                <w:color w:val="FFFFFF" w:themeColor="background1"/>
                <w:sz w:val="16"/>
                <w:szCs w:val="16"/>
              </w:rPr>
              <w:t>2022</w:t>
            </w:r>
          </w:p>
        </w:tc>
      </w:tr>
      <w:tr w:rsidR="004C0178" w:rsidRPr="009A501D" w14:paraId="4B7F5029" w14:textId="7674E498" w:rsidTr="00643EBD">
        <w:tc>
          <w:tcPr>
            <w:tcW w:w="421" w:type="dxa"/>
            <w:vMerge w:val="restart"/>
            <w:shd w:val="clear" w:color="auto" w:fill="D9D9D9"/>
            <w:textDirection w:val="btLr"/>
          </w:tcPr>
          <w:p w14:paraId="1A4C7729" w14:textId="77777777" w:rsidR="004C0178" w:rsidRPr="009A501D" w:rsidRDefault="004C0178" w:rsidP="00664A1D">
            <w:pPr>
              <w:ind w:left="113" w:right="113"/>
              <w:jc w:val="both"/>
              <w:rPr>
                <w:rFonts w:ascii="Century Gothic" w:hAnsi="Century Gothic"/>
                <w:sz w:val="16"/>
                <w:szCs w:val="16"/>
              </w:rPr>
            </w:pPr>
            <w:r w:rsidRPr="009A501D">
              <w:rPr>
                <w:rFonts w:ascii="Century Gothic" w:hAnsi="Century Gothic"/>
                <w:sz w:val="16"/>
                <w:szCs w:val="16"/>
              </w:rPr>
              <w:t>Interno</w:t>
            </w:r>
          </w:p>
        </w:tc>
        <w:tc>
          <w:tcPr>
            <w:tcW w:w="1134" w:type="dxa"/>
            <w:vMerge w:val="restart"/>
            <w:shd w:val="clear" w:color="auto" w:fill="D9D9D9"/>
            <w:vAlign w:val="center"/>
          </w:tcPr>
          <w:p w14:paraId="02840F8E" w14:textId="77777777" w:rsidR="004C0178" w:rsidRPr="009A501D" w:rsidRDefault="004C0178" w:rsidP="00664A1D">
            <w:pPr>
              <w:jc w:val="center"/>
              <w:rPr>
                <w:rFonts w:ascii="Century Gothic" w:hAnsi="Century Gothic"/>
                <w:sz w:val="19"/>
                <w:szCs w:val="19"/>
              </w:rPr>
            </w:pPr>
            <w:r w:rsidRPr="009A501D">
              <w:rPr>
                <w:rFonts w:ascii="Century Gothic" w:hAnsi="Century Gothic"/>
                <w:bCs/>
                <w:sz w:val="16"/>
                <w:szCs w:val="16"/>
              </w:rPr>
              <w:t>Insumo de otros programas del INEGI</w:t>
            </w:r>
          </w:p>
        </w:tc>
        <w:tc>
          <w:tcPr>
            <w:tcW w:w="9639" w:type="dxa"/>
            <w:shd w:val="clear" w:color="auto" w:fill="D9D9D9"/>
            <w:vAlign w:val="center"/>
          </w:tcPr>
          <w:p w14:paraId="1F555BC8" w14:textId="590C8ABE" w:rsidR="004C0178" w:rsidRPr="009A501D" w:rsidRDefault="004C0178" w:rsidP="00664A1D">
            <w:pPr>
              <w:jc w:val="both"/>
              <w:rPr>
                <w:rFonts w:ascii="Century Gothic" w:hAnsi="Century Gothic"/>
                <w:sz w:val="19"/>
                <w:szCs w:val="19"/>
              </w:rPr>
            </w:pPr>
            <w:r w:rsidRPr="009A501D">
              <w:rPr>
                <w:rFonts w:ascii="Century Gothic" w:hAnsi="Century Gothic"/>
                <w:bCs/>
                <w:sz w:val="16"/>
                <w:szCs w:val="16"/>
              </w:rPr>
              <w:t xml:space="preserve">Porcentaje de </w:t>
            </w:r>
            <w:r w:rsidR="00484BAC" w:rsidRPr="009A501D">
              <w:rPr>
                <w:rFonts w:ascii="Century Gothic" w:hAnsi="Century Gothic"/>
                <w:bCs/>
                <w:sz w:val="16"/>
                <w:szCs w:val="16"/>
              </w:rPr>
              <w:t>programas</w:t>
            </w:r>
            <w:r w:rsidRPr="009A501D">
              <w:rPr>
                <w:rFonts w:ascii="Century Gothic" w:hAnsi="Century Gothic"/>
                <w:bCs/>
                <w:sz w:val="16"/>
                <w:szCs w:val="16"/>
              </w:rPr>
              <w:t xml:space="preserve"> de información estadística y geográfica del INEGI que se utilizan </w:t>
            </w:r>
            <w:r w:rsidRPr="009A501D">
              <w:rPr>
                <w:rFonts w:ascii="Century Gothic" w:hAnsi="Century Gothic"/>
                <w:bCs/>
                <w:sz w:val="16"/>
                <w:szCs w:val="16"/>
                <w:u w:val="single"/>
              </w:rPr>
              <w:t>solamente como insumos para otros programas del INEGI</w:t>
            </w:r>
            <w:r w:rsidRPr="009A501D">
              <w:rPr>
                <w:rFonts w:ascii="Century Gothic" w:hAnsi="Century Gothic"/>
                <w:bCs/>
                <w:sz w:val="16"/>
                <w:szCs w:val="16"/>
              </w:rPr>
              <w:t>.</w:t>
            </w:r>
          </w:p>
        </w:tc>
        <w:tc>
          <w:tcPr>
            <w:tcW w:w="708" w:type="dxa"/>
            <w:shd w:val="clear" w:color="auto" w:fill="D9D9D9"/>
            <w:vAlign w:val="center"/>
          </w:tcPr>
          <w:p w14:paraId="28AECD0B" w14:textId="77777777" w:rsidR="004C0178" w:rsidRPr="009A501D" w:rsidRDefault="004C0178" w:rsidP="0022226D">
            <w:pPr>
              <w:jc w:val="center"/>
              <w:rPr>
                <w:rFonts w:ascii="Century Gothic" w:hAnsi="Century Gothic"/>
                <w:sz w:val="19"/>
                <w:szCs w:val="19"/>
              </w:rPr>
            </w:pPr>
            <w:r w:rsidRPr="009A501D">
              <w:rPr>
                <w:rFonts w:ascii="Century Gothic" w:hAnsi="Century Gothic"/>
                <w:bCs/>
                <w:sz w:val="16"/>
                <w:szCs w:val="16"/>
              </w:rPr>
              <w:t>0%</w:t>
            </w:r>
          </w:p>
        </w:tc>
        <w:tc>
          <w:tcPr>
            <w:tcW w:w="709" w:type="dxa"/>
            <w:shd w:val="clear" w:color="auto" w:fill="D9D9D9"/>
            <w:vAlign w:val="center"/>
          </w:tcPr>
          <w:p w14:paraId="54FCF11E" w14:textId="77777777" w:rsidR="004C0178" w:rsidRPr="009A501D" w:rsidRDefault="004C0178" w:rsidP="0022226D">
            <w:pPr>
              <w:jc w:val="center"/>
              <w:rPr>
                <w:rFonts w:ascii="Century Gothic" w:hAnsi="Century Gothic"/>
                <w:sz w:val="19"/>
                <w:szCs w:val="19"/>
              </w:rPr>
            </w:pPr>
            <w:r w:rsidRPr="009A501D">
              <w:rPr>
                <w:rFonts w:ascii="Century Gothic" w:hAnsi="Century Gothic"/>
                <w:bCs/>
                <w:sz w:val="16"/>
                <w:szCs w:val="16"/>
              </w:rPr>
              <w:t>1%*</w:t>
            </w:r>
          </w:p>
        </w:tc>
        <w:tc>
          <w:tcPr>
            <w:tcW w:w="709" w:type="dxa"/>
            <w:shd w:val="clear" w:color="auto" w:fill="D9D9D9"/>
            <w:vAlign w:val="center"/>
          </w:tcPr>
          <w:p w14:paraId="06BAE8BD" w14:textId="77777777" w:rsidR="004C0178" w:rsidRPr="009A501D" w:rsidRDefault="004C0178" w:rsidP="0022226D">
            <w:pPr>
              <w:jc w:val="center"/>
              <w:rPr>
                <w:rFonts w:ascii="Century Gothic" w:hAnsi="Century Gothic"/>
                <w:sz w:val="19"/>
                <w:szCs w:val="19"/>
              </w:rPr>
            </w:pPr>
            <w:r w:rsidRPr="009A501D">
              <w:rPr>
                <w:rFonts w:ascii="Century Gothic" w:eastAsia="Calibri" w:hAnsi="Century Gothic"/>
                <w:color w:val="000000"/>
                <w:kern w:val="24"/>
                <w:sz w:val="16"/>
                <w:szCs w:val="16"/>
              </w:rPr>
              <w:t>2%**</w:t>
            </w:r>
          </w:p>
        </w:tc>
        <w:tc>
          <w:tcPr>
            <w:tcW w:w="709" w:type="dxa"/>
            <w:shd w:val="clear" w:color="auto" w:fill="D9D9D9"/>
            <w:vAlign w:val="center"/>
          </w:tcPr>
          <w:p w14:paraId="7D72841D" w14:textId="5D7B7698"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1%</w:t>
            </w:r>
            <w:r w:rsidR="00F2702B" w:rsidRPr="009A501D">
              <w:rPr>
                <w:rFonts w:ascii="Century Gothic" w:hAnsi="Century Gothic"/>
                <w:bCs/>
                <w:color w:val="000000" w:themeColor="text1"/>
                <w:sz w:val="16"/>
                <w:szCs w:val="16"/>
              </w:rPr>
              <w:t>***</w:t>
            </w:r>
          </w:p>
        </w:tc>
      </w:tr>
      <w:tr w:rsidR="004C0178" w:rsidRPr="009A501D" w14:paraId="6BA5A033" w14:textId="2D435821" w:rsidTr="00643EBD">
        <w:tc>
          <w:tcPr>
            <w:tcW w:w="421" w:type="dxa"/>
            <w:vMerge/>
            <w:shd w:val="clear" w:color="auto" w:fill="D9D9D9"/>
          </w:tcPr>
          <w:p w14:paraId="6E3302E4" w14:textId="77777777" w:rsidR="004C0178" w:rsidRPr="009A501D" w:rsidRDefault="004C0178" w:rsidP="00664A1D">
            <w:pPr>
              <w:jc w:val="both"/>
              <w:rPr>
                <w:rFonts w:ascii="Century Gothic" w:hAnsi="Century Gothic"/>
                <w:sz w:val="19"/>
                <w:szCs w:val="19"/>
              </w:rPr>
            </w:pPr>
          </w:p>
        </w:tc>
        <w:tc>
          <w:tcPr>
            <w:tcW w:w="1134" w:type="dxa"/>
            <w:vMerge/>
            <w:shd w:val="clear" w:color="auto" w:fill="D9D9D9"/>
            <w:vAlign w:val="center"/>
          </w:tcPr>
          <w:p w14:paraId="3602E867" w14:textId="77777777" w:rsidR="004C0178" w:rsidRPr="009A501D" w:rsidRDefault="004C0178" w:rsidP="00664A1D">
            <w:pPr>
              <w:jc w:val="both"/>
              <w:rPr>
                <w:rFonts w:ascii="Century Gothic" w:hAnsi="Century Gothic"/>
                <w:sz w:val="19"/>
                <w:szCs w:val="19"/>
              </w:rPr>
            </w:pPr>
          </w:p>
        </w:tc>
        <w:tc>
          <w:tcPr>
            <w:tcW w:w="9639" w:type="dxa"/>
            <w:shd w:val="clear" w:color="auto" w:fill="D9D9D9"/>
            <w:vAlign w:val="center"/>
          </w:tcPr>
          <w:p w14:paraId="289A8FC3" w14:textId="4572AA5E" w:rsidR="004C0178" w:rsidRPr="009A501D" w:rsidRDefault="004C0178" w:rsidP="00664A1D">
            <w:pPr>
              <w:jc w:val="both"/>
              <w:rPr>
                <w:rFonts w:ascii="Century Gothic" w:hAnsi="Century Gothic"/>
                <w:sz w:val="19"/>
                <w:szCs w:val="19"/>
              </w:rPr>
            </w:pPr>
            <w:r w:rsidRPr="009A501D">
              <w:rPr>
                <w:rFonts w:ascii="Century Gothic" w:hAnsi="Century Gothic"/>
                <w:bCs/>
                <w:sz w:val="16"/>
                <w:szCs w:val="16"/>
              </w:rPr>
              <w:t xml:space="preserve">Porcentaje de </w:t>
            </w:r>
            <w:r w:rsidR="00484BAC" w:rsidRPr="009A501D">
              <w:rPr>
                <w:rFonts w:ascii="Century Gothic" w:hAnsi="Century Gothic"/>
                <w:bCs/>
                <w:sz w:val="16"/>
                <w:szCs w:val="16"/>
              </w:rPr>
              <w:t>programas</w:t>
            </w:r>
            <w:r w:rsidRPr="009A501D">
              <w:rPr>
                <w:rFonts w:ascii="Century Gothic" w:hAnsi="Century Gothic"/>
                <w:bCs/>
                <w:sz w:val="16"/>
                <w:szCs w:val="16"/>
              </w:rPr>
              <w:t xml:space="preserve"> de información estadística y geográfica del INEGI que se utilizan como insumo de otros programas y en algún otro referente.</w:t>
            </w:r>
          </w:p>
        </w:tc>
        <w:tc>
          <w:tcPr>
            <w:tcW w:w="708" w:type="dxa"/>
            <w:shd w:val="clear" w:color="auto" w:fill="D9D9D9"/>
            <w:vAlign w:val="center"/>
          </w:tcPr>
          <w:p w14:paraId="4C89E53C" w14:textId="77777777" w:rsidR="004C0178" w:rsidRPr="009A501D" w:rsidRDefault="004C0178" w:rsidP="0022226D">
            <w:pPr>
              <w:jc w:val="center"/>
              <w:rPr>
                <w:rFonts w:ascii="Century Gothic" w:hAnsi="Century Gothic"/>
                <w:sz w:val="19"/>
                <w:szCs w:val="19"/>
              </w:rPr>
            </w:pPr>
            <w:r w:rsidRPr="009A501D">
              <w:rPr>
                <w:rFonts w:ascii="Century Gothic" w:hAnsi="Century Gothic"/>
                <w:bCs/>
                <w:sz w:val="16"/>
                <w:szCs w:val="16"/>
              </w:rPr>
              <w:t>50%</w:t>
            </w:r>
          </w:p>
        </w:tc>
        <w:tc>
          <w:tcPr>
            <w:tcW w:w="709" w:type="dxa"/>
            <w:shd w:val="clear" w:color="auto" w:fill="D9D9D9"/>
            <w:vAlign w:val="center"/>
          </w:tcPr>
          <w:p w14:paraId="612C0DE1" w14:textId="77777777" w:rsidR="004C0178" w:rsidRPr="009A501D" w:rsidRDefault="004C0178" w:rsidP="0022226D">
            <w:pPr>
              <w:jc w:val="center"/>
              <w:rPr>
                <w:rFonts w:ascii="Century Gothic" w:hAnsi="Century Gothic"/>
                <w:sz w:val="19"/>
                <w:szCs w:val="19"/>
              </w:rPr>
            </w:pPr>
            <w:r w:rsidRPr="009A501D">
              <w:rPr>
                <w:rFonts w:ascii="Century Gothic" w:hAnsi="Century Gothic"/>
                <w:bCs/>
                <w:sz w:val="16"/>
                <w:szCs w:val="16"/>
              </w:rPr>
              <w:t>53%</w:t>
            </w:r>
          </w:p>
        </w:tc>
        <w:tc>
          <w:tcPr>
            <w:tcW w:w="709" w:type="dxa"/>
            <w:shd w:val="clear" w:color="auto" w:fill="D9D9D9"/>
            <w:vAlign w:val="center"/>
          </w:tcPr>
          <w:p w14:paraId="721D5DD5" w14:textId="77777777" w:rsidR="004C0178" w:rsidRPr="009A501D" w:rsidRDefault="004C0178" w:rsidP="0022226D">
            <w:pPr>
              <w:jc w:val="center"/>
              <w:rPr>
                <w:rFonts w:ascii="Century Gothic" w:hAnsi="Century Gothic"/>
                <w:sz w:val="19"/>
                <w:szCs w:val="19"/>
              </w:rPr>
            </w:pPr>
            <w:r w:rsidRPr="009A501D">
              <w:rPr>
                <w:rFonts w:ascii="Century Gothic" w:eastAsia="Calibri" w:hAnsi="Century Gothic"/>
                <w:color w:val="000000"/>
                <w:kern w:val="24"/>
                <w:sz w:val="16"/>
                <w:szCs w:val="16"/>
              </w:rPr>
              <w:t>43%</w:t>
            </w:r>
          </w:p>
        </w:tc>
        <w:tc>
          <w:tcPr>
            <w:tcW w:w="709" w:type="dxa"/>
            <w:shd w:val="clear" w:color="auto" w:fill="D9D9D9"/>
            <w:vAlign w:val="center"/>
          </w:tcPr>
          <w:p w14:paraId="0B98ACC1" w14:textId="5DAAB96F"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48%</w:t>
            </w:r>
          </w:p>
        </w:tc>
      </w:tr>
      <w:tr w:rsidR="004C0178" w:rsidRPr="009A501D" w14:paraId="7B95409A" w14:textId="7B281584" w:rsidTr="00643EBD">
        <w:tc>
          <w:tcPr>
            <w:tcW w:w="421" w:type="dxa"/>
            <w:vMerge w:val="restart"/>
            <w:shd w:val="clear" w:color="auto" w:fill="9FD5FF"/>
            <w:textDirection w:val="btLr"/>
          </w:tcPr>
          <w:p w14:paraId="4BFFAD0D" w14:textId="77777777" w:rsidR="004C0178" w:rsidRPr="009A501D" w:rsidRDefault="004C0178" w:rsidP="00664A1D">
            <w:pPr>
              <w:ind w:left="113" w:right="113"/>
              <w:jc w:val="both"/>
              <w:rPr>
                <w:rFonts w:ascii="Century Gothic" w:hAnsi="Century Gothic"/>
                <w:sz w:val="16"/>
                <w:szCs w:val="16"/>
              </w:rPr>
            </w:pPr>
            <w:r w:rsidRPr="009A501D">
              <w:rPr>
                <w:rFonts w:ascii="Century Gothic" w:hAnsi="Century Gothic"/>
                <w:sz w:val="16"/>
                <w:szCs w:val="16"/>
              </w:rPr>
              <w:t>Externo</w:t>
            </w:r>
          </w:p>
        </w:tc>
        <w:tc>
          <w:tcPr>
            <w:tcW w:w="1134" w:type="dxa"/>
            <w:vMerge w:val="restart"/>
            <w:shd w:val="clear" w:color="auto" w:fill="9FD5FF"/>
            <w:vAlign w:val="center"/>
          </w:tcPr>
          <w:p w14:paraId="2A9EB48D" w14:textId="77777777" w:rsidR="004C0178" w:rsidRPr="009A501D" w:rsidRDefault="004C0178" w:rsidP="00664A1D">
            <w:pPr>
              <w:jc w:val="center"/>
              <w:rPr>
                <w:rFonts w:ascii="Century Gothic" w:hAnsi="Century Gothic"/>
                <w:sz w:val="16"/>
                <w:szCs w:val="16"/>
              </w:rPr>
            </w:pPr>
            <w:r w:rsidRPr="009A501D">
              <w:rPr>
                <w:rFonts w:ascii="Century Gothic" w:hAnsi="Century Gothic"/>
                <w:sz w:val="16"/>
                <w:szCs w:val="16"/>
              </w:rPr>
              <w:t>Atención a disposiciones legales</w:t>
            </w:r>
          </w:p>
        </w:tc>
        <w:tc>
          <w:tcPr>
            <w:tcW w:w="9639" w:type="dxa"/>
            <w:shd w:val="clear" w:color="auto" w:fill="9FD5FF"/>
            <w:vAlign w:val="center"/>
          </w:tcPr>
          <w:p w14:paraId="25813D1F" w14:textId="069502EE"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que atienden las disposiciones en la Constitución y Leyes Nacionales.</w:t>
            </w:r>
          </w:p>
        </w:tc>
        <w:tc>
          <w:tcPr>
            <w:tcW w:w="708" w:type="dxa"/>
            <w:shd w:val="clear" w:color="auto" w:fill="9FD5FF"/>
            <w:vAlign w:val="center"/>
          </w:tcPr>
          <w:p w14:paraId="6A129511"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32%</w:t>
            </w:r>
          </w:p>
        </w:tc>
        <w:tc>
          <w:tcPr>
            <w:tcW w:w="709" w:type="dxa"/>
            <w:shd w:val="clear" w:color="auto" w:fill="9FD5FF"/>
            <w:vAlign w:val="center"/>
          </w:tcPr>
          <w:p w14:paraId="65ED9FF7"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38%</w:t>
            </w:r>
          </w:p>
        </w:tc>
        <w:tc>
          <w:tcPr>
            <w:tcW w:w="709" w:type="dxa"/>
            <w:shd w:val="clear" w:color="auto" w:fill="9FD5FF"/>
            <w:vAlign w:val="center"/>
          </w:tcPr>
          <w:p w14:paraId="681EAB0F"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33%</w:t>
            </w:r>
          </w:p>
        </w:tc>
        <w:tc>
          <w:tcPr>
            <w:tcW w:w="709" w:type="dxa"/>
            <w:shd w:val="clear" w:color="auto" w:fill="9FD5FF"/>
            <w:vAlign w:val="center"/>
          </w:tcPr>
          <w:p w14:paraId="4BCE6C01" w14:textId="068486F8"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40%</w:t>
            </w:r>
          </w:p>
        </w:tc>
      </w:tr>
      <w:tr w:rsidR="004C0178" w:rsidRPr="009A501D" w14:paraId="5CC49E96" w14:textId="4912305D" w:rsidTr="00643EBD">
        <w:tc>
          <w:tcPr>
            <w:tcW w:w="421" w:type="dxa"/>
            <w:vMerge/>
            <w:shd w:val="clear" w:color="auto" w:fill="9FD5FF"/>
          </w:tcPr>
          <w:p w14:paraId="27DC5234" w14:textId="77777777" w:rsidR="004C0178" w:rsidRPr="009A501D" w:rsidRDefault="004C0178" w:rsidP="00664A1D">
            <w:pPr>
              <w:jc w:val="both"/>
              <w:rPr>
                <w:rFonts w:ascii="Century Gothic" w:hAnsi="Century Gothic"/>
                <w:sz w:val="19"/>
                <w:szCs w:val="19"/>
              </w:rPr>
            </w:pPr>
          </w:p>
        </w:tc>
        <w:tc>
          <w:tcPr>
            <w:tcW w:w="1134" w:type="dxa"/>
            <w:vMerge/>
            <w:shd w:val="clear" w:color="auto" w:fill="9FD5FF"/>
            <w:vAlign w:val="center"/>
          </w:tcPr>
          <w:p w14:paraId="4A4A4AEA" w14:textId="77777777" w:rsidR="004C0178" w:rsidRPr="009A501D" w:rsidRDefault="004C0178" w:rsidP="00664A1D">
            <w:pPr>
              <w:jc w:val="both"/>
              <w:rPr>
                <w:rFonts w:ascii="Century Gothic" w:hAnsi="Century Gothic"/>
                <w:sz w:val="16"/>
                <w:szCs w:val="16"/>
              </w:rPr>
            </w:pPr>
          </w:p>
        </w:tc>
        <w:tc>
          <w:tcPr>
            <w:tcW w:w="9639" w:type="dxa"/>
            <w:shd w:val="clear" w:color="auto" w:fill="9FD5FF"/>
            <w:vAlign w:val="center"/>
          </w:tcPr>
          <w:p w14:paraId="1F28CB6D" w14:textId="6726FB61"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que atienden las disposiciones en Tratados Internacionales.</w:t>
            </w:r>
          </w:p>
        </w:tc>
        <w:tc>
          <w:tcPr>
            <w:tcW w:w="708" w:type="dxa"/>
            <w:shd w:val="clear" w:color="auto" w:fill="9FD5FF"/>
            <w:vAlign w:val="center"/>
          </w:tcPr>
          <w:p w14:paraId="7B10D4F5"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24%</w:t>
            </w:r>
          </w:p>
        </w:tc>
        <w:tc>
          <w:tcPr>
            <w:tcW w:w="709" w:type="dxa"/>
            <w:shd w:val="clear" w:color="auto" w:fill="9FD5FF"/>
            <w:vAlign w:val="center"/>
          </w:tcPr>
          <w:p w14:paraId="4FC6BC54"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40%</w:t>
            </w:r>
          </w:p>
        </w:tc>
        <w:tc>
          <w:tcPr>
            <w:tcW w:w="709" w:type="dxa"/>
            <w:shd w:val="clear" w:color="auto" w:fill="9FD5FF"/>
            <w:vAlign w:val="center"/>
          </w:tcPr>
          <w:p w14:paraId="1633D023"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34%</w:t>
            </w:r>
          </w:p>
        </w:tc>
        <w:tc>
          <w:tcPr>
            <w:tcW w:w="709" w:type="dxa"/>
            <w:shd w:val="clear" w:color="auto" w:fill="9FD5FF"/>
            <w:vAlign w:val="center"/>
          </w:tcPr>
          <w:p w14:paraId="59D63CFF" w14:textId="5CF4F498"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41%</w:t>
            </w:r>
          </w:p>
        </w:tc>
      </w:tr>
      <w:tr w:rsidR="004C0178" w:rsidRPr="009A501D" w14:paraId="2BF0FC48" w14:textId="0AEEDAFB" w:rsidTr="00643EBD">
        <w:tc>
          <w:tcPr>
            <w:tcW w:w="421" w:type="dxa"/>
            <w:vMerge/>
            <w:shd w:val="clear" w:color="auto" w:fill="9FD5FF"/>
          </w:tcPr>
          <w:p w14:paraId="7E04D274" w14:textId="77777777" w:rsidR="004C0178" w:rsidRPr="009A501D" w:rsidRDefault="004C0178" w:rsidP="00664A1D">
            <w:pPr>
              <w:jc w:val="both"/>
              <w:rPr>
                <w:rFonts w:ascii="Century Gothic" w:hAnsi="Century Gothic"/>
                <w:sz w:val="19"/>
                <w:szCs w:val="19"/>
              </w:rPr>
            </w:pPr>
          </w:p>
        </w:tc>
        <w:tc>
          <w:tcPr>
            <w:tcW w:w="1134" w:type="dxa"/>
            <w:vMerge w:val="restart"/>
            <w:shd w:val="clear" w:color="auto" w:fill="C8E8FF"/>
            <w:vAlign w:val="center"/>
          </w:tcPr>
          <w:p w14:paraId="1A0AB6E9" w14:textId="77777777" w:rsidR="004C0178" w:rsidRPr="009A501D" w:rsidRDefault="004C0178" w:rsidP="00664A1D">
            <w:pPr>
              <w:jc w:val="center"/>
              <w:rPr>
                <w:rFonts w:ascii="Century Gothic" w:hAnsi="Century Gothic"/>
                <w:sz w:val="16"/>
                <w:szCs w:val="16"/>
              </w:rPr>
            </w:pPr>
            <w:r w:rsidRPr="009A501D">
              <w:rPr>
                <w:rFonts w:ascii="Century Gothic" w:hAnsi="Century Gothic"/>
                <w:sz w:val="16"/>
                <w:szCs w:val="16"/>
              </w:rPr>
              <w:t>Uso en la medición del desarrollo nacional</w:t>
            </w:r>
          </w:p>
        </w:tc>
        <w:tc>
          <w:tcPr>
            <w:tcW w:w="9639" w:type="dxa"/>
            <w:shd w:val="clear" w:color="auto" w:fill="C8E8FF"/>
            <w:vAlign w:val="center"/>
          </w:tcPr>
          <w:p w14:paraId="2817CB68" w14:textId="09E7DC19"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utilizados en el cálculo de Indicadores de los Objetivos de Desarrollo Sostenible.</w:t>
            </w:r>
          </w:p>
        </w:tc>
        <w:tc>
          <w:tcPr>
            <w:tcW w:w="708" w:type="dxa"/>
            <w:shd w:val="clear" w:color="auto" w:fill="C8E8FF"/>
            <w:vAlign w:val="center"/>
          </w:tcPr>
          <w:p w14:paraId="33E3288D"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19%</w:t>
            </w:r>
          </w:p>
        </w:tc>
        <w:tc>
          <w:tcPr>
            <w:tcW w:w="709" w:type="dxa"/>
            <w:shd w:val="clear" w:color="auto" w:fill="C8E8FF"/>
            <w:vAlign w:val="center"/>
          </w:tcPr>
          <w:p w14:paraId="2C9785E9"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32%</w:t>
            </w:r>
          </w:p>
        </w:tc>
        <w:tc>
          <w:tcPr>
            <w:tcW w:w="709" w:type="dxa"/>
            <w:shd w:val="clear" w:color="auto" w:fill="C8E8FF"/>
            <w:vAlign w:val="center"/>
          </w:tcPr>
          <w:p w14:paraId="4BF90992"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39%</w:t>
            </w:r>
          </w:p>
        </w:tc>
        <w:tc>
          <w:tcPr>
            <w:tcW w:w="709" w:type="dxa"/>
            <w:shd w:val="clear" w:color="auto" w:fill="C8E8FF"/>
            <w:vAlign w:val="center"/>
          </w:tcPr>
          <w:p w14:paraId="08538895" w14:textId="48F653FF"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42%</w:t>
            </w:r>
          </w:p>
        </w:tc>
      </w:tr>
      <w:tr w:rsidR="004C0178" w:rsidRPr="009A501D" w14:paraId="3A3B2D8E" w14:textId="07AB74DA" w:rsidTr="00643EBD">
        <w:tc>
          <w:tcPr>
            <w:tcW w:w="421" w:type="dxa"/>
            <w:vMerge/>
            <w:shd w:val="clear" w:color="auto" w:fill="9FD5FF"/>
          </w:tcPr>
          <w:p w14:paraId="570B329E" w14:textId="77777777" w:rsidR="004C0178" w:rsidRPr="009A501D" w:rsidRDefault="004C0178" w:rsidP="00664A1D">
            <w:pPr>
              <w:jc w:val="both"/>
              <w:rPr>
                <w:rFonts w:ascii="Century Gothic" w:hAnsi="Century Gothic"/>
                <w:sz w:val="19"/>
                <w:szCs w:val="19"/>
              </w:rPr>
            </w:pPr>
          </w:p>
        </w:tc>
        <w:tc>
          <w:tcPr>
            <w:tcW w:w="1134" w:type="dxa"/>
            <w:vMerge/>
            <w:shd w:val="clear" w:color="auto" w:fill="C8E8FF"/>
            <w:vAlign w:val="center"/>
          </w:tcPr>
          <w:p w14:paraId="63A1B6C8" w14:textId="77777777" w:rsidR="004C0178" w:rsidRPr="009A501D" w:rsidRDefault="004C0178" w:rsidP="00664A1D">
            <w:pPr>
              <w:jc w:val="both"/>
              <w:rPr>
                <w:rFonts w:ascii="Century Gothic" w:hAnsi="Century Gothic"/>
                <w:sz w:val="16"/>
                <w:szCs w:val="16"/>
              </w:rPr>
            </w:pPr>
          </w:p>
        </w:tc>
        <w:tc>
          <w:tcPr>
            <w:tcW w:w="9639" w:type="dxa"/>
            <w:shd w:val="clear" w:color="auto" w:fill="C8E8FF"/>
            <w:vAlign w:val="center"/>
          </w:tcPr>
          <w:p w14:paraId="4DEDF943" w14:textId="440745F1"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utilizados en el cálculo de Indicadores Clave.</w:t>
            </w:r>
          </w:p>
        </w:tc>
        <w:tc>
          <w:tcPr>
            <w:tcW w:w="708" w:type="dxa"/>
            <w:shd w:val="clear" w:color="auto" w:fill="C8E8FF"/>
            <w:vAlign w:val="center"/>
          </w:tcPr>
          <w:p w14:paraId="3D805AAE"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31%</w:t>
            </w:r>
          </w:p>
        </w:tc>
        <w:tc>
          <w:tcPr>
            <w:tcW w:w="709" w:type="dxa"/>
            <w:shd w:val="clear" w:color="auto" w:fill="C8E8FF"/>
            <w:vAlign w:val="center"/>
          </w:tcPr>
          <w:p w14:paraId="002388CD"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35%</w:t>
            </w:r>
          </w:p>
        </w:tc>
        <w:tc>
          <w:tcPr>
            <w:tcW w:w="709" w:type="dxa"/>
            <w:shd w:val="clear" w:color="auto" w:fill="C8E8FF"/>
            <w:vAlign w:val="center"/>
          </w:tcPr>
          <w:p w14:paraId="6E43CDCD"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33%</w:t>
            </w:r>
          </w:p>
        </w:tc>
        <w:tc>
          <w:tcPr>
            <w:tcW w:w="709" w:type="dxa"/>
            <w:shd w:val="clear" w:color="auto" w:fill="C8E8FF"/>
            <w:vAlign w:val="center"/>
          </w:tcPr>
          <w:p w14:paraId="57AE95ED" w14:textId="7F627954"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35%</w:t>
            </w:r>
          </w:p>
        </w:tc>
      </w:tr>
      <w:tr w:rsidR="004C0178" w:rsidRPr="009A501D" w14:paraId="1FD19A7C" w14:textId="5FBA90EB" w:rsidTr="00643EBD">
        <w:tc>
          <w:tcPr>
            <w:tcW w:w="421" w:type="dxa"/>
            <w:vMerge/>
            <w:shd w:val="clear" w:color="auto" w:fill="9FD5FF"/>
          </w:tcPr>
          <w:p w14:paraId="0B4F8106" w14:textId="77777777" w:rsidR="004C0178" w:rsidRPr="009A501D" w:rsidRDefault="004C0178" w:rsidP="00664A1D">
            <w:pPr>
              <w:jc w:val="both"/>
              <w:rPr>
                <w:rFonts w:ascii="Century Gothic" w:hAnsi="Century Gothic"/>
                <w:sz w:val="19"/>
                <w:szCs w:val="19"/>
              </w:rPr>
            </w:pPr>
          </w:p>
        </w:tc>
        <w:tc>
          <w:tcPr>
            <w:tcW w:w="1134" w:type="dxa"/>
            <w:vMerge/>
            <w:shd w:val="clear" w:color="auto" w:fill="C8E8FF"/>
            <w:vAlign w:val="center"/>
          </w:tcPr>
          <w:p w14:paraId="04156DE5" w14:textId="77777777" w:rsidR="004C0178" w:rsidRPr="009A501D" w:rsidRDefault="004C0178" w:rsidP="00664A1D">
            <w:pPr>
              <w:jc w:val="both"/>
              <w:rPr>
                <w:rFonts w:ascii="Century Gothic" w:hAnsi="Century Gothic"/>
                <w:sz w:val="16"/>
                <w:szCs w:val="16"/>
              </w:rPr>
            </w:pPr>
          </w:p>
        </w:tc>
        <w:tc>
          <w:tcPr>
            <w:tcW w:w="9639" w:type="dxa"/>
            <w:shd w:val="clear" w:color="auto" w:fill="C8E8FF"/>
            <w:vAlign w:val="center"/>
          </w:tcPr>
          <w:p w14:paraId="45258BD6" w14:textId="7D93901D"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utilizados en el cálculo de los indicadores de los Programas que se derivan del Plan Nacional de Desarrollo.</w:t>
            </w:r>
          </w:p>
        </w:tc>
        <w:tc>
          <w:tcPr>
            <w:tcW w:w="708" w:type="dxa"/>
            <w:shd w:val="clear" w:color="auto" w:fill="C8E8FF"/>
            <w:vAlign w:val="center"/>
          </w:tcPr>
          <w:p w14:paraId="4C725992"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1%</w:t>
            </w:r>
          </w:p>
        </w:tc>
        <w:tc>
          <w:tcPr>
            <w:tcW w:w="709" w:type="dxa"/>
            <w:shd w:val="clear" w:color="auto" w:fill="C8E8FF"/>
            <w:vAlign w:val="center"/>
          </w:tcPr>
          <w:p w14:paraId="59E32528"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35%</w:t>
            </w:r>
          </w:p>
        </w:tc>
        <w:tc>
          <w:tcPr>
            <w:tcW w:w="709" w:type="dxa"/>
            <w:shd w:val="clear" w:color="auto" w:fill="C8E8FF"/>
            <w:vAlign w:val="center"/>
          </w:tcPr>
          <w:p w14:paraId="7A1557AE"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47%</w:t>
            </w:r>
          </w:p>
        </w:tc>
        <w:tc>
          <w:tcPr>
            <w:tcW w:w="709" w:type="dxa"/>
            <w:shd w:val="clear" w:color="auto" w:fill="C8E8FF"/>
            <w:vAlign w:val="center"/>
          </w:tcPr>
          <w:p w14:paraId="13566FD3" w14:textId="4D220BFA"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43%</w:t>
            </w:r>
          </w:p>
        </w:tc>
      </w:tr>
      <w:tr w:rsidR="004C0178" w:rsidRPr="009A501D" w14:paraId="334E187E" w14:textId="760CAD11" w:rsidTr="00643EBD">
        <w:tc>
          <w:tcPr>
            <w:tcW w:w="421" w:type="dxa"/>
            <w:vMerge/>
            <w:shd w:val="clear" w:color="auto" w:fill="9FD5FF"/>
          </w:tcPr>
          <w:p w14:paraId="47204CA8" w14:textId="77777777" w:rsidR="004C0178" w:rsidRPr="009A501D" w:rsidRDefault="004C0178" w:rsidP="00664A1D">
            <w:pPr>
              <w:jc w:val="both"/>
              <w:rPr>
                <w:rFonts w:ascii="Century Gothic" w:hAnsi="Century Gothic"/>
                <w:sz w:val="19"/>
                <w:szCs w:val="19"/>
              </w:rPr>
            </w:pPr>
          </w:p>
        </w:tc>
        <w:tc>
          <w:tcPr>
            <w:tcW w:w="1134" w:type="dxa"/>
            <w:vMerge/>
            <w:shd w:val="clear" w:color="auto" w:fill="C8E8FF"/>
            <w:vAlign w:val="center"/>
          </w:tcPr>
          <w:p w14:paraId="3D29990E" w14:textId="77777777" w:rsidR="004C0178" w:rsidRPr="009A501D" w:rsidRDefault="004C0178" w:rsidP="00664A1D">
            <w:pPr>
              <w:jc w:val="both"/>
              <w:rPr>
                <w:rFonts w:ascii="Century Gothic" w:hAnsi="Century Gothic"/>
                <w:sz w:val="16"/>
                <w:szCs w:val="16"/>
              </w:rPr>
            </w:pPr>
          </w:p>
        </w:tc>
        <w:tc>
          <w:tcPr>
            <w:tcW w:w="9639" w:type="dxa"/>
            <w:shd w:val="clear" w:color="auto" w:fill="C8E8FF"/>
            <w:vAlign w:val="center"/>
          </w:tcPr>
          <w:p w14:paraId="7FE1879F" w14:textId="14A90A78"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relacionados con las Metas del Plan Nacional de Desarrollo.</w:t>
            </w:r>
          </w:p>
        </w:tc>
        <w:tc>
          <w:tcPr>
            <w:tcW w:w="708" w:type="dxa"/>
            <w:shd w:val="clear" w:color="auto" w:fill="C8E8FF"/>
            <w:vAlign w:val="center"/>
          </w:tcPr>
          <w:p w14:paraId="0A1CE14A"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69%</w:t>
            </w:r>
          </w:p>
        </w:tc>
        <w:tc>
          <w:tcPr>
            <w:tcW w:w="709" w:type="dxa"/>
            <w:shd w:val="clear" w:color="auto" w:fill="C8E8FF"/>
            <w:vAlign w:val="center"/>
          </w:tcPr>
          <w:p w14:paraId="10FB978C"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72%</w:t>
            </w:r>
          </w:p>
        </w:tc>
        <w:tc>
          <w:tcPr>
            <w:tcW w:w="709" w:type="dxa"/>
            <w:shd w:val="clear" w:color="auto" w:fill="C8E8FF"/>
            <w:vAlign w:val="center"/>
          </w:tcPr>
          <w:p w14:paraId="1EF18A29"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63%</w:t>
            </w:r>
          </w:p>
        </w:tc>
        <w:tc>
          <w:tcPr>
            <w:tcW w:w="709" w:type="dxa"/>
            <w:shd w:val="clear" w:color="auto" w:fill="C8E8FF"/>
            <w:vAlign w:val="center"/>
          </w:tcPr>
          <w:p w14:paraId="5F5866F3" w14:textId="12AC585F"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66%</w:t>
            </w:r>
          </w:p>
        </w:tc>
      </w:tr>
      <w:tr w:rsidR="004C0178" w:rsidRPr="009A501D" w14:paraId="23278FB9" w14:textId="5D726931" w:rsidTr="00643EBD">
        <w:tc>
          <w:tcPr>
            <w:tcW w:w="421" w:type="dxa"/>
            <w:vMerge/>
            <w:shd w:val="clear" w:color="auto" w:fill="9FD5FF"/>
          </w:tcPr>
          <w:p w14:paraId="560E6C32" w14:textId="77777777" w:rsidR="004C0178" w:rsidRPr="009A501D" w:rsidRDefault="004C0178" w:rsidP="00664A1D">
            <w:pPr>
              <w:jc w:val="both"/>
              <w:rPr>
                <w:rFonts w:ascii="Century Gothic" w:hAnsi="Century Gothic"/>
                <w:sz w:val="19"/>
                <w:szCs w:val="19"/>
              </w:rPr>
            </w:pPr>
          </w:p>
        </w:tc>
        <w:tc>
          <w:tcPr>
            <w:tcW w:w="1134" w:type="dxa"/>
            <w:vMerge w:val="restart"/>
            <w:shd w:val="clear" w:color="auto" w:fill="9FD5FF"/>
            <w:vAlign w:val="center"/>
          </w:tcPr>
          <w:p w14:paraId="02598C84" w14:textId="77777777" w:rsidR="004C0178" w:rsidRPr="009A501D" w:rsidRDefault="004C0178" w:rsidP="00664A1D">
            <w:pPr>
              <w:jc w:val="center"/>
              <w:rPr>
                <w:rFonts w:ascii="Century Gothic" w:hAnsi="Century Gothic"/>
                <w:sz w:val="16"/>
                <w:szCs w:val="16"/>
              </w:rPr>
            </w:pPr>
            <w:r w:rsidRPr="009A501D">
              <w:rPr>
                <w:rFonts w:ascii="Century Gothic" w:hAnsi="Century Gothic"/>
                <w:sz w:val="16"/>
                <w:szCs w:val="16"/>
              </w:rPr>
              <w:t>Consultas de usuarios</w:t>
            </w:r>
          </w:p>
        </w:tc>
        <w:tc>
          <w:tcPr>
            <w:tcW w:w="9639" w:type="dxa"/>
            <w:shd w:val="clear" w:color="auto" w:fill="9FD5FF"/>
            <w:vAlign w:val="center"/>
          </w:tcPr>
          <w:p w14:paraId="407048F8" w14:textId="2FA8C16A"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consultados a través del laboratorio de microdatos.</w:t>
            </w:r>
          </w:p>
        </w:tc>
        <w:tc>
          <w:tcPr>
            <w:tcW w:w="708" w:type="dxa"/>
            <w:shd w:val="clear" w:color="auto" w:fill="9FD5FF"/>
            <w:vAlign w:val="center"/>
          </w:tcPr>
          <w:p w14:paraId="2EAC2199"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70%</w:t>
            </w:r>
          </w:p>
        </w:tc>
        <w:tc>
          <w:tcPr>
            <w:tcW w:w="709" w:type="dxa"/>
            <w:shd w:val="clear" w:color="auto" w:fill="9FD5FF"/>
            <w:vAlign w:val="center"/>
          </w:tcPr>
          <w:p w14:paraId="1C91AA59"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45%</w:t>
            </w:r>
          </w:p>
        </w:tc>
        <w:tc>
          <w:tcPr>
            <w:tcW w:w="709" w:type="dxa"/>
            <w:shd w:val="clear" w:color="auto" w:fill="9FD5FF"/>
            <w:vAlign w:val="center"/>
          </w:tcPr>
          <w:p w14:paraId="1B40E1EA"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50%</w:t>
            </w:r>
          </w:p>
        </w:tc>
        <w:tc>
          <w:tcPr>
            <w:tcW w:w="709" w:type="dxa"/>
            <w:shd w:val="clear" w:color="auto" w:fill="9FD5FF"/>
            <w:vAlign w:val="center"/>
          </w:tcPr>
          <w:p w14:paraId="093A72BE" w14:textId="76988B11"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52%</w:t>
            </w:r>
          </w:p>
        </w:tc>
      </w:tr>
      <w:tr w:rsidR="004C0178" w:rsidRPr="009A501D" w14:paraId="435E085F" w14:textId="225092C1" w:rsidTr="00643EBD">
        <w:tc>
          <w:tcPr>
            <w:tcW w:w="421" w:type="dxa"/>
            <w:vMerge/>
            <w:shd w:val="clear" w:color="auto" w:fill="9FD5FF"/>
          </w:tcPr>
          <w:p w14:paraId="3FC16B26" w14:textId="77777777" w:rsidR="004C0178" w:rsidRPr="009A501D" w:rsidRDefault="004C0178" w:rsidP="00664A1D">
            <w:pPr>
              <w:jc w:val="both"/>
              <w:rPr>
                <w:rFonts w:ascii="Century Gothic" w:hAnsi="Century Gothic"/>
                <w:sz w:val="19"/>
                <w:szCs w:val="19"/>
              </w:rPr>
            </w:pPr>
          </w:p>
        </w:tc>
        <w:tc>
          <w:tcPr>
            <w:tcW w:w="1134" w:type="dxa"/>
            <w:vMerge/>
            <w:shd w:val="clear" w:color="auto" w:fill="9FD5FF"/>
            <w:vAlign w:val="center"/>
          </w:tcPr>
          <w:p w14:paraId="7A385A75" w14:textId="77777777" w:rsidR="004C0178" w:rsidRPr="009A501D" w:rsidRDefault="004C0178" w:rsidP="00664A1D">
            <w:pPr>
              <w:jc w:val="both"/>
              <w:rPr>
                <w:rFonts w:ascii="Century Gothic" w:hAnsi="Century Gothic"/>
                <w:sz w:val="16"/>
                <w:szCs w:val="16"/>
              </w:rPr>
            </w:pPr>
          </w:p>
        </w:tc>
        <w:tc>
          <w:tcPr>
            <w:tcW w:w="9639" w:type="dxa"/>
            <w:shd w:val="clear" w:color="auto" w:fill="9FD5FF"/>
            <w:vAlign w:val="center"/>
          </w:tcPr>
          <w:p w14:paraId="5EF3298C" w14:textId="1B7E8145" w:rsidR="004C0178" w:rsidRPr="009A501D" w:rsidRDefault="004C0178" w:rsidP="00664A1D">
            <w:pPr>
              <w:jc w:val="both"/>
              <w:rPr>
                <w:rFonts w:ascii="Century Gothic" w:hAnsi="Century Gothic"/>
                <w:sz w:val="16"/>
                <w:szCs w:val="16"/>
              </w:rPr>
            </w:pPr>
            <w:r w:rsidRPr="009A501D">
              <w:rPr>
                <w:rFonts w:ascii="Century Gothic" w:hAnsi="Century Gothic"/>
                <w:sz w:val="16"/>
                <w:szCs w:val="16"/>
              </w:rPr>
              <w:t xml:space="preserve">Porcentaje de </w:t>
            </w:r>
            <w:r w:rsidR="00484BAC" w:rsidRPr="009A501D">
              <w:rPr>
                <w:rFonts w:ascii="Century Gothic" w:hAnsi="Century Gothic"/>
                <w:sz w:val="16"/>
                <w:szCs w:val="16"/>
              </w:rPr>
              <w:t>programas</w:t>
            </w:r>
            <w:r w:rsidRPr="009A501D">
              <w:rPr>
                <w:rFonts w:ascii="Century Gothic" w:hAnsi="Century Gothic"/>
                <w:sz w:val="16"/>
                <w:szCs w:val="16"/>
              </w:rPr>
              <w:t xml:space="preserve"> de información estadística y geográfica del INEGI consultados en su página.</w:t>
            </w:r>
          </w:p>
        </w:tc>
        <w:tc>
          <w:tcPr>
            <w:tcW w:w="708" w:type="dxa"/>
            <w:shd w:val="clear" w:color="auto" w:fill="9FD5FF"/>
            <w:vAlign w:val="center"/>
          </w:tcPr>
          <w:p w14:paraId="318DC131"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100%</w:t>
            </w:r>
          </w:p>
        </w:tc>
        <w:tc>
          <w:tcPr>
            <w:tcW w:w="709" w:type="dxa"/>
            <w:shd w:val="clear" w:color="auto" w:fill="9FD5FF"/>
            <w:vAlign w:val="center"/>
          </w:tcPr>
          <w:p w14:paraId="26394CC5"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93%</w:t>
            </w:r>
          </w:p>
        </w:tc>
        <w:tc>
          <w:tcPr>
            <w:tcW w:w="709" w:type="dxa"/>
            <w:shd w:val="clear" w:color="auto" w:fill="9FD5FF"/>
            <w:vAlign w:val="center"/>
          </w:tcPr>
          <w:p w14:paraId="7F42DE7B" w14:textId="77777777" w:rsidR="004C0178" w:rsidRPr="009A501D" w:rsidRDefault="004C0178" w:rsidP="0022226D">
            <w:pPr>
              <w:jc w:val="center"/>
              <w:rPr>
                <w:rFonts w:ascii="Century Gothic" w:hAnsi="Century Gothic"/>
                <w:sz w:val="16"/>
                <w:szCs w:val="16"/>
              </w:rPr>
            </w:pPr>
            <w:r w:rsidRPr="009A501D">
              <w:rPr>
                <w:rFonts w:ascii="Century Gothic" w:hAnsi="Century Gothic"/>
                <w:sz w:val="16"/>
                <w:szCs w:val="16"/>
              </w:rPr>
              <w:t>94%</w:t>
            </w:r>
          </w:p>
        </w:tc>
        <w:tc>
          <w:tcPr>
            <w:tcW w:w="709" w:type="dxa"/>
            <w:shd w:val="clear" w:color="auto" w:fill="9FD5FF"/>
            <w:vAlign w:val="center"/>
          </w:tcPr>
          <w:p w14:paraId="081AC4A4" w14:textId="413A1D97" w:rsidR="004C0178" w:rsidRPr="009A501D" w:rsidRDefault="004C0178" w:rsidP="00664A1D">
            <w:pPr>
              <w:jc w:val="center"/>
              <w:rPr>
                <w:rFonts w:ascii="Century Gothic" w:hAnsi="Century Gothic"/>
                <w:bCs/>
                <w:color w:val="000000" w:themeColor="text1"/>
                <w:sz w:val="16"/>
                <w:szCs w:val="16"/>
              </w:rPr>
            </w:pPr>
            <w:r w:rsidRPr="009A501D">
              <w:rPr>
                <w:rFonts w:ascii="Century Gothic" w:hAnsi="Century Gothic"/>
                <w:bCs/>
                <w:color w:val="000000" w:themeColor="text1"/>
                <w:sz w:val="16"/>
                <w:szCs w:val="16"/>
              </w:rPr>
              <w:t>96%</w:t>
            </w:r>
          </w:p>
        </w:tc>
      </w:tr>
    </w:tbl>
    <w:p w14:paraId="09740FBD" w14:textId="28A72D2C" w:rsidR="00580CBB" w:rsidRPr="009A501D" w:rsidRDefault="00580CBB" w:rsidP="002B551A">
      <w:pPr>
        <w:spacing w:after="0"/>
        <w:ind w:right="366"/>
        <w:jc w:val="both"/>
        <w:rPr>
          <w:rFonts w:ascii="Century Gothic" w:hAnsi="Century Gothic"/>
          <w:sz w:val="14"/>
          <w:szCs w:val="14"/>
        </w:rPr>
      </w:pPr>
      <w:r w:rsidRPr="009A501D">
        <w:rPr>
          <w:rFonts w:ascii="Century Gothic" w:hAnsi="Century Gothic"/>
          <w:sz w:val="14"/>
          <w:szCs w:val="14"/>
        </w:rPr>
        <w:t>*En 202</w:t>
      </w:r>
      <w:r w:rsidR="00951728" w:rsidRPr="009A501D">
        <w:rPr>
          <w:rFonts w:ascii="Century Gothic" w:hAnsi="Century Gothic"/>
          <w:sz w:val="14"/>
          <w:szCs w:val="14"/>
        </w:rPr>
        <w:t>2</w:t>
      </w:r>
      <w:r w:rsidRPr="009A501D">
        <w:rPr>
          <w:rFonts w:ascii="Century Gothic" w:hAnsi="Century Gothic"/>
          <w:sz w:val="14"/>
          <w:szCs w:val="14"/>
        </w:rPr>
        <w:t xml:space="preserve"> se consideran solamente los programas de información </w:t>
      </w:r>
      <w:r w:rsidR="003E1639" w:rsidRPr="009A501D">
        <w:rPr>
          <w:rFonts w:ascii="Century Gothic" w:hAnsi="Century Gothic"/>
          <w:iCs/>
          <w:sz w:val="14"/>
          <w:szCs w:val="14"/>
        </w:rPr>
        <w:t xml:space="preserve">o procesos de producción </w:t>
      </w:r>
      <w:r w:rsidRPr="009A501D">
        <w:rPr>
          <w:rFonts w:ascii="Century Gothic" w:hAnsi="Century Gothic"/>
          <w:sz w:val="14"/>
          <w:szCs w:val="14"/>
        </w:rPr>
        <w:t>con estatus activo. En años previos no se contaba con la diferenciación por estatus de los programas de información</w:t>
      </w:r>
      <w:r w:rsidR="000B485C" w:rsidRPr="009A501D">
        <w:rPr>
          <w:rFonts w:ascii="Century Gothic" w:hAnsi="Century Gothic"/>
          <w:iCs/>
          <w:sz w:val="14"/>
          <w:szCs w:val="14"/>
        </w:rPr>
        <w:t xml:space="preserve"> o procesos de producción</w:t>
      </w:r>
      <w:r w:rsidRPr="009A501D">
        <w:rPr>
          <w:rFonts w:ascii="Century Gothic" w:hAnsi="Century Gothic"/>
          <w:sz w:val="14"/>
          <w:szCs w:val="14"/>
        </w:rPr>
        <w:t>.</w:t>
      </w:r>
    </w:p>
    <w:p w14:paraId="448C765D" w14:textId="43DD0AC5" w:rsidR="00580CBB" w:rsidRPr="009A501D" w:rsidRDefault="00580CBB" w:rsidP="002B551A">
      <w:pPr>
        <w:spacing w:after="0"/>
        <w:ind w:left="1440" w:right="366" w:hanging="1440"/>
        <w:jc w:val="both"/>
        <w:rPr>
          <w:rFonts w:ascii="Century Gothic" w:hAnsi="Century Gothic"/>
          <w:sz w:val="14"/>
          <w:szCs w:val="14"/>
        </w:rPr>
      </w:pPr>
      <w:r w:rsidRPr="009A501D">
        <w:rPr>
          <w:rFonts w:ascii="Century Gothic" w:hAnsi="Century Gothic"/>
          <w:sz w:val="14"/>
          <w:szCs w:val="14"/>
        </w:rPr>
        <w:t xml:space="preserve">**Los dos programas que presentan solamente uso interno son Marco Maestro de Muestreo </w:t>
      </w:r>
      <w:r w:rsidR="009D7AAA" w:rsidRPr="009A501D">
        <w:rPr>
          <w:rFonts w:ascii="Century Gothic" w:hAnsi="Century Gothic"/>
          <w:iCs/>
          <w:sz w:val="14"/>
          <w:szCs w:val="14"/>
        </w:rPr>
        <w:t>e</w:t>
      </w:r>
      <w:r w:rsidRPr="009A501D">
        <w:rPr>
          <w:rFonts w:ascii="Century Gothic" w:hAnsi="Century Gothic"/>
          <w:sz w:val="14"/>
          <w:szCs w:val="14"/>
        </w:rPr>
        <w:t xml:space="preserve"> Inventario Nacional de Viviendas.</w:t>
      </w:r>
    </w:p>
    <w:p w14:paraId="11F2F9B1" w14:textId="2BE28F6D" w:rsidR="00F2702B" w:rsidRPr="009A501D" w:rsidRDefault="00F2702B" w:rsidP="00F2702B">
      <w:pPr>
        <w:spacing w:after="0"/>
        <w:ind w:left="1440" w:right="366" w:hanging="1440"/>
        <w:jc w:val="both"/>
        <w:rPr>
          <w:rFonts w:ascii="Century Gothic" w:hAnsi="Century Gothic"/>
          <w:sz w:val="14"/>
          <w:szCs w:val="14"/>
        </w:rPr>
      </w:pPr>
      <w:r w:rsidRPr="009A501D">
        <w:rPr>
          <w:rFonts w:ascii="Century Gothic" w:hAnsi="Century Gothic"/>
          <w:sz w:val="14"/>
          <w:szCs w:val="14"/>
        </w:rPr>
        <w:t>***El programa de información identificado como insumo únicamente para otros programas del INEGI es: Marco Maestro de Muestreo.</w:t>
      </w:r>
    </w:p>
    <w:p w14:paraId="7D7E3265" w14:textId="77777777"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t>Las fuentes utilizadas para el cálculo de los indicadores mostrados se presentan en los cuadros A.1.6.</w:t>
      </w:r>
    </w:p>
    <w:p w14:paraId="246128B2" w14:textId="77777777" w:rsidR="00580CBB" w:rsidRPr="009A501D" w:rsidRDefault="00580CBB" w:rsidP="00664A1D">
      <w:pPr>
        <w:spacing w:before="240"/>
        <w:rPr>
          <w:rFonts w:ascii="Century Gothic" w:hAnsi="Century Gothic"/>
          <w:sz w:val="19"/>
          <w:szCs w:val="19"/>
        </w:rPr>
      </w:pPr>
      <w:r w:rsidRPr="009A501D">
        <w:rPr>
          <w:rFonts w:ascii="Century Gothic" w:hAnsi="Century Gothic"/>
          <w:sz w:val="19"/>
          <w:szCs w:val="19"/>
        </w:rPr>
        <w:br w:type="page"/>
      </w:r>
    </w:p>
    <w:p w14:paraId="776FD0B5" w14:textId="77777777" w:rsidR="00580CBB" w:rsidRPr="009A501D" w:rsidRDefault="00580CBB" w:rsidP="00664A1D">
      <w:pPr>
        <w:spacing w:before="240"/>
        <w:jc w:val="center"/>
        <w:rPr>
          <w:rFonts w:ascii="Century Gothic" w:hAnsi="Century Gothic"/>
          <w:sz w:val="19"/>
          <w:szCs w:val="19"/>
        </w:rPr>
      </w:pPr>
      <w:r w:rsidRPr="009A501D">
        <w:rPr>
          <w:rFonts w:ascii="Century Gothic" w:hAnsi="Century Gothic"/>
          <w:b/>
          <w:sz w:val="19"/>
          <w:szCs w:val="19"/>
        </w:rPr>
        <w:lastRenderedPageBreak/>
        <w:t>A.1.6.  Descripción de las fuentes utilizadas para el cálculo de los indicadores de pertinencia</w:t>
      </w:r>
    </w:p>
    <w:tbl>
      <w:tblPr>
        <w:tblW w:w="14175" w:type="dxa"/>
        <w:tblLook w:val="04A0" w:firstRow="1" w:lastRow="0" w:firstColumn="1" w:lastColumn="0" w:noHBand="0" w:noVBand="1"/>
      </w:tblPr>
      <w:tblGrid>
        <w:gridCol w:w="435"/>
        <w:gridCol w:w="4527"/>
        <w:gridCol w:w="9213"/>
      </w:tblGrid>
      <w:tr w:rsidR="00580CBB" w:rsidRPr="009A501D" w14:paraId="4A5AC2EB" w14:textId="77777777" w:rsidTr="00664A1D">
        <w:trPr>
          <w:trHeight w:val="341"/>
          <w:tblHeader/>
        </w:trPr>
        <w:tc>
          <w:tcPr>
            <w:tcW w:w="435" w:type="dxa"/>
            <w:tcBorders>
              <w:top w:val="nil"/>
              <w:left w:val="nil"/>
              <w:bottom w:val="nil"/>
              <w:right w:val="nil"/>
            </w:tcBorders>
            <w:shd w:val="clear" w:color="auto" w:fill="1F3864" w:themeFill="accent5" w:themeFillShade="80"/>
            <w:noWrap/>
            <w:vAlign w:val="center"/>
            <w:hideMark/>
          </w:tcPr>
          <w:p w14:paraId="17A6A638" w14:textId="77777777" w:rsidR="00580CBB" w:rsidRPr="009A501D" w:rsidRDefault="00580CBB" w:rsidP="00664A1D">
            <w:pPr>
              <w:spacing w:after="0" w:line="240" w:lineRule="auto"/>
              <w:ind w:firstLineChars="100" w:firstLine="171"/>
              <w:rPr>
                <w:rFonts w:ascii="Century Gothic" w:eastAsia="Times New Roman" w:hAnsi="Century Gothic" w:cs="Arial"/>
                <w:b/>
                <w:bCs/>
                <w:color w:val="000000"/>
                <w:sz w:val="17"/>
                <w:szCs w:val="17"/>
              </w:rPr>
            </w:pPr>
            <w:r w:rsidRPr="009A501D">
              <w:rPr>
                <w:rFonts w:ascii="Century Gothic" w:eastAsia="Times New Roman" w:hAnsi="Century Gothic" w:cs="Arial"/>
                <w:b/>
                <w:bCs/>
                <w:color w:val="000000"/>
                <w:sz w:val="17"/>
                <w:szCs w:val="17"/>
              </w:rPr>
              <w:t> </w:t>
            </w:r>
          </w:p>
        </w:tc>
        <w:tc>
          <w:tcPr>
            <w:tcW w:w="4527" w:type="dxa"/>
            <w:tcBorders>
              <w:top w:val="nil"/>
              <w:left w:val="nil"/>
              <w:bottom w:val="nil"/>
              <w:right w:val="nil"/>
            </w:tcBorders>
            <w:shd w:val="clear" w:color="auto" w:fill="002060"/>
            <w:noWrap/>
            <w:vAlign w:val="center"/>
            <w:hideMark/>
          </w:tcPr>
          <w:p w14:paraId="6F436C8F" w14:textId="77777777" w:rsidR="00580CBB" w:rsidRPr="009A501D" w:rsidRDefault="00580CBB" w:rsidP="00664A1D">
            <w:pPr>
              <w:spacing w:after="0" w:line="240" w:lineRule="auto"/>
              <w:ind w:leftChars="-246" w:hangingChars="337" w:hanging="541"/>
              <w:jc w:val="center"/>
              <w:rPr>
                <w:rFonts w:ascii="Century Gothic" w:eastAsia="Times New Roman" w:hAnsi="Century Gothic" w:cs="Arial"/>
                <w:b/>
                <w:bCs/>
                <w:color w:val="FFFFFF" w:themeColor="background1"/>
                <w:sz w:val="16"/>
                <w:szCs w:val="16"/>
              </w:rPr>
            </w:pPr>
            <w:r w:rsidRPr="009A501D">
              <w:rPr>
                <w:rFonts w:ascii="Century Gothic" w:eastAsia="Times New Roman" w:hAnsi="Century Gothic" w:cs="Arial"/>
                <w:b/>
                <w:bCs/>
                <w:color w:val="FFFFFF" w:themeColor="background1"/>
                <w:sz w:val="16"/>
                <w:szCs w:val="16"/>
              </w:rPr>
              <w:t>Elemento</w:t>
            </w:r>
          </w:p>
        </w:tc>
        <w:tc>
          <w:tcPr>
            <w:tcW w:w="9213" w:type="dxa"/>
            <w:tcBorders>
              <w:top w:val="nil"/>
              <w:left w:val="nil"/>
              <w:bottom w:val="nil"/>
              <w:right w:val="nil"/>
            </w:tcBorders>
            <w:shd w:val="clear" w:color="auto" w:fill="002060"/>
            <w:noWrap/>
            <w:vAlign w:val="center"/>
            <w:hideMark/>
          </w:tcPr>
          <w:p w14:paraId="08A8AF53" w14:textId="77777777" w:rsidR="00580CBB" w:rsidRPr="009A501D" w:rsidRDefault="00580CBB" w:rsidP="00664A1D">
            <w:pPr>
              <w:spacing w:after="0" w:line="240" w:lineRule="auto"/>
              <w:ind w:firstLineChars="100" w:firstLine="161"/>
              <w:jc w:val="center"/>
              <w:rPr>
                <w:rFonts w:ascii="Century Gothic" w:eastAsia="Times New Roman" w:hAnsi="Century Gothic" w:cs="Arial"/>
                <w:b/>
                <w:bCs/>
                <w:color w:val="FFFFFF" w:themeColor="background1"/>
                <w:sz w:val="16"/>
                <w:szCs w:val="16"/>
              </w:rPr>
            </w:pPr>
            <w:r w:rsidRPr="009A501D">
              <w:rPr>
                <w:rFonts w:ascii="Century Gothic" w:eastAsia="Times New Roman" w:hAnsi="Century Gothic" w:cs="Arial"/>
                <w:b/>
                <w:bCs/>
                <w:color w:val="FFFFFF" w:themeColor="background1"/>
                <w:sz w:val="16"/>
                <w:szCs w:val="16"/>
              </w:rPr>
              <w:t>Descripción de las fuentes</w:t>
            </w:r>
          </w:p>
        </w:tc>
      </w:tr>
      <w:tr w:rsidR="00580CBB" w:rsidRPr="009A501D" w14:paraId="3C1DA45A" w14:textId="77777777" w:rsidTr="00BC774F">
        <w:trPr>
          <w:trHeight w:val="20"/>
        </w:trPr>
        <w:tc>
          <w:tcPr>
            <w:tcW w:w="14175" w:type="dxa"/>
            <w:gridSpan w:val="3"/>
            <w:tcBorders>
              <w:top w:val="single" w:sz="4" w:space="0" w:color="auto"/>
              <w:left w:val="nil"/>
              <w:bottom w:val="single" w:sz="4" w:space="0" w:color="auto"/>
              <w:right w:val="nil"/>
            </w:tcBorders>
            <w:shd w:val="clear" w:color="auto" w:fill="auto"/>
            <w:noWrap/>
            <w:vAlign w:val="center"/>
            <w:hideMark/>
          </w:tcPr>
          <w:p w14:paraId="16F47AF4" w14:textId="77777777" w:rsidR="00580CBB" w:rsidRPr="009A501D" w:rsidRDefault="00580CBB" w:rsidP="00664A1D">
            <w:pPr>
              <w:spacing w:after="0" w:line="240" w:lineRule="auto"/>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A. IDENTIFICACIÓN DE PROGRAMAS DE INFORMACIÓN</w:t>
            </w:r>
          </w:p>
        </w:tc>
      </w:tr>
      <w:tr w:rsidR="00580CBB" w:rsidRPr="009A501D" w14:paraId="2A01C74D" w14:textId="77777777" w:rsidTr="00BC774F">
        <w:trPr>
          <w:trHeight w:val="20"/>
        </w:trPr>
        <w:tc>
          <w:tcPr>
            <w:tcW w:w="435" w:type="dxa"/>
            <w:tcBorders>
              <w:top w:val="nil"/>
              <w:left w:val="nil"/>
              <w:bottom w:val="nil"/>
              <w:right w:val="nil"/>
            </w:tcBorders>
            <w:shd w:val="clear" w:color="auto" w:fill="auto"/>
            <w:noWrap/>
            <w:vAlign w:val="bottom"/>
            <w:hideMark/>
          </w:tcPr>
          <w:p w14:paraId="5836F5FF" w14:textId="77777777" w:rsidR="00580CBB" w:rsidRPr="009A501D" w:rsidRDefault="00580CBB" w:rsidP="00664A1D">
            <w:pPr>
              <w:spacing w:after="0" w:line="240" w:lineRule="auto"/>
              <w:rPr>
                <w:rFonts w:ascii="Century Gothic" w:eastAsia="Times New Roman" w:hAnsi="Century Gothic" w:cs="Times New Roman"/>
                <w:sz w:val="17"/>
                <w:szCs w:val="17"/>
              </w:rPr>
            </w:pPr>
          </w:p>
        </w:tc>
        <w:tc>
          <w:tcPr>
            <w:tcW w:w="4527" w:type="dxa"/>
            <w:tcBorders>
              <w:top w:val="nil"/>
              <w:left w:val="nil"/>
              <w:bottom w:val="single" w:sz="4" w:space="0" w:color="808080"/>
              <w:right w:val="nil"/>
            </w:tcBorders>
            <w:shd w:val="clear" w:color="auto" w:fill="auto"/>
            <w:vAlign w:val="center"/>
            <w:hideMark/>
          </w:tcPr>
          <w:p w14:paraId="4F8827A7"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Inventario de Programas de Información INEGI</w:t>
            </w:r>
          </w:p>
        </w:tc>
        <w:tc>
          <w:tcPr>
            <w:tcW w:w="9213" w:type="dxa"/>
            <w:tcBorders>
              <w:top w:val="nil"/>
              <w:left w:val="nil"/>
              <w:bottom w:val="single" w:sz="4" w:space="0" w:color="808080"/>
              <w:right w:val="nil"/>
            </w:tcBorders>
            <w:shd w:val="clear" w:color="auto" w:fill="auto"/>
            <w:vAlign w:val="center"/>
            <w:hideMark/>
          </w:tcPr>
          <w:p w14:paraId="356620B6" w14:textId="3DAEB4E4"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 xml:space="preserve">Programas de información inscritos en el IPI, con base en los </w:t>
            </w:r>
            <w:r w:rsidRPr="009A501D">
              <w:rPr>
                <w:rFonts w:ascii="Century Gothic" w:eastAsia="Times New Roman" w:hAnsi="Century Gothic" w:cs="Arial"/>
                <w:i/>
                <w:color w:val="000000"/>
                <w:sz w:val="16"/>
                <w:szCs w:val="16"/>
              </w:rPr>
              <w:t>Lineamientos para la Integración y Mantenimiento del Inventario de Programas de Información</w:t>
            </w:r>
            <w:r w:rsidRPr="009A501D">
              <w:rPr>
                <w:rFonts w:ascii="Century Gothic" w:eastAsia="Times New Roman" w:hAnsi="Century Gothic" w:cs="Arial"/>
                <w:color w:val="000000"/>
                <w:sz w:val="16"/>
                <w:szCs w:val="16"/>
              </w:rPr>
              <w:t xml:space="preserve">, con estatus </w:t>
            </w:r>
            <w:r w:rsidRPr="009A501D">
              <w:rPr>
                <w:rFonts w:ascii="Century Gothic" w:eastAsia="Times New Roman" w:hAnsi="Century Gothic" w:cs="Arial"/>
                <w:i/>
                <w:iCs/>
                <w:color w:val="000000"/>
                <w:sz w:val="16"/>
                <w:szCs w:val="16"/>
              </w:rPr>
              <w:t>activo</w:t>
            </w:r>
            <w:r w:rsidRPr="009A501D">
              <w:rPr>
                <w:rFonts w:ascii="Century Gothic" w:eastAsia="Times New Roman" w:hAnsi="Century Gothic" w:cs="Arial"/>
                <w:color w:val="000000"/>
                <w:sz w:val="16"/>
                <w:szCs w:val="16"/>
              </w:rPr>
              <w:t xml:space="preserve">. Lista proporcionada a la DGCSNIEG, derivada del </w:t>
            </w:r>
            <w:r w:rsidR="00EA5C0F" w:rsidRPr="009A501D">
              <w:rPr>
                <w:rFonts w:ascii="Century Gothic" w:eastAsia="Times New Roman" w:hAnsi="Century Gothic" w:cs="Arial"/>
                <w:color w:val="000000"/>
                <w:sz w:val="16"/>
                <w:szCs w:val="16"/>
              </w:rPr>
              <w:t>PTRACKING</w:t>
            </w:r>
            <w:r w:rsidRPr="009A501D">
              <w:rPr>
                <w:rFonts w:ascii="Century Gothic" w:eastAsia="Times New Roman" w:hAnsi="Century Gothic" w:cs="Arial"/>
                <w:color w:val="000000"/>
                <w:sz w:val="16"/>
                <w:szCs w:val="16"/>
              </w:rPr>
              <w:t>.</w:t>
            </w:r>
          </w:p>
        </w:tc>
      </w:tr>
      <w:tr w:rsidR="00580CBB" w:rsidRPr="009A501D" w14:paraId="1AB00AE2" w14:textId="77777777" w:rsidTr="00BC774F">
        <w:trPr>
          <w:trHeight w:val="20"/>
        </w:trPr>
        <w:tc>
          <w:tcPr>
            <w:tcW w:w="435" w:type="dxa"/>
            <w:tcBorders>
              <w:top w:val="nil"/>
              <w:left w:val="nil"/>
              <w:bottom w:val="nil"/>
              <w:right w:val="nil"/>
            </w:tcBorders>
            <w:shd w:val="clear" w:color="auto" w:fill="auto"/>
            <w:noWrap/>
            <w:vAlign w:val="bottom"/>
            <w:hideMark/>
          </w:tcPr>
          <w:p w14:paraId="21479F01" w14:textId="77777777" w:rsidR="00580CBB" w:rsidRPr="009A501D" w:rsidRDefault="00580CBB" w:rsidP="00664A1D">
            <w:pPr>
              <w:spacing w:after="0" w:line="240" w:lineRule="auto"/>
              <w:rPr>
                <w:rFonts w:ascii="Century Gothic" w:eastAsia="Times New Roman" w:hAnsi="Century Gothic" w:cs="Arial"/>
                <w:color w:val="000000"/>
                <w:sz w:val="17"/>
                <w:szCs w:val="17"/>
              </w:rPr>
            </w:pPr>
          </w:p>
        </w:tc>
        <w:tc>
          <w:tcPr>
            <w:tcW w:w="4527" w:type="dxa"/>
            <w:tcBorders>
              <w:top w:val="nil"/>
              <w:left w:val="nil"/>
              <w:bottom w:val="single" w:sz="4" w:space="0" w:color="808080"/>
              <w:right w:val="nil"/>
            </w:tcBorders>
            <w:shd w:val="clear" w:color="auto" w:fill="auto"/>
            <w:vAlign w:val="center"/>
            <w:hideMark/>
          </w:tcPr>
          <w:p w14:paraId="53ABAE85" w14:textId="0C7F85E4"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Programas de información INEGI que se utilizan únicamente como insumos de otros programas INEGI</w:t>
            </w:r>
          </w:p>
        </w:tc>
        <w:tc>
          <w:tcPr>
            <w:tcW w:w="9213" w:type="dxa"/>
            <w:tcBorders>
              <w:top w:val="nil"/>
              <w:left w:val="nil"/>
              <w:bottom w:val="single" w:sz="4" w:space="0" w:color="808080"/>
              <w:right w:val="nil"/>
            </w:tcBorders>
            <w:shd w:val="clear" w:color="auto" w:fill="auto"/>
            <w:vAlign w:val="center"/>
            <w:hideMark/>
          </w:tcPr>
          <w:p w14:paraId="7C531741" w14:textId="5DC35270"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 xml:space="preserve">Programas de información </w:t>
            </w:r>
            <w:r w:rsidR="008805E6" w:rsidRPr="009A501D">
              <w:rPr>
                <w:rFonts w:ascii="Century Gothic" w:eastAsia="Times New Roman" w:hAnsi="Century Gothic" w:cs="Arial"/>
                <w:color w:val="000000"/>
                <w:sz w:val="16"/>
                <w:szCs w:val="16"/>
              </w:rPr>
              <w:t>o procesos de producción</w:t>
            </w:r>
            <w:r w:rsidRPr="009A501D">
              <w:rPr>
                <w:rFonts w:ascii="Century Gothic" w:eastAsia="Times New Roman" w:hAnsi="Century Gothic" w:cs="Arial"/>
                <w:color w:val="000000"/>
                <w:sz w:val="16"/>
                <w:szCs w:val="16"/>
              </w:rPr>
              <w:t xml:space="preserve"> inscritos en el IPI, con base en los </w:t>
            </w:r>
            <w:r w:rsidRPr="009A501D">
              <w:rPr>
                <w:rFonts w:ascii="Century Gothic" w:eastAsia="Times New Roman" w:hAnsi="Century Gothic" w:cs="Arial"/>
                <w:i/>
                <w:color w:val="000000"/>
                <w:sz w:val="16"/>
                <w:szCs w:val="16"/>
              </w:rPr>
              <w:t>Lineamientos para la Integración y Mantenimiento del Inventario de Programas de Información</w:t>
            </w:r>
            <w:r w:rsidRPr="009A501D">
              <w:rPr>
                <w:rFonts w:ascii="Century Gothic" w:eastAsia="Times New Roman" w:hAnsi="Century Gothic" w:cs="Arial"/>
                <w:color w:val="000000"/>
                <w:sz w:val="16"/>
                <w:szCs w:val="16"/>
              </w:rPr>
              <w:t xml:space="preserve">, con estatus </w:t>
            </w:r>
            <w:r w:rsidRPr="009A501D">
              <w:rPr>
                <w:rFonts w:ascii="Century Gothic" w:eastAsia="Times New Roman" w:hAnsi="Century Gothic" w:cs="Arial"/>
                <w:i/>
                <w:color w:val="000000"/>
                <w:sz w:val="16"/>
                <w:szCs w:val="16"/>
              </w:rPr>
              <w:t>activo</w:t>
            </w:r>
            <w:r w:rsidRPr="009A501D">
              <w:rPr>
                <w:rFonts w:ascii="Century Gothic" w:eastAsia="Times New Roman" w:hAnsi="Century Gothic" w:cs="Arial"/>
                <w:color w:val="000000"/>
                <w:sz w:val="16"/>
                <w:szCs w:val="16"/>
              </w:rPr>
              <w:t xml:space="preserve"> y que se utilizan únicamente como insumo para otros </w:t>
            </w:r>
            <w:r w:rsidR="008805E6" w:rsidRPr="009A501D">
              <w:rPr>
                <w:rFonts w:ascii="Century Gothic" w:eastAsia="Times New Roman" w:hAnsi="Century Gothic" w:cs="Arial"/>
                <w:color w:val="000000"/>
                <w:sz w:val="16"/>
                <w:szCs w:val="16"/>
              </w:rPr>
              <w:t>p</w:t>
            </w:r>
            <w:r w:rsidRPr="009A501D">
              <w:rPr>
                <w:rFonts w:ascii="Century Gothic" w:eastAsia="Times New Roman" w:hAnsi="Century Gothic" w:cs="Arial"/>
                <w:color w:val="000000"/>
                <w:sz w:val="16"/>
                <w:szCs w:val="16"/>
              </w:rPr>
              <w:t xml:space="preserve">rogramas de Información </w:t>
            </w:r>
            <w:r w:rsidR="000E67D5" w:rsidRPr="009A501D">
              <w:rPr>
                <w:rFonts w:ascii="Century Gothic" w:eastAsia="Times New Roman" w:hAnsi="Century Gothic" w:cs="Arial"/>
                <w:color w:val="000000"/>
                <w:sz w:val="16"/>
                <w:szCs w:val="16"/>
              </w:rPr>
              <w:t xml:space="preserve">o procesos de producción </w:t>
            </w:r>
            <w:r w:rsidRPr="009A501D">
              <w:rPr>
                <w:rFonts w:ascii="Century Gothic" w:eastAsia="Times New Roman" w:hAnsi="Century Gothic" w:cs="Arial"/>
                <w:color w:val="000000"/>
                <w:sz w:val="16"/>
                <w:szCs w:val="16"/>
              </w:rPr>
              <w:t>del propio INEGI.</w:t>
            </w:r>
          </w:p>
        </w:tc>
      </w:tr>
      <w:tr w:rsidR="00580CBB" w:rsidRPr="009A501D" w14:paraId="11247DE6" w14:textId="77777777" w:rsidTr="00BC774F">
        <w:trPr>
          <w:trHeight w:val="20"/>
        </w:trPr>
        <w:tc>
          <w:tcPr>
            <w:tcW w:w="435" w:type="dxa"/>
            <w:tcBorders>
              <w:top w:val="nil"/>
              <w:left w:val="nil"/>
              <w:bottom w:val="nil"/>
              <w:right w:val="nil"/>
            </w:tcBorders>
            <w:shd w:val="clear" w:color="auto" w:fill="auto"/>
            <w:noWrap/>
            <w:vAlign w:val="bottom"/>
            <w:hideMark/>
          </w:tcPr>
          <w:p w14:paraId="6E9E33BA" w14:textId="77777777" w:rsidR="00580CBB" w:rsidRPr="009A501D" w:rsidRDefault="00580CBB" w:rsidP="00664A1D">
            <w:pPr>
              <w:spacing w:after="0" w:line="240" w:lineRule="auto"/>
              <w:rPr>
                <w:rFonts w:ascii="Century Gothic" w:eastAsia="Times New Roman" w:hAnsi="Century Gothic" w:cs="Arial"/>
                <w:color w:val="000000"/>
                <w:sz w:val="17"/>
                <w:szCs w:val="17"/>
              </w:rPr>
            </w:pPr>
          </w:p>
        </w:tc>
        <w:tc>
          <w:tcPr>
            <w:tcW w:w="4527" w:type="dxa"/>
            <w:tcBorders>
              <w:top w:val="nil"/>
              <w:left w:val="nil"/>
              <w:bottom w:val="nil"/>
              <w:right w:val="nil"/>
            </w:tcBorders>
            <w:shd w:val="clear" w:color="auto" w:fill="auto"/>
            <w:vAlign w:val="center"/>
            <w:hideMark/>
          </w:tcPr>
          <w:p w14:paraId="4633462E" w14:textId="4C884CC9"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 xml:space="preserve">Programas de información INEGI que se utilizan como insumos de otros programas INEGI y también se publican para uso externo </w:t>
            </w:r>
          </w:p>
        </w:tc>
        <w:tc>
          <w:tcPr>
            <w:tcW w:w="9213" w:type="dxa"/>
            <w:tcBorders>
              <w:top w:val="nil"/>
              <w:left w:val="nil"/>
              <w:bottom w:val="nil"/>
              <w:right w:val="nil"/>
            </w:tcBorders>
            <w:shd w:val="clear" w:color="auto" w:fill="auto"/>
            <w:vAlign w:val="center"/>
            <w:hideMark/>
          </w:tcPr>
          <w:p w14:paraId="381823DC" w14:textId="688856E3"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 xml:space="preserve">Programas de información </w:t>
            </w:r>
            <w:r w:rsidR="00EB1283" w:rsidRPr="009A501D">
              <w:rPr>
                <w:rFonts w:ascii="Century Gothic" w:eastAsia="Times New Roman" w:hAnsi="Century Gothic" w:cs="Arial"/>
                <w:color w:val="000000"/>
                <w:sz w:val="16"/>
                <w:szCs w:val="16"/>
              </w:rPr>
              <w:t>o procesos de producción</w:t>
            </w:r>
            <w:r w:rsidRPr="009A501D">
              <w:rPr>
                <w:rFonts w:ascii="Century Gothic" w:eastAsia="Times New Roman" w:hAnsi="Century Gothic" w:cs="Arial"/>
                <w:color w:val="000000"/>
                <w:sz w:val="16"/>
                <w:szCs w:val="16"/>
              </w:rPr>
              <w:t xml:space="preserve"> inscritos en el IPI, con base en los </w:t>
            </w:r>
            <w:r w:rsidRPr="009A501D">
              <w:rPr>
                <w:rFonts w:ascii="Century Gothic" w:eastAsia="Times New Roman" w:hAnsi="Century Gothic" w:cs="Arial"/>
                <w:i/>
                <w:color w:val="000000"/>
                <w:sz w:val="16"/>
                <w:szCs w:val="16"/>
              </w:rPr>
              <w:t>Lineamientos para la Integración y Mantenimiento del Inventario de Programas de Información</w:t>
            </w:r>
            <w:r w:rsidRPr="009A501D">
              <w:rPr>
                <w:rFonts w:ascii="Century Gothic" w:eastAsia="Times New Roman" w:hAnsi="Century Gothic" w:cs="Arial"/>
                <w:color w:val="000000"/>
                <w:sz w:val="16"/>
                <w:szCs w:val="16"/>
              </w:rPr>
              <w:t xml:space="preserve">, con estatus </w:t>
            </w:r>
            <w:r w:rsidRPr="009A501D">
              <w:rPr>
                <w:rFonts w:ascii="Century Gothic" w:eastAsia="Times New Roman" w:hAnsi="Century Gothic" w:cs="Arial"/>
                <w:i/>
                <w:color w:val="000000"/>
                <w:sz w:val="16"/>
                <w:szCs w:val="16"/>
              </w:rPr>
              <w:t>activo</w:t>
            </w:r>
            <w:r w:rsidRPr="009A501D">
              <w:rPr>
                <w:rFonts w:ascii="Century Gothic" w:eastAsia="Times New Roman" w:hAnsi="Century Gothic" w:cs="Arial"/>
                <w:color w:val="000000"/>
                <w:sz w:val="16"/>
                <w:szCs w:val="16"/>
              </w:rPr>
              <w:t xml:space="preserve">. Se excluyen aquellos que únicamente se utilizan como insumo para otros </w:t>
            </w:r>
            <w:r w:rsidR="00777844" w:rsidRPr="009A501D">
              <w:rPr>
                <w:rFonts w:ascii="Century Gothic" w:eastAsia="Times New Roman" w:hAnsi="Century Gothic" w:cs="Arial"/>
                <w:color w:val="000000"/>
                <w:sz w:val="16"/>
                <w:szCs w:val="16"/>
              </w:rPr>
              <w:t>programa</w:t>
            </w:r>
            <w:r w:rsidRPr="009A501D">
              <w:rPr>
                <w:rFonts w:ascii="Century Gothic" w:eastAsia="Times New Roman" w:hAnsi="Century Gothic" w:cs="Arial"/>
                <w:color w:val="000000"/>
                <w:sz w:val="16"/>
                <w:szCs w:val="16"/>
              </w:rPr>
              <w:t xml:space="preserve">s de </w:t>
            </w:r>
            <w:r w:rsidR="00777844" w:rsidRPr="009A501D">
              <w:rPr>
                <w:rFonts w:ascii="Century Gothic" w:eastAsia="Times New Roman" w:hAnsi="Century Gothic" w:cs="Arial"/>
                <w:color w:val="000000"/>
                <w:sz w:val="16"/>
                <w:szCs w:val="16"/>
              </w:rPr>
              <w:t>información</w:t>
            </w:r>
            <w:r w:rsidRPr="009A501D">
              <w:rPr>
                <w:rFonts w:ascii="Century Gothic" w:eastAsia="Times New Roman" w:hAnsi="Century Gothic" w:cs="Arial"/>
                <w:color w:val="000000"/>
                <w:sz w:val="16"/>
                <w:szCs w:val="16"/>
              </w:rPr>
              <w:t xml:space="preserve"> </w:t>
            </w:r>
            <w:r w:rsidR="000979CF" w:rsidRPr="009A501D">
              <w:rPr>
                <w:rFonts w:ascii="Century Gothic" w:eastAsia="Times New Roman" w:hAnsi="Century Gothic" w:cs="Arial"/>
                <w:color w:val="000000"/>
                <w:sz w:val="16"/>
                <w:szCs w:val="16"/>
              </w:rPr>
              <w:t xml:space="preserve">o procesos de producción </w:t>
            </w:r>
            <w:r w:rsidRPr="009A501D">
              <w:rPr>
                <w:rFonts w:ascii="Century Gothic" w:eastAsia="Times New Roman" w:hAnsi="Century Gothic" w:cs="Arial"/>
                <w:color w:val="000000"/>
                <w:sz w:val="16"/>
                <w:szCs w:val="16"/>
              </w:rPr>
              <w:t>del propio INEGI.</w:t>
            </w:r>
          </w:p>
        </w:tc>
      </w:tr>
      <w:tr w:rsidR="00580CBB" w:rsidRPr="009A501D" w14:paraId="353BD202" w14:textId="77777777" w:rsidTr="00BC774F">
        <w:trPr>
          <w:trHeight w:val="20"/>
        </w:trPr>
        <w:tc>
          <w:tcPr>
            <w:tcW w:w="4962" w:type="dxa"/>
            <w:gridSpan w:val="2"/>
            <w:tcBorders>
              <w:top w:val="single" w:sz="4" w:space="0" w:color="auto"/>
              <w:left w:val="nil"/>
              <w:bottom w:val="single" w:sz="4" w:space="0" w:color="auto"/>
              <w:right w:val="nil"/>
            </w:tcBorders>
            <w:shd w:val="clear" w:color="auto" w:fill="auto"/>
            <w:noWrap/>
            <w:vAlign w:val="center"/>
            <w:hideMark/>
          </w:tcPr>
          <w:p w14:paraId="3FFEA544" w14:textId="77777777"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B. REFERENTES DE USO</w:t>
            </w:r>
          </w:p>
        </w:tc>
        <w:tc>
          <w:tcPr>
            <w:tcW w:w="9213" w:type="dxa"/>
            <w:tcBorders>
              <w:top w:val="single" w:sz="4" w:space="0" w:color="auto"/>
              <w:left w:val="nil"/>
              <w:bottom w:val="single" w:sz="4" w:space="0" w:color="auto"/>
              <w:right w:val="nil"/>
            </w:tcBorders>
            <w:shd w:val="clear" w:color="auto" w:fill="auto"/>
            <w:noWrap/>
            <w:vAlign w:val="bottom"/>
            <w:hideMark/>
          </w:tcPr>
          <w:p w14:paraId="2716EAD6" w14:textId="77777777" w:rsidR="00580CBB" w:rsidRPr="009A501D" w:rsidRDefault="00580CBB" w:rsidP="00664A1D">
            <w:pPr>
              <w:spacing w:after="0" w:line="240" w:lineRule="auto"/>
              <w:ind w:firstLineChars="100" w:firstLine="160"/>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 </w:t>
            </w:r>
          </w:p>
        </w:tc>
      </w:tr>
      <w:tr w:rsidR="00580CBB" w:rsidRPr="009A501D" w14:paraId="20C2A08E" w14:textId="77777777" w:rsidTr="00BC774F">
        <w:trPr>
          <w:trHeight w:val="20"/>
        </w:trPr>
        <w:tc>
          <w:tcPr>
            <w:tcW w:w="435" w:type="dxa"/>
            <w:tcBorders>
              <w:top w:val="nil"/>
              <w:left w:val="nil"/>
              <w:bottom w:val="nil"/>
              <w:right w:val="nil"/>
            </w:tcBorders>
            <w:shd w:val="clear" w:color="auto" w:fill="auto"/>
            <w:noWrap/>
            <w:vAlign w:val="bottom"/>
            <w:hideMark/>
          </w:tcPr>
          <w:p w14:paraId="52F46E64" w14:textId="77777777" w:rsidR="00580CBB" w:rsidRPr="009A501D" w:rsidRDefault="00580CBB" w:rsidP="00664A1D">
            <w:pPr>
              <w:spacing w:after="0" w:line="240" w:lineRule="auto"/>
              <w:ind w:firstLineChars="100" w:firstLine="170"/>
              <w:rPr>
                <w:rFonts w:ascii="Century Gothic" w:eastAsia="Times New Roman" w:hAnsi="Century Gothic" w:cs="Times New Roman"/>
                <w:sz w:val="17"/>
                <w:szCs w:val="17"/>
              </w:rPr>
            </w:pPr>
          </w:p>
        </w:tc>
        <w:tc>
          <w:tcPr>
            <w:tcW w:w="4527" w:type="dxa"/>
            <w:tcBorders>
              <w:top w:val="nil"/>
              <w:left w:val="nil"/>
              <w:bottom w:val="single" w:sz="4" w:space="0" w:color="808080"/>
              <w:right w:val="nil"/>
            </w:tcBorders>
            <w:shd w:val="clear" w:color="auto" w:fill="auto"/>
            <w:vAlign w:val="center"/>
            <w:hideMark/>
          </w:tcPr>
          <w:p w14:paraId="063BE01A"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Indicadores Clave</w:t>
            </w:r>
          </w:p>
        </w:tc>
        <w:tc>
          <w:tcPr>
            <w:tcW w:w="9213" w:type="dxa"/>
            <w:tcBorders>
              <w:top w:val="nil"/>
              <w:left w:val="nil"/>
              <w:bottom w:val="single" w:sz="4" w:space="0" w:color="808080"/>
              <w:right w:val="nil"/>
            </w:tcBorders>
            <w:shd w:val="clear" w:color="auto" w:fill="auto"/>
            <w:vAlign w:val="center"/>
            <w:hideMark/>
          </w:tcPr>
          <w:p w14:paraId="4210FCE4" w14:textId="77777777"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 xml:space="preserve">Datos obtenidos de la consulta por Fuente/Proyecto del Catálogo Nacional de Indicadores https://www.snieg.mx/cni/indicadores.aspx?idOrden=1.3. </w:t>
            </w:r>
          </w:p>
        </w:tc>
      </w:tr>
      <w:tr w:rsidR="00580CBB" w:rsidRPr="009A501D" w14:paraId="17739188" w14:textId="77777777" w:rsidTr="00BC774F">
        <w:trPr>
          <w:trHeight w:val="20"/>
        </w:trPr>
        <w:tc>
          <w:tcPr>
            <w:tcW w:w="435" w:type="dxa"/>
            <w:tcBorders>
              <w:top w:val="nil"/>
              <w:left w:val="nil"/>
              <w:bottom w:val="nil"/>
              <w:right w:val="nil"/>
            </w:tcBorders>
            <w:shd w:val="clear" w:color="auto" w:fill="auto"/>
            <w:noWrap/>
            <w:vAlign w:val="bottom"/>
            <w:hideMark/>
          </w:tcPr>
          <w:p w14:paraId="65962660" w14:textId="77777777" w:rsidR="00580CBB" w:rsidRPr="009A501D" w:rsidRDefault="00580CBB" w:rsidP="00664A1D">
            <w:pPr>
              <w:spacing w:after="0" w:line="240" w:lineRule="auto"/>
              <w:ind w:firstLineChars="100" w:firstLine="170"/>
              <w:rPr>
                <w:rFonts w:ascii="Century Gothic" w:eastAsia="Times New Roman" w:hAnsi="Century Gothic" w:cs="Arial"/>
                <w:color w:val="000000"/>
                <w:sz w:val="17"/>
                <w:szCs w:val="17"/>
              </w:rPr>
            </w:pPr>
          </w:p>
        </w:tc>
        <w:tc>
          <w:tcPr>
            <w:tcW w:w="4527" w:type="dxa"/>
            <w:tcBorders>
              <w:top w:val="nil"/>
              <w:left w:val="nil"/>
              <w:bottom w:val="single" w:sz="4" w:space="0" w:color="808080"/>
              <w:right w:val="nil"/>
            </w:tcBorders>
            <w:shd w:val="clear" w:color="auto" w:fill="auto"/>
            <w:vAlign w:val="center"/>
            <w:hideMark/>
          </w:tcPr>
          <w:p w14:paraId="4C4B12F5"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Indicadores ODS</w:t>
            </w:r>
          </w:p>
        </w:tc>
        <w:tc>
          <w:tcPr>
            <w:tcW w:w="9213" w:type="dxa"/>
            <w:tcBorders>
              <w:top w:val="nil"/>
              <w:left w:val="nil"/>
              <w:bottom w:val="single" w:sz="4" w:space="0" w:color="808080"/>
              <w:right w:val="nil"/>
            </w:tcBorders>
            <w:shd w:val="clear" w:color="auto" w:fill="auto"/>
            <w:vAlign w:val="center"/>
            <w:hideMark/>
          </w:tcPr>
          <w:p w14:paraId="772311EC"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 xml:space="preserve">Con base en los archivos de metadatos de indicadores descargados del sitio http://agenda2030.mx/#/home. </w:t>
            </w:r>
          </w:p>
        </w:tc>
      </w:tr>
      <w:tr w:rsidR="00580CBB" w:rsidRPr="009A501D" w14:paraId="6325A54F" w14:textId="77777777" w:rsidTr="00BC774F">
        <w:trPr>
          <w:trHeight w:val="20"/>
        </w:trPr>
        <w:tc>
          <w:tcPr>
            <w:tcW w:w="435" w:type="dxa"/>
            <w:tcBorders>
              <w:top w:val="nil"/>
              <w:left w:val="nil"/>
              <w:bottom w:val="nil"/>
              <w:right w:val="nil"/>
            </w:tcBorders>
            <w:shd w:val="clear" w:color="auto" w:fill="auto"/>
            <w:noWrap/>
            <w:vAlign w:val="bottom"/>
            <w:hideMark/>
          </w:tcPr>
          <w:p w14:paraId="47A2DF8E" w14:textId="77777777" w:rsidR="00580CBB" w:rsidRPr="009A501D" w:rsidRDefault="00580CBB" w:rsidP="00664A1D">
            <w:pPr>
              <w:spacing w:after="0" w:line="240" w:lineRule="auto"/>
              <w:ind w:firstLineChars="100" w:firstLine="170"/>
              <w:rPr>
                <w:rFonts w:ascii="Century Gothic" w:eastAsia="Times New Roman" w:hAnsi="Century Gothic" w:cs="Arial"/>
                <w:sz w:val="17"/>
                <w:szCs w:val="17"/>
              </w:rPr>
            </w:pPr>
          </w:p>
        </w:tc>
        <w:tc>
          <w:tcPr>
            <w:tcW w:w="4527" w:type="dxa"/>
            <w:tcBorders>
              <w:top w:val="nil"/>
              <w:left w:val="nil"/>
              <w:bottom w:val="single" w:sz="4" w:space="0" w:color="808080"/>
              <w:right w:val="nil"/>
            </w:tcBorders>
            <w:shd w:val="clear" w:color="auto" w:fill="auto"/>
            <w:vAlign w:val="center"/>
            <w:hideMark/>
          </w:tcPr>
          <w:p w14:paraId="4E67198F"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Usuarios Página INEGI</w:t>
            </w:r>
          </w:p>
        </w:tc>
        <w:tc>
          <w:tcPr>
            <w:tcW w:w="9213" w:type="dxa"/>
            <w:tcBorders>
              <w:top w:val="nil"/>
              <w:left w:val="nil"/>
              <w:bottom w:val="single" w:sz="4" w:space="0" w:color="808080"/>
              <w:right w:val="nil"/>
            </w:tcBorders>
            <w:shd w:val="clear" w:color="auto" w:fill="auto"/>
            <w:vAlign w:val="center"/>
            <w:hideMark/>
          </w:tcPr>
          <w:p w14:paraId="644C6E05" w14:textId="3E650E3F" w:rsidR="00580CBB" w:rsidRPr="009A501D" w:rsidRDefault="00580CBB" w:rsidP="00664A1D">
            <w:pPr>
              <w:spacing w:after="0" w:line="240" w:lineRule="auto"/>
              <w:jc w:val="both"/>
              <w:rPr>
                <w:rFonts w:ascii="Century Gothic" w:eastAsia="Times New Roman" w:hAnsi="Century Gothic" w:cs="Arial"/>
                <w:color w:val="000000"/>
                <w:sz w:val="16"/>
                <w:szCs w:val="16"/>
              </w:rPr>
            </w:pPr>
            <w:r w:rsidRPr="009A501D">
              <w:rPr>
                <w:rFonts w:ascii="Century Gothic" w:eastAsia="Times New Roman" w:hAnsi="Century Gothic" w:cs="Arial"/>
                <w:color w:val="000000"/>
                <w:sz w:val="16"/>
                <w:szCs w:val="16"/>
              </w:rPr>
              <w:t>Consulta realizada a la DGCSPIRI</w:t>
            </w:r>
            <w:r w:rsidR="00875882" w:rsidRPr="009A501D">
              <w:rPr>
                <w:rFonts w:ascii="Century Gothic" w:eastAsia="Times New Roman" w:hAnsi="Century Gothic" w:cs="Arial"/>
                <w:color w:val="000000"/>
                <w:sz w:val="16"/>
                <w:szCs w:val="16"/>
              </w:rPr>
              <w:t>, referente a la identificación de PI del INEGI consultados por medio de la página del INEGI.</w:t>
            </w:r>
          </w:p>
        </w:tc>
      </w:tr>
      <w:tr w:rsidR="00580CBB" w:rsidRPr="009A501D" w14:paraId="335E507F" w14:textId="77777777" w:rsidTr="00BC774F">
        <w:trPr>
          <w:trHeight w:val="20"/>
        </w:trPr>
        <w:tc>
          <w:tcPr>
            <w:tcW w:w="435" w:type="dxa"/>
            <w:tcBorders>
              <w:top w:val="nil"/>
              <w:left w:val="nil"/>
              <w:bottom w:val="nil"/>
              <w:right w:val="nil"/>
            </w:tcBorders>
            <w:shd w:val="clear" w:color="auto" w:fill="auto"/>
            <w:noWrap/>
            <w:vAlign w:val="bottom"/>
            <w:hideMark/>
          </w:tcPr>
          <w:p w14:paraId="3643AC54" w14:textId="77777777" w:rsidR="00580CBB" w:rsidRPr="009A501D" w:rsidRDefault="00580CBB" w:rsidP="00664A1D">
            <w:pPr>
              <w:spacing w:after="0" w:line="240" w:lineRule="auto"/>
              <w:ind w:firstLineChars="100" w:firstLine="170"/>
              <w:rPr>
                <w:rFonts w:ascii="Century Gothic" w:eastAsia="Times New Roman" w:hAnsi="Century Gothic" w:cs="Arial"/>
                <w:color w:val="000000"/>
                <w:sz w:val="17"/>
                <w:szCs w:val="17"/>
              </w:rPr>
            </w:pPr>
          </w:p>
        </w:tc>
        <w:tc>
          <w:tcPr>
            <w:tcW w:w="4527" w:type="dxa"/>
            <w:tcBorders>
              <w:top w:val="nil"/>
              <w:left w:val="nil"/>
              <w:bottom w:val="single" w:sz="4" w:space="0" w:color="808080"/>
              <w:right w:val="nil"/>
            </w:tcBorders>
            <w:shd w:val="clear" w:color="auto" w:fill="auto"/>
            <w:vAlign w:val="center"/>
            <w:hideMark/>
          </w:tcPr>
          <w:p w14:paraId="5D36EA2E" w14:textId="77777777" w:rsidR="00580CBB" w:rsidRPr="009A501D" w:rsidRDefault="00580CBB"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Laboratorio de microdatos</w:t>
            </w:r>
          </w:p>
        </w:tc>
        <w:tc>
          <w:tcPr>
            <w:tcW w:w="9213" w:type="dxa"/>
            <w:tcBorders>
              <w:top w:val="nil"/>
              <w:left w:val="nil"/>
              <w:bottom w:val="single" w:sz="4" w:space="0" w:color="808080"/>
              <w:right w:val="nil"/>
            </w:tcBorders>
            <w:shd w:val="clear" w:color="auto" w:fill="auto"/>
            <w:vAlign w:val="center"/>
            <w:hideMark/>
          </w:tcPr>
          <w:p w14:paraId="1EC2D47C" w14:textId="5395E0FF" w:rsidR="00580CBB" w:rsidRPr="009A501D" w:rsidRDefault="00875882" w:rsidP="00664A1D">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A partir de consulta realizada al área responsable del laboratorio de microdatos y del reporte generado mediante el Sistema automatizado de gestión de Servicios de Acceso a las Microdatos (SAM). Incluye: Laboratorio de microdatos y Servicio de Procesamiento Remoto. No incluye las consultas de microdatos disponibles en la página del INEGI.</w:t>
            </w:r>
          </w:p>
        </w:tc>
      </w:tr>
      <w:tr w:rsidR="00875882" w:rsidRPr="009A501D" w14:paraId="442748A7" w14:textId="77777777" w:rsidTr="00094DB3">
        <w:trPr>
          <w:trHeight w:val="20"/>
        </w:trPr>
        <w:tc>
          <w:tcPr>
            <w:tcW w:w="435" w:type="dxa"/>
            <w:tcBorders>
              <w:top w:val="nil"/>
              <w:left w:val="nil"/>
              <w:bottom w:val="nil"/>
              <w:right w:val="nil"/>
            </w:tcBorders>
            <w:shd w:val="clear" w:color="auto" w:fill="auto"/>
            <w:noWrap/>
            <w:vAlign w:val="bottom"/>
            <w:hideMark/>
          </w:tcPr>
          <w:p w14:paraId="4442DB7F" w14:textId="77777777" w:rsidR="00875882" w:rsidRPr="009A501D" w:rsidRDefault="00875882" w:rsidP="00875882">
            <w:pPr>
              <w:spacing w:after="0" w:line="240" w:lineRule="auto"/>
              <w:ind w:firstLineChars="100" w:firstLine="170"/>
              <w:rPr>
                <w:rFonts w:ascii="Century Gothic" w:eastAsia="Times New Roman" w:hAnsi="Century Gothic" w:cs="Arial"/>
                <w:sz w:val="17"/>
                <w:szCs w:val="17"/>
              </w:rPr>
            </w:pPr>
          </w:p>
        </w:tc>
        <w:tc>
          <w:tcPr>
            <w:tcW w:w="4527" w:type="dxa"/>
            <w:tcBorders>
              <w:top w:val="nil"/>
              <w:left w:val="nil"/>
              <w:bottom w:val="single" w:sz="4" w:space="0" w:color="808080"/>
              <w:right w:val="nil"/>
            </w:tcBorders>
            <w:shd w:val="clear" w:color="auto" w:fill="auto"/>
            <w:vAlign w:val="center"/>
            <w:hideMark/>
          </w:tcPr>
          <w:p w14:paraId="53EB7C4A" w14:textId="77777777" w:rsidR="00875882" w:rsidRPr="009A501D" w:rsidRDefault="00875882" w:rsidP="00875882">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 xml:space="preserve">PND-METAS (versión publicada en el Diario Oficial de la Federación) </w:t>
            </w:r>
          </w:p>
        </w:tc>
        <w:tc>
          <w:tcPr>
            <w:tcW w:w="9213" w:type="dxa"/>
            <w:tcBorders>
              <w:top w:val="nil"/>
              <w:left w:val="nil"/>
              <w:bottom w:val="single" w:sz="4" w:space="0" w:color="808080"/>
              <w:right w:val="nil"/>
            </w:tcBorders>
            <w:shd w:val="clear" w:color="auto" w:fill="auto"/>
            <w:hideMark/>
          </w:tcPr>
          <w:p w14:paraId="0C0C04F8" w14:textId="23E22CA1" w:rsidR="00875882" w:rsidRPr="009A501D" w:rsidRDefault="00875882" w:rsidP="00875882">
            <w:pPr>
              <w:spacing w:after="0" w:line="240" w:lineRule="auto"/>
              <w:jc w:val="both"/>
              <w:rPr>
                <w:rFonts w:ascii="Century Gothic" w:eastAsia="Times New Roman" w:hAnsi="Century Gothic" w:cs="Arial"/>
                <w:color w:val="000000"/>
                <w:sz w:val="16"/>
                <w:szCs w:val="16"/>
              </w:rPr>
            </w:pPr>
            <w:r w:rsidRPr="009A501D">
              <w:rPr>
                <w:rFonts w:ascii="Century Gothic" w:hAnsi="Century Gothic"/>
                <w:sz w:val="16"/>
                <w:szCs w:val="16"/>
              </w:rPr>
              <w:t xml:space="preserve">Este referente se estimó con base en un análisis conceptual de las metas PND 2019 -2024, el cual fue realizado en 2020. Dado que no se definieron indicadores en el PND 2019-2024, el uso de programas de información en este referente se captó en 2020, como resultado de una consulta realizada a las Unidades Administrativas a cargo de programas de información del INEGI vigentes en ese momento. </w:t>
            </w:r>
          </w:p>
        </w:tc>
      </w:tr>
      <w:tr w:rsidR="00875882" w:rsidRPr="009A501D" w14:paraId="2CBB87FC" w14:textId="77777777" w:rsidTr="00094DB3">
        <w:trPr>
          <w:trHeight w:val="20"/>
        </w:trPr>
        <w:tc>
          <w:tcPr>
            <w:tcW w:w="435" w:type="dxa"/>
            <w:tcBorders>
              <w:top w:val="nil"/>
              <w:left w:val="nil"/>
              <w:bottom w:val="nil"/>
              <w:right w:val="nil"/>
            </w:tcBorders>
            <w:shd w:val="clear" w:color="auto" w:fill="auto"/>
            <w:noWrap/>
            <w:vAlign w:val="bottom"/>
            <w:hideMark/>
          </w:tcPr>
          <w:p w14:paraId="321B0F1A" w14:textId="77777777" w:rsidR="00875882" w:rsidRPr="009A501D" w:rsidRDefault="00875882" w:rsidP="00875882">
            <w:pPr>
              <w:spacing w:after="0" w:line="240" w:lineRule="auto"/>
              <w:ind w:firstLineChars="100" w:firstLine="170"/>
              <w:rPr>
                <w:rFonts w:ascii="Century Gothic" w:eastAsia="Times New Roman" w:hAnsi="Century Gothic" w:cs="Arial"/>
                <w:color w:val="000000"/>
                <w:sz w:val="17"/>
                <w:szCs w:val="17"/>
              </w:rPr>
            </w:pPr>
          </w:p>
        </w:tc>
        <w:tc>
          <w:tcPr>
            <w:tcW w:w="4527" w:type="dxa"/>
            <w:tcBorders>
              <w:top w:val="nil"/>
              <w:left w:val="nil"/>
              <w:bottom w:val="single" w:sz="4" w:space="0" w:color="808080"/>
              <w:right w:val="nil"/>
            </w:tcBorders>
            <w:shd w:val="clear" w:color="auto" w:fill="auto"/>
            <w:vAlign w:val="center"/>
            <w:hideMark/>
          </w:tcPr>
          <w:p w14:paraId="531F2984" w14:textId="77777777" w:rsidR="00875882" w:rsidRPr="009A501D" w:rsidRDefault="00875882" w:rsidP="00875882">
            <w:pPr>
              <w:spacing w:after="0" w:line="240" w:lineRule="auto"/>
              <w:jc w:val="both"/>
              <w:rPr>
                <w:rFonts w:ascii="Century Gothic" w:eastAsia="Times New Roman" w:hAnsi="Century Gothic" w:cs="Arial"/>
                <w:sz w:val="16"/>
                <w:szCs w:val="16"/>
              </w:rPr>
            </w:pPr>
            <w:r w:rsidRPr="009A501D">
              <w:rPr>
                <w:rFonts w:ascii="Century Gothic" w:eastAsia="Times New Roman" w:hAnsi="Century Gothic" w:cs="Arial"/>
                <w:sz w:val="16"/>
                <w:szCs w:val="16"/>
              </w:rPr>
              <w:t>Tratados internacionales</w:t>
            </w:r>
          </w:p>
        </w:tc>
        <w:tc>
          <w:tcPr>
            <w:tcW w:w="9213" w:type="dxa"/>
            <w:vMerge w:val="restart"/>
            <w:tcBorders>
              <w:top w:val="nil"/>
              <w:left w:val="nil"/>
              <w:bottom w:val="single" w:sz="4" w:space="0" w:color="000000"/>
              <w:right w:val="nil"/>
            </w:tcBorders>
            <w:shd w:val="clear" w:color="auto" w:fill="auto"/>
            <w:hideMark/>
          </w:tcPr>
          <w:p w14:paraId="6D889B52" w14:textId="6F6449CE" w:rsidR="00875882" w:rsidRPr="009A501D" w:rsidRDefault="00875882" w:rsidP="00875882">
            <w:pPr>
              <w:spacing w:after="0" w:line="240" w:lineRule="auto"/>
              <w:jc w:val="both"/>
              <w:rPr>
                <w:rFonts w:ascii="Century Gothic" w:eastAsia="Times New Roman" w:hAnsi="Century Gothic" w:cs="Arial"/>
                <w:color w:val="000000"/>
                <w:sz w:val="16"/>
                <w:szCs w:val="16"/>
              </w:rPr>
            </w:pPr>
            <w:r w:rsidRPr="009A501D">
              <w:rPr>
                <w:rFonts w:ascii="Century Gothic" w:hAnsi="Century Gothic"/>
                <w:sz w:val="16"/>
                <w:szCs w:val="16"/>
              </w:rPr>
              <w:t xml:space="preserve">Inventario de Demandas de Información Estadística y Geográfica (IDIEG). Para Tratados Internacionales, y Constitución y Leyes se tomó en cuenta la columna "Usa Información de Interés Nacional”. Para Programas Sectoriales, Especiales y Nacionales se analizaron las columnas “Usa Información de Interés </w:t>
            </w:r>
            <w:proofErr w:type="gramStart"/>
            <w:r w:rsidRPr="009A501D">
              <w:rPr>
                <w:rFonts w:ascii="Century Gothic" w:hAnsi="Century Gothic"/>
                <w:sz w:val="16"/>
                <w:szCs w:val="16"/>
              </w:rPr>
              <w:t>Nacional“ y</w:t>
            </w:r>
            <w:proofErr w:type="gramEnd"/>
            <w:r w:rsidRPr="009A501D">
              <w:rPr>
                <w:rFonts w:ascii="Century Gothic" w:hAnsi="Century Gothic"/>
                <w:sz w:val="16"/>
                <w:szCs w:val="16"/>
              </w:rPr>
              <w:t xml:space="preserve"> “Usa Información INEGI. </w:t>
            </w:r>
          </w:p>
        </w:tc>
      </w:tr>
      <w:tr w:rsidR="00580CBB" w:rsidRPr="009A501D" w14:paraId="2E2B6F4E" w14:textId="77777777" w:rsidTr="00BC774F">
        <w:trPr>
          <w:trHeight w:val="20"/>
        </w:trPr>
        <w:tc>
          <w:tcPr>
            <w:tcW w:w="435" w:type="dxa"/>
            <w:tcBorders>
              <w:top w:val="nil"/>
              <w:left w:val="nil"/>
              <w:bottom w:val="nil"/>
              <w:right w:val="nil"/>
            </w:tcBorders>
            <w:shd w:val="clear" w:color="auto" w:fill="auto"/>
            <w:noWrap/>
            <w:vAlign w:val="bottom"/>
            <w:hideMark/>
          </w:tcPr>
          <w:p w14:paraId="315C974E" w14:textId="77777777" w:rsidR="00580CBB" w:rsidRPr="009A501D" w:rsidRDefault="00580CBB" w:rsidP="00664A1D">
            <w:pPr>
              <w:spacing w:after="0" w:line="240" w:lineRule="auto"/>
              <w:rPr>
                <w:rFonts w:ascii="Century Gothic" w:eastAsia="Times New Roman" w:hAnsi="Century Gothic" w:cs="Arial"/>
                <w:color w:val="000000"/>
                <w:sz w:val="17"/>
                <w:szCs w:val="17"/>
              </w:rPr>
            </w:pPr>
          </w:p>
        </w:tc>
        <w:tc>
          <w:tcPr>
            <w:tcW w:w="4527" w:type="dxa"/>
            <w:tcBorders>
              <w:top w:val="nil"/>
              <w:left w:val="nil"/>
              <w:bottom w:val="single" w:sz="4" w:space="0" w:color="808080"/>
              <w:right w:val="nil"/>
            </w:tcBorders>
            <w:shd w:val="clear" w:color="auto" w:fill="auto"/>
            <w:vAlign w:val="center"/>
            <w:hideMark/>
          </w:tcPr>
          <w:p w14:paraId="48254D1F" w14:textId="77777777" w:rsidR="00580CBB" w:rsidRPr="009A501D" w:rsidRDefault="00580CBB" w:rsidP="00664A1D">
            <w:pPr>
              <w:spacing w:after="0" w:line="240" w:lineRule="auto"/>
              <w:rPr>
                <w:rFonts w:ascii="Century Gothic" w:eastAsia="Times New Roman" w:hAnsi="Century Gothic" w:cs="Arial"/>
                <w:sz w:val="16"/>
                <w:szCs w:val="16"/>
              </w:rPr>
            </w:pPr>
            <w:r w:rsidRPr="009A501D">
              <w:rPr>
                <w:rFonts w:ascii="Century Gothic" w:eastAsia="Times New Roman" w:hAnsi="Century Gothic" w:cs="Arial"/>
                <w:sz w:val="16"/>
                <w:szCs w:val="16"/>
              </w:rPr>
              <w:t>Constitución y leyes</w:t>
            </w:r>
          </w:p>
        </w:tc>
        <w:tc>
          <w:tcPr>
            <w:tcW w:w="9213" w:type="dxa"/>
            <w:vMerge/>
            <w:tcBorders>
              <w:top w:val="nil"/>
              <w:left w:val="nil"/>
              <w:bottom w:val="single" w:sz="4" w:space="0" w:color="000000"/>
              <w:right w:val="nil"/>
            </w:tcBorders>
            <w:vAlign w:val="center"/>
            <w:hideMark/>
          </w:tcPr>
          <w:p w14:paraId="5A0C8A88" w14:textId="77777777" w:rsidR="00580CBB" w:rsidRPr="009A501D" w:rsidRDefault="00580CBB" w:rsidP="00664A1D">
            <w:pPr>
              <w:spacing w:after="0" w:line="240" w:lineRule="auto"/>
              <w:rPr>
                <w:rFonts w:ascii="Century Gothic" w:eastAsia="Times New Roman" w:hAnsi="Century Gothic" w:cs="Arial"/>
                <w:color w:val="000000"/>
                <w:sz w:val="16"/>
                <w:szCs w:val="16"/>
              </w:rPr>
            </w:pPr>
          </w:p>
        </w:tc>
      </w:tr>
      <w:tr w:rsidR="00580CBB" w:rsidRPr="009A501D" w14:paraId="310A8810" w14:textId="77777777" w:rsidTr="00BC774F">
        <w:trPr>
          <w:trHeight w:val="20"/>
        </w:trPr>
        <w:tc>
          <w:tcPr>
            <w:tcW w:w="435" w:type="dxa"/>
            <w:tcBorders>
              <w:top w:val="nil"/>
              <w:left w:val="nil"/>
              <w:bottom w:val="single" w:sz="4" w:space="0" w:color="auto"/>
              <w:right w:val="nil"/>
            </w:tcBorders>
            <w:shd w:val="clear" w:color="auto" w:fill="auto"/>
            <w:noWrap/>
            <w:vAlign w:val="bottom"/>
            <w:hideMark/>
          </w:tcPr>
          <w:p w14:paraId="5359CC64" w14:textId="77777777" w:rsidR="00580CBB" w:rsidRPr="009A501D" w:rsidRDefault="00580CBB" w:rsidP="00664A1D">
            <w:pPr>
              <w:spacing w:after="0" w:line="240" w:lineRule="auto"/>
              <w:rPr>
                <w:rFonts w:ascii="Century Gothic" w:eastAsia="Times New Roman" w:hAnsi="Century Gothic" w:cs="Arial"/>
                <w:color w:val="000000"/>
                <w:sz w:val="17"/>
                <w:szCs w:val="17"/>
              </w:rPr>
            </w:pPr>
            <w:r w:rsidRPr="009A501D">
              <w:rPr>
                <w:rFonts w:ascii="Century Gothic" w:eastAsia="Times New Roman" w:hAnsi="Century Gothic" w:cs="Arial"/>
                <w:color w:val="000000"/>
                <w:sz w:val="17"/>
                <w:szCs w:val="17"/>
              </w:rPr>
              <w:t> </w:t>
            </w:r>
          </w:p>
        </w:tc>
        <w:tc>
          <w:tcPr>
            <w:tcW w:w="4527" w:type="dxa"/>
            <w:tcBorders>
              <w:top w:val="nil"/>
              <w:left w:val="nil"/>
              <w:bottom w:val="single" w:sz="4" w:space="0" w:color="auto"/>
              <w:right w:val="nil"/>
            </w:tcBorders>
            <w:shd w:val="clear" w:color="auto" w:fill="auto"/>
            <w:vAlign w:val="center"/>
            <w:hideMark/>
          </w:tcPr>
          <w:p w14:paraId="3702F5FD" w14:textId="77777777" w:rsidR="00580CBB" w:rsidRPr="009A501D" w:rsidRDefault="00580CBB" w:rsidP="00664A1D">
            <w:pPr>
              <w:spacing w:after="0" w:line="240" w:lineRule="auto"/>
              <w:rPr>
                <w:rFonts w:ascii="Century Gothic" w:eastAsia="Times New Roman" w:hAnsi="Century Gothic" w:cs="Arial"/>
                <w:sz w:val="16"/>
                <w:szCs w:val="16"/>
              </w:rPr>
            </w:pPr>
            <w:r w:rsidRPr="009A501D">
              <w:rPr>
                <w:rFonts w:ascii="Century Gothic" w:eastAsia="Times New Roman" w:hAnsi="Century Gothic" w:cs="Arial"/>
                <w:sz w:val="16"/>
                <w:szCs w:val="16"/>
              </w:rPr>
              <w:t>Programas sectoriales/especiales</w:t>
            </w:r>
          </w:p>
        </w:tc>
        <w:tc>
          <w:tcPr>
            <w:tcW w:w="9213" w:type="dxa"/>
            <w:vMerge/>
            <w:tcBorders>
              <w:top w:val="nil"/>
              <w:left w:val="nil"/>
              <w:bottom w:val="single" w:sz="4" w:space="0" w:color="000000"/>
              <w:right w:val="nil"/>
            </w:tcBorders>
            <w:vAlign w:val="center"/>
            <w:hideMark/>
          </w:tcPr>
          <w:p w14:paraId="07A3C6B3" w14:textId="77777777" w:rsidR="00580CBB" w:rsidRPr="009A501D" w:rsidRDefault="00580CBB" w:rsidP="00664A1D">
            <w:pPr>
              <w:spacing w:after="0" w:line="240" w:lineRule="auto"/>
              <w:rPr>
                <w:rFonts w:ascii="Century Gothic" w:eastAsia="Times New Roman" w:hAnsi="Century Gothic" w:cs="Arial"/>
                <w:color w:val="000000"/>
                <w:sz w:val="16"/>
                <w:szCs w:val="16"/>
              </w:rPr>
            </w:pPr>
          </w:p>
        </w:tc>
      </w:tr>
    </w:tbl>
    <w:p w14:paraId="6E16389F" w14:textId="77777777" w:rsidR="00580CBB" w:rsidRPr="009A501D" w:rsidRDefault="00580CBB" w:rsidP="00664A1D">
      <w:pPr>
        <w:spacing w:before="240"/>
        <w:rPr>
          <w:rFonts w:ascii="Century Gothic" w:hAnsi="Century Gothic"/>
          <w:sz w:val="19"/>
          <w:szCs w:val="19"/>
        </w:rPr>
      </w:pPr>
      <w:r w:rsidRPr="009A501D">
        <w:rPr>
          <w:rFonts w:ascii="Century Gothic" w:hAnsi="Century Gothic"/>
          <w:sz w:val="19"/>
          <w:szCs w:val="19"/>
        </w:rPr>
        <w:br w:type="page"/>
      </w:r>
    </w:p>
    <w:p w14:paraId="095EA624" w14:textId="0859E54D" w:rsidR="00580CBB" w:rsidRPr="009A501D" w:rsidRDefault="00580CBB" w:rsidP="00664A1D">
      <w:pPr>
        <w:spacing w:before="240"/>
        <w:jc w:val="both"/>
        <w:rPr>
          <w:rFonts w:ascii="Century Gothic" w:hAnsi="Century Gothic"/>
          <w:sz w:val="19"/>
          <w:szCs w:val="19"/>
        </w:rPr>
      </w:pPr>
      <w:r w:rsidRPr="009A501D">
        <w:rPr>
          <w:rFonts w:ascii="Century Gothic" w:hAnsi="Century Gothic"/>
          <w:sz w:val="19"/>
          <w:szCs w:val="19"/>
        </w:rPr>
        <w:lastRenderedPageBreak/>
        <w:t xml:space="preserve">En el cuadro A.1.7 se presenta el uso de cada uno de los </w:t>
      </w:r>
      <w:r w:rsidR="0067173D" w:rsidRPr="009A501D">
        <w:rPr>
          <w:rFonts w:ascii="Century Gothic" w:hAnsi="Century Gothic"/>
          <w:sz w:val="19"/>
          <w:szCs w:val="19"/>
        </w:rPr>
        <w:t>programas</w:t>
      </w:r>
      <w:r w:rsidRPr="009A501D">
        <w:rPr>
          <w:rFonts w:ascii="Century Gothic" w:hAnsi="Century Gothic"/>
          <w:sz w:val="19"/>
          <w:szCs w:val="19"/>
        </w:rPr>
        <w:t xml:space="preserve"> de </w:t>
      </w:r>
      <w:r w:rsidR="0067173D" w:rsidRPr="009A501D">
        <w:rPr>
          <w:rFonts w:ascii="Century Gothic" w:hAnsi="Century Gothic"/>
          <w:sz w:val="19"/>
          <w:szCs w:val="19"/>
        </w:rPr>
        <w:t>información</w:t>
      </w:r>
      <w:r w:rsidRPr="009A501D">
        <w:rPr>
          <w:rFonts w:ascii="Century Gothic" w:hAnsi="Century Gothic"/>
          <w:sz w:val="19"/>
          <w:szCs w:val="19"/>
        </w:rPr>
        <w:t xml:space="preserve"> </w:t>
      </w:r>
      <w:r w:rsidR="000979CF" w:rsidRPr="009A501D">
        <w:rPr>
          <w:rFonts w:ascii="Century Gothic" w:hAnsi="Century Gothic"/>
          <w:sz w:val="19"/>
          <w:szCs w:val="19"/>
        </w:rPr>
        <w:t>o procesos de producció</w:t>
      </w:r>
      <w:r w:rsidR="006B6580" w:rsidRPr="009A501D">
        <w:rPr>
          <w:rFonts w:ascii="Century Gothic" w:hAnsi="Century Gothic"/>
          <w:sz w:val="19"/>
          <w:szCs w:val="19"/>
        </w:rPr>
        <w:t xml:space="preserve">n </w:t>
      </w:r>
      <w:r w:rsidRPr="009A501D">
        <w:rPr>
          <w:rFonts w:ascii="Century Gothic" w:hAnsi="Century Gothic"/>
          <w:sz w:val="19"/>
          <w:szCs w:val="19"/>
        </w:rPr>
        <w:t xml:space="preserve">del INEGI. </w:t>
      </w:r>
    </w:p>
    <w:p w14:paraId="388D2B74" w14:textId="111A7B83" w:rsidR="00580CBB" w:rsidRPr="009A501D" w:rsidRDefault="00580CBB" w:rsidP="00664A1D">
      <w:pPr>
        <w:spacing w:before="240"/>
        <w:jc w:val="center"/>
        <w:rPr>
          <w:rFonts w:ascii="Century Gothic" w:hAnsi="Century Gothic"/>
          <w:b/>
          <w:sz w:val="19"/>
          <w:szCs w:val="19"/>
        </w:rPr>
      </w:pPr>
      <w:r w:rsidRPr="009A501D">
        <w:rPr>
          <w:rFonts w:ascii="Century Gothic" w:hAnsi="Century Gothic"/>
          <w:b/>
          <w:sz w:val="19"/>
          <w:szCs w:val="19"/>
        </w:rPr>
        <w:t xml:space="preserve">A.1.7.  Programas de información </w:t>
      </w:r>
      <w:r w:rsidR="006B6580" w:rsidRPr="009A501D">
        <w:rPr>
          <w:rFonts w:ascii="Century Gothic" w:hAnsi="Century Gothic"/>
          <w:b/>
          <w:sz w:val="19"/>
          <w:szCs w:val="19"/>
        </w:rPr>
        <w:t xml:space="preserve">o procesos de producción </w:t>
      </w:r>
      <w:r w:rsidRPr="009A501D">
        <w:rPr>
          <w:rFonts w:ascii="Century Gothic" w:hAnsi="Century Gothic"/>
          <w:b/>
          <w:sz w:val="19"/>
          <w:szCs w:val="19"/>
        </w:rPr>
        <w:t>del INEGI por tipo de uso</w:t>
      </w:r>
      <w:r w:rsidR="00414A1B" w:rsidRPr="009A501D">
        <w:rPr>
          <w:rFonts w:ascii="Century Gothic" w:hAnsi="Century Gothic"/>
          <w:b/>
          <w:sz w:val="19"/>
          <w:szCs w:val="19"/>
        </w:rPr>
        <w:t xml:space="preserve"> en 2022</w:t>
      </w:r>
    </w:p>
    <w:tbl>
      <w:tblPr>
        <w:tblW w:w="1430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CellMar>
          <w:left w:w="70" w:type="dxa"/>
          <w:right w:w="70" w:type="dxa"/>
        </w:tblCellMar>
        <w:tblLook w:val="04A0" w:firstRow="1" w:lastRow="0" w:firstColumn="1" w:lastColumn="0" w:noHBand="0" w:noVBand="1"/>
      </w:tblPr>
      <w:tblGrid>
        <w:gridCol w:w="876"/>
        <w:gridCol w:w="3876"/>
        <w:gridCol w:w="1139"/>
        <w:gridCol w:w="1382"/>
        <w:gridCol w:w="1300"/>
        <w:gridCol w:w="1065"/>
        <w:gridCol w:w="1132"/>
        <w:gridCol w:w="657"/>
        <w:gridCol w:w="1145"/>
        <w:gridCol w:w="681"/>
        <w:gridCol w:w="1052"/>
      </w:tblGrid>
      <w:tr w:rsidR="000F54A5" w:rsidRPr="009A501D" w14:paraId="1E6365CD" w14:textId="77777777" w:rsidTr="00664A1D">
        <w:trPr>
          <w:trHeight w:val="284"/>
          <w:tblHeader/>
          <w:jc w:val="center"/>
        </w:trPr>
        <w:tc>
          <w:tcPr>
            <w:tcW w:w="876" w:type="dxa"/>
            <w:shd w:val="clear" w:color="auto" w:fill="002060"/>
            <w:vAlign w:val="center"/>
            <w:hideMark/>
          </w:tcPr>
          <w:p w14:paraId="4BB84730" w14:textId="47C9B21E"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UA</w:t>
            </w:r>
          </w:p>
        </w:tc>
        <w:tc>
          <w:tcPr>
            <w:tcW w:w="3936" w:type="dxa"/>
            <w:shd w:val="clear" w:color="auto" w:fill="002060"/>
            <w:vAlign w:val="center"/>
            <w:hideMark/>
          </w:tcPr>
          <w:p w14:paraId="778FD5E6" w14:textId="7A59DAB9"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Programa</w:t>
            </w:r>
            <w:r w:rsidR="006B6580" w:rsidRPr="009A501D">
              <w:rPr>
                <w:rFonts w:ascii="Century Gothic" w:eastAsia="Times New Roman" w:hAnsi="Century Gothic" w:cs="Arial"/>
                <w:b/>
                <w:bCs/>
                <w:color w:val="FFFFFF" w:themeColor="background1"/>
                <w:sz w:val="16"/>
                <w:szCs w:val="16"/>
                <w:lang w:eastAsia="es-MX"/>
              </w:rPr>
              <w:t xml:space="preserve"> o proceso</w:t>
            </w:r>
          </w:p>
        </w:tc>
        <w:tc>
          <w:tcPr>
            <w:tcW w:w="1140" w:type="dxa"/>
            <w:shd w:val="clear" w:color="auto" w:fill="002060"/>
            <w:vAlign w:val="center"/>
            <w:hideMark/>
          </w:tcPr>
          <w:p w14:paraId="640DD41C" w14:textId="6E157682"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Constitución Y Leyes</w:t>
            </w:r>
          </w:p>
        </w:tc>
        <w:tc>
          <w:tcPr>
            <w:tcW w:w="1383" w:type="dxa"/>
            <w:shd w:val="clear" w:color="auto" w:fill="002060"/>
            <w:vAlign w:val="center"/>
            <w:hideMark/>
          </w:tcPr>
          <w:p w14:paraId="018F243F" w14:textId="1976FEE3"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Tratados Internacionales</w:t>
            </w:r>
          </w:p>
        </w:tc>
        <w:tc>
          <w:tcPr>
            <w:tcW w:w="1307" w:type="dxa"/>
            <w:shd w:val="clear" w:color="auto" w:fill="002060"/>
            <w:vAlign w:val="center"/>
            <w:hideMark/>
          </w:tcPr>
          <w:p w14:paraId="6B6E31D7" w14:textId="438C00A1"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Programas Sectoriales / Especiales / Nacionales</w:t>
            </w:r>
          </w:p>
        </w:tc>
        <w:tc>
          <w:tcPr>
            <w:tcW w:w="992" w:type="dxa"/>
            <w:shd w:val="clear" w:color="auto" w:fill="002060"/>
            <w:vAlign w:val="center"/>
            <w:hideMark/>
          </w:tcPr>
          <w:p w14:paraId="7D7B04B5" w14:textId="63175EF7"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Indicadores Clave</w:t>
            </w:r>
          </w:p>
        </w:tc>
        <w:tc>
          <w:tcPr>
            <w:tcW w:w="1134" w:type="dxa"/>
            <w:shd w:val="clear" w:color="auto" w:fill="002060"/>
            <w:vAlign w:val="center"/>
            <w:hideMark/>
          </w:tcPr>
          <w:p w14:paraId="73708604" w14:textId="1567ABB6"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Indicadores ODS</w:t>
            </w:r>
          </w:p>
        </w:tc>
        <w:tc>
          <w:tcPr>
            <w:tcW w:w="657" w:type="dxa"/>
            <w:shd w:val="clear" w:color="auto" w:fill="002060"/>
            <w:vAlign w:val="center"/>
            <w:hideMark/>
          </w:tcPr>
          <w:p w14:paraId="3ED247CE" w14:textId="53987434"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PND-Metas (</w:t>
            </w:r>
            <w:proofErr w:type="gramStart"/>
            <w:r w:rsidRPr="009A501D">
              <w:rPr>
                <w:rFonts w:ascii="Century Gothic" w:eastAsia="Times New Roman" w:hAnsi="Century Gothic" w:cs="Arial"/>
                <w:b/>
                <w:bCs/>
                <w:color w:val="FFFFFF" w:themeColor="background1"/>
                <w:sz w:val="16"/>
                <w:szCs w:val="16"/>
                <w:lang w:eastAsia="es-MX"/>
              </w:rPr>
              <w:t xml:space="preserve">DOF)   </w:t>
            </w:r>
            <w:proofErr w:type="gramEnd"/>
            <w:r w:rsidRPr="009A501D">
              <w:rPr>
                <w:rFonts w:ascii="Century Gothic" w:eastAsia="Times New Roman" w:hAnsi="Century Gothic" w:cs="Arial"/>
                <w:b/>
                <w:bCs/>
                <w:color w:val="FFFFFF" w:themeColor="background1"/>
                <w:sz w:val="16"/>
                <w:szCs w:val="16"/>
                <w:lang w:eastAsia="es-MX"/>
              </w:rPr>
              <w:t xml:space="preserve">                                                </w:t>
            </w:r>
          </w:p>
        </w:tc>
        <w:tc>
          <w:tcPr>
            <w:tcW w:w="1145" w:type="dxa"/>
            <w:shd w:val="clear" w:color="auto" w:fill="002060"/>
            <w:vAlign w:val="center"/>
            <w:hideMark/>
          </w:tcPr>
          <w:p w14:paraId="24198985" w14:textId="7E68BE4B"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Acceso a Microdatos (Laboratorio)</w:t>
            </w:r>
          </w:p>
        </w:tc>
        <w:tc>
          <w:tcPr>
            <w:tcW w:w="681" w:type="dxa"/>
            <w:shd w:val="clear" w:color="auto" w:fill="002060"/>
            <w:vAlign w:val="center"/>
            <w:hideMark/>
          </w:tcPr>
          <w:p w14:paraId="02BD8B70" w14:textId="6079F6CD"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 xml:space="preserve">Página </w:t>
            </w:r>
            <w:r w:rsidR="00CC68CB" w:rsidRPr="009A501D">
              <w:rPr>
                <w:rFonts w:ascii="Century Gothic" w:eastAsia="Times New Roman" w:hAnsi="Century Gothic" w:cs="Arial"/>
                <w:b/>
                <w:bCs/>
                <w:color w:val="FFFFFF" w:themeColor="background1"/>
                <w:sz w:val="16"/>
                <w:szCs w:val="16"/>
                <w:lang w:eastAsia="es-MX"/>
              </w:rPr>
              <w:t>INEGI</w:t>
            </w:r>
          </w:p>
        </w:tc>
        <w:tc>
          <w:tcPr>
            <w:tcW w:w="1054" w:type="dxa"/>
            <w:shd w:val="clear" w:color="auto" w:fill="002060"/>
            <w:vAlign w:val="center"/>
            <w:hideMark/>
          </w:tcPr>
          <w:p w14:paraId="3C9AEC2E" w14:textId="3AEFE3D8" w:rsidR="000F54A5" w:rsidRPr="009A501D" w:rsidRDefault="000F54A5" w:rsidP="00BE0B71">
            <w:pPr>
              <w:spacing w:after="0" w:line="240" w:lineRule="auto"/>
              <w:jc w:val="center"/>
              <w:rPr>
                <w:rFonts w:ascii="Century Gothic" w:eastAsia="Times New Roman" w:hAnsi="Century Gothic" w:cs="Arial"/>
                <w:b/>
                <w:bCs/>
                <w:color w:val="FFFFFF" w:themeColor="background1"/>
                <w:sz w:val="16"/>
                <w:szCs w:val="16"/>
                <w:lang w:eastAsia="es-MX"/>
              </w:rPr>
            </w:pPr>
            <w:r w:rsidRPr="009A501D">
              <w:rPr>
                <w:rFonts w:ascii="Century Gothic" w:eastAsia="Times New Roman" w:hAnsi="Century Gothic" w:cs="Arial"/>
                <w:b/>
                <w:bCs/>
                <w:color w:val="FFFFFF" w:themeColor="background1"/>
                <w:sz w:val="16"/>
                <w:szCs w:val="16"/>
                <w:lang w:eastAsia="es-MX"/>
              </w:rPr>
              <w:t xml:space="preserve">Insumos para otros Programas </w:t>
            </w:r>
          </w:p>
        </w:tc>
      </w:tr>
      <w:tr w:rsidR="007A584C" w:rsidRPr="009A501D" w14:paraId="40DA8922" w14:textId="77777777" w:rsidTr="007A584C">
        <w:trPr>
          <w:trHeight w:val="284"/>
          <w:jc w:val="center"/>
        </w:trPr>
        <w:tc>
          <w:tcPr>
            <w:tcW w:w="876" w:type="dxa"/>
            <w:shd w:val="clear" w:color="auto" w:fill="BDD6EE" w:themeFill="accent1" w:themeFillTint="66"/>
            <w:vAlign w:val="center"/>
            <w:hideMark/>
          </w:tcPr>
          <w:p w14:paraId="66451FB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04DEC32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Balanza Comercial de Mercancías de México</w:t>
            </w:r>
          </w:p>
        </w:tc>
        <w:tc>
          <w:tcPr>
            <w:tcW w:w="1140" w:type="dxa"/>
            <w:shd w:val="clear" w:color="auto" w:fill="BDD6EE" w:themeFill="accent1" w:themeFillTint="66"/>
            <w:vAlign w:val="center"/>
            <w:hideMark/>
          </w:tcPr>
          <w:p w14:paraId="70F1FC9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0E753BD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4285D6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238EC16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369D7B9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529AD8B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9780F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DE98F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43F70E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B4DCB0F" w14:textId="77777777" w:rsidTr="007A584C">
        <w:trPr>
          <w:trHeight w:val="284"/>
          <w:jc w:val="center"/>
        </w:trPr>
        <w:tc>
          <w:tcPr>
            <w:tcW w:w="876" w:type="dxa"/>
            <w:shd w:val="clear" w:color="auto" w:fill="BDD6EE" w:themeFill="accent1" w:themeFillTint="66"/>
            <w:vAlign w:val="center"/>
            <w:hideMark/>
          </w:tcPr>
          <w:p w14:paraId="1ACBC11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15BB136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Censos Económicos</w:t>
            </w:r>
          </w:p>
        </w:tc>
        <w:tc>
          <w:tcPr>
            <w:tcW w:w="1140" w:type="dxa"/>
            <w:shd w:val="clear" w:color="auto" w:fill="BDD6EE" w:themeFill="accent1" w:themeFillTint="66"/>
            <w:vAlign w:val="center"/>
            <w:hideMark/>
          </w:tcPr>
          <w:p w14:paraId="44E428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0002725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78E8A16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0F85090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7DB7DE5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11DA25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8D2BF5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80453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91024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4E1596CA" w14:textId="77777777" w:rsidTr="007A584C">
        <w:trPr>
          <w:trHeight w:val="284"/>
          <w:jc w:val="center"/>
        </w:trPr>
        <w:tc>
          <w:tcPr>
            <w:tcW w:w="876" w:type="dxa"/>
            <w:shd w:val="clear" w:color="auto" w:fill="BDD6EE" w:themeFill="accent1" w:themeFillTint="66"/>
            <w:vAlign w:val="center"/>
            <w:hideMark/>
          </w:tcPr>
          <w:p w14:paraId="6273C88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0EE1BBB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de Población y Vivienda</w:t>
            </w:r>
          </w:p>
        </w:tc>
        <w:tc>
          <w:tcPr>
            <w:tcW w:w="1140" w:type="dxa"/>
            <w:shd w:val="clear" w:color="auto" w:fill="BDD6EE" w:themeFill="accent1" w:themeFillTint="66"/>
            <w:vAlign w:val="center"/>
            <w:hideMark/>
          </w:tcPr>
          <w:p w14:paraId="04EB23F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BCE7A7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4B3CFD9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DDAA72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484BA70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1953E7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2EC994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9C18ED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1928C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8D3DC81" w14:textId="77777777" w:rsidTr="007A584C">
        <w:trPr>
          <w:trHeight w:val="284"/>
          <w:jc w:val="center"/>
        </w:trPr>
        <w:tc>
          <w:tcPr>
            <w:tcW w:w="876" w:type="dxa"/>
            <w:shd w:val="clear" w:color="auto" w:fill="BDD6EE" w:themeFill="accent1" w:themeFillTint="66"/>
            <w:vAlign w:val="center"/>
            <w:hideMark/>
          </w:tcPr>
          <w:p w14:paraId="2D4698F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08668CC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Ingresos y Gastos de los Hogares</w:t>
            </w:r>
          </w:p>
        </w:tc>
        <w:tc>
          <w:tcPr>
            <w:tcW w:w="1140" w:type="dxa"/>
            <w:shd w:val="clear" w:color="auto" w:fill="BDD6EE" w:themeFill="accent1" w:themeFillTint="66"/>
            <w:vAlign w:val="center"/>
            <w:hideMark/>
          </w:tcPr>
          <w:p w14:paraId="61327F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695FFA2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220CA53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5A2A79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2A74EA0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6242297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F3D92C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8356A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44010D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4540FDC7" w14:textId="77777777" w:rsidTr="007A584C">
        <w:trPr>
          <w:trHeight w:val="284"/>
          <w:jc w:val="center"/>
        </w:trPr>
        <w:tc>
          <w:tcPr>
            <w:tcW w:w="876" w:type="dxa"/>
            <w:shd w:val="clear" w:color="auto" w:fill="BDD6EE" w:themeFill="accent1" w:themeFillTint="66"/>
            <w:vAlign w:val="center"/>
            <w:hideMark/>
          </w:tcPr>
          <w:p w14:paraId="32BF221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698CD04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la Dinámica Demográfica</w:t>
            </w:r>
          </w:p>
        </w:tc>
        <w:tc>
          <w:tcPr>
            <w:tcW w:w="1140" w:type="dxa"/>
            <w:shd w:val="clear" w:color="auto" w:fill="BDD6EE" w:themeFill="accent1" w:themeFillTint="66"/>
            <w:vAlign w:val="center"/>
            <w:hideMark/>
          </w:tcPr>
          <w:p w14:paraId="5A1E5B6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9A465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12CAD12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09C7BD6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4EB933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31EAC9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7434D9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C0551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319864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6A83098B" w14:textId="77777777" w:rsidTr="007A584C">
        <w:trPr>
          <w:trHeight w:val="284"/>
          <w:jc w:val="center"/>
        </w:trPr>
        <w:tc>
          <w:tcPr>
            <w:tcW w:w="876" w:type="dxa"/>
            <w:shd w:val="clear" w:color="auto" w:fill="BDD6EE" w:themeFill="accent1" w:themeFillTint="66"/>
            <w:vAlign w:val="center"/>
            <w:hideMark/>
          </w:tcPr>
          <w:p w14:paraId="695486A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6ABF43F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Ocupación y Empleo</w:t>
            </w:r>
          </w:p>
        </w:tc>
        <w:tc>
          <w:tcPr>
            <w:tcW w:w="1140" w:type="dxa"/>
            <w:shd w:val="clear" w:color="auto" w:fill="BDD6EE" w:themeFill="accent1" w:themeFillTint="66"/>
            <w:vAlign w:val="center"/>
            <w:hideMark/>
          </w:tcPr>
          <w:p w14:paraId="469FE9A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7FD43E2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C605F3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8328CB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764C1A7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60A15CD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972A0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D7CBD2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570914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027D211" w14:textId="77777777" w:rsidTr="007A584C">
        <w:trPr>
          <w:trHeight w:val="284"/>
          <w:jc w:val="center"/>
        </w:trPr>
        <w:tc>
          <w:tcPr>
            <w:tcW w:w="876" w:type="dxa"/>
            <w:shd w:val="clear" w:color="auto" w:fill="BDD6EE" w:themeFill="accent1" w:themeFillTint="66"/>
            <w:vAlign w:val="center"/>
            <w:hideMark/>
          </w:tcPr>
          <w:p w14:paraId="4011F9C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0CA830C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Ocupación y Empleo Nueva Edición</w:t>
            </w:r>
          </w:p>
        </w:tc>
        <w:tc>
          <w:tcPr>
            <w:tcW w:w="1140" w:type="dxa"/>
            <w:shd w:val="clear" w:color="auto" w:fill="BDD6EE" w:themeFill="accent1" w:themeFillTint="66"/>
            <w:vAlign w:val="center"/>
            <w:hideMark/>
          </w:tcPr>
          <w:p w14:paraId="2B64ABF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0271DB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7ABEBA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97BDD9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4FF038E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4DC4C4D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0C0902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665E6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E4AA1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118C9F4" w14:textId="77777777" w:rsidTr="007A584C">
        <w:trPr>
          <w:trHeight w:val="284"/>
          <w:jc w:val="center"/>
        </w:trPr>
        <w:tc>
          <w:tcPr>
            <w:tcW w:w="876" w:type="dxa"/>
            <w:shd w:val="clear" w:color="auto" w:fill="BDD6EE" w:themeFill="accent1" w:themeFillTint="66"/>
            <w:vAlign w:val="center"/>
            <w:hideMark/>
          </w:tcPr>
          <w:p w14:paraId="32B2A69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0AAD2B6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Uso de suelo y vegetación</w:t>
            </w:r>
          </w:p>
        </w:tc>
        <w:tc>
          <w:tcPr>
            <w:tcW w:w="1140" w:type="dxa"/>
            <w:shd w:val="clear" w:color="auto" w:fill="BDD6EE" w:themeFill="accent1" w:themeFillTint="66"/>
            <w:vAlign w:val="center"/>
            <w:hideMark/>
          </w:tcPr>
          <w:p w14:paraId="306795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10EA522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85D9D7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0A6EEA8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C26E52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5B32BD6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499BC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8DE02B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81B79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0E07E993" w14:textId="77777777" w:rsidTr="007A584C">
        <w:trPr>
          <w:trHeight w:val="284"/>
          <w:jc w:val="center"/>
        </w:trPr>
        <w:tc>
          <w:tcPr>
            <w:tcW w:w="876" w:type="dxa"/>
            <w:shd w:val="clear" w:color="auto" w:fill="BDD6EE" w:themeFill="accent1" w:themeFillTint="66"/>
            <w:vAlign w:val="center"/>
            <w:hideMark/>
          </w:tcPr>
          <w:p w14:paraId="1F086E2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2175D5A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Gobiernos Estatales</w:t>
            </w:r>
          </w:p>
        </w:tc>
        <w:tc>
          <w:tcPr>
            <w:tcW w:w="1140" w:type="dxa"/>
            <w:shd w:val="clear" w:color="auto" w:fill="BDD6EE" w:themeFill="accent1" w:themeFillTint="66"/>
            <w:vAlign w:val="center"/>
            <w:hideMark/>
          </w:tcPr>
          <w:p w14:paraId="4093716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7372DD5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18A2AA7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3372C9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5AE385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17B488C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3EFD0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223428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DBCC61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5C39382F" w14:textId="77777777" w:rsidTr="007A584C">
        <w:trPr>
          <w:trHeight w:val="284"/>
          <w:jc w:val="center"/>
        </w:trPr>
        <w:tc>
          <w:tcPr>
            <w:tcW w:w="876" w:type="dxa"/>
            <w:shd w:val="clear" w:color="auto" w:fill="BDD6EE" w:themeFill="accent1" w:themeFillTint="66"/>
            <w:vAlign w:val="center"/>
            <w:hideMark/>
          </w:tcPr>
          <w:p w14:paraId="60986CF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529A15C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Gobiernos Municipales y Demarcaciones Territoriales de la Ciudad de México</w:t>
            </w:r>
          </w:p>
        </w:tc>
        <w:tc>
          <w:tcPr>
            <w:tcW w:w="1140" w:type="dxa"/>
            <w:shd w:val="clear" w:color="auto" w:fill="BDD6EE" w:themeFill="accent1" w:themeFillTint="66"/>
            <w:vAlign w:val="center"/>
            <w:hideMark/>
          </w:tcPr>
          <w:p w14:paraId="7C42546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17ACB67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7E1560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AAE90C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15F5FA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1889FFB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122B6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BCB31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D3819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4711B16E" w14:textId="77777777" w:rsidTr="007A584C">
        <w:trPr>
          <w:trHeight w:val="284"/>
          <w:jc w:val="center"/>
        </w:trPr>
        <w:tc>
          <w:tcPr>
            <w:tcW w:w="876" w:type="dxa"/>
            <w:shd w:val="clear" w:color="auto" w:fill="BDD6EE" w:themeFill="accent1" w:themeFillTint="66"/>
            <w:vAlign w:val="center"/>
            <w:hideMark/>
          </w:tcPr>
          <w:p w14:paraId="1A2D523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57B879D9"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la Dinámica de las Relaciones en los Hogares</w:t>
            </w:r>
          </w:p>
        </w:tc>
        <w:tc>
          <w:tcPr>
            <w:tcW w:w="1140" w:type="dxa"/>
            <w:shd w:val="clear" w:color="auto" w:fill="BDD6EE" w:themeFill="accent1" w:themeFillTint="66"/>
            <w:vAlign w:val="center"/>
            <w:hideMark/>
          </w:tcPr>
          <w:p w14:paraId="5B2760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10B028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11E60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155A20D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3DAA859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51D3AF2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0F30E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7844D4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995E8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2EFB5D1C" w14:textId="77777777" w:rsidTr="007A584C">
        <w:trPr>
          <w:trHeight w:val="284"/>
          <w:jc w:val="center"/>
        </w:trPr>
        <w:tc>
          <w:tcPr>
            <w:tcW w:w="876" w:type="dxa"/>
            <w:shd w:val="clear" w:color="auto" w:fill="BDD6EE" w:themeFill="accent1" w:themeFillTint="66"/>
            <w:vAlign w:val="center"/>
            <w:hideMark/>
          </w:tcPr>
          <w:p w14:paraId="0CD0AD7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3C9A91C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Estadísticas de Defunciones Registradas</w:t>
            </w:r>
          </w:p>
        </w:tc>
        <w:tc>
          <w:tcPr>
            <w:tcW w:w="1140" w:type="dxa"/>
            <w:shd w:val="clear" w:color="auto" w:fill="BDD6EE" w:themeFill="accent1" w:themeFillTint="66"/>
            <w:vAlign w:val="center"/>
            <w:hideMark/>
          </w:tcPr>
          <w:p w14:paraId="10D775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4BC0E6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2D8129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4F20558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267D143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277CB64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66A96A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7221F64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BF206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06073E0B" w14:textId="77777777" w:rsidTr="007A584C">
        <w:trPr>
          <w:trHeight w:val="284"/>
          <w:jc w:val="center"/>
        </w:trPr>
        <w:tc>
          <w:tcPr>
            <w:tcW w:w="876" w:type="dxa"/>
            <w:shd w:val="clear" w:color="auto" w:fill="BDD6EE" w:themeFill="accent1" w:themeFillTint="66"/>
            <w:vAlign w:val="center"/>
            <w:hideMark/>
          </w:tcPr>
          <w:p w14:paraId="7C2FB9F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4DFDF47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Cuentas por Actividades Económicas</w:t>
            </w:r>
          </w:p>
        </w:tc>
        <w:tc>
          <w:tcPr>
            <w:tcW w:w="1140" w:type="dxa"/>
            <w:shd w:val="clear" w:color="auto" w:fill="BDD6EE" w:themeFill="accent1" w:themeFillTint="66"/>
            <w:vAlign w:val="center"/>
            <w:hideMark/>
          </w:tcPr>
          <w:p w14:paraId="2297B0C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065835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416C20D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C3453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2E7E25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3863FD6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EFCD65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4B6DE5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67C34E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75A0E15C" w14:textId="77777777" w:rsidTr="007A584C">
        <w:trPr>
          <w:trHeight w:val="284"/>
          <w:jc w:val="center"/>
        </w:trPr>
        <w:tc>
          <w:tcPr>
            <w:tcW w:w="876" w:type="dxa"/>
            <w:shd w:val="clear" w:color="auto" w:fill="BDD6EE" w:themeFill="accent1" w:themeFillTint="66"/>
            <w:vAlign w:val="center"/>
            <w:hideMark/>
          </w:tcPr>
          <w:p w14:paraId="5EE3EC9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68F7FFF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Cuentas por Sectores Institucionales</w:t>
            </w:r>
          </w:p>
        </w:tc>
        <w:tc>
          <w:tcPr>
            <w:tcW w:w="1140" w:type="dxa"/>
            <w:shd w:val="clear" w:color="auto" w:fill="BDD6EE" w:themeFill="accent1" w:themeFillTint="66"/>
            <w:vAlign w:val="center"/>
            <w:hideMark/>
          </w:tcPr>
          <w:p w14:paraId="0D24BAB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51CF4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2DAA9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299470A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3EB2861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61CF0ED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F7A7E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94611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02BA68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7F527373" w14:textId="77777777" w:rsidTr="007A584C">
        <w:trPr>
          <w:trHeight w:val="284"/>
          <w:jc w:val="center"/>
        </w:trPr>
        <w:tc>
          <w:tcPr>
            <w:tcW w:w="876" w:type="dxa"/>
            <w:shd w:val="clear" w:color="auto" w:fill="BDD6EE" w:themeFill="accent1" w:themeFillTint="66"/>
            <w:vAlign w:val="center"/>
            <w:hideMark/>
          </w:tcPr>
          <w:p w14:paraId="37F26F79"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6AAB41E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Cuentas temáticas</w:t>
            </w:r>
          </w:p>
        </w:tc>
        <w:tc>
          <w:tcPr>
            <w:tcW w:w="1140" w:type="dxa"/>
            <w:shd w:val="clear" w:color="auto" w:fill="BDD6EE" w:themeFill="accent1" w:themeFillTint="66"/>
            <w:vAlign w:val="center"/>
            <w:hideMark/>
          </w:tcPr>
          <w:p w14:paraId="470C500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E66E1D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BF342B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0E5303C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21C4C3F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149E5F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AC6695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8C50D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AA38C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427CE621" w14:textId="77777777" w:rsidTr="007A584C">
        <w:trPr>
          <w:trHeight w:val="284"/>
          <w:jc w:val="center"/>
        </w:trPr>
        <w:tc>
          <w:tcPr>
            <w:tcW w:w="876" w:type="dxa"/>
            <w:shd w:val="clear" w:color="auto" w:fill="BDD6EE" w:themeFill="accent1" w:themeFillTint="66"/>
            <w:vAlign w:val="center"/>
            <w:hideMark/>
          </w:tcPr>
          <w:p w14:paraId="1923F84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13F81B5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Calidad e Impacto Gubernamental</w:t>
            </w:r>
          </w:p>
        </w:tc>
        <w:tc>
          <w:tcPr>
            <w:tcW w:w="1140" w:type="dxa"/>
            <w:shd w:val="clear" w:color="auto" w:fill="BDD6EE" w:themeFill="accent1" w:themeFillTint="66"/>
            <w:vAlign w:val="center"/>
            <w:hideMark/>
          </w:tcPr>
          <w:p w14:paraId="303E0C9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775958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4F56CD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65DABC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3292ECA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498E48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2930F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0EBA994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7960CF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43895C04" w14:textId="77777777" w:rsidTr="007A584C">
        <w:trPr>
          <w:trHeight w:val="284"/>
          <w:jc w:val="center"/>
        </w:trPr>
        <w:tc>
          <w:tcPr>
            <w:tcW w:w="876" w:type="dxa"/>
            <w:shd w:val="clear" w:color="auto" w:fill="BDD6EE" w:themeFill="accent1" w:themeFillTint="66"/>
            <w:vAlign w:val="center"/>
            <w:hideMark/>
          </w:tcPr>
          <w:p w14:paraId="4C955DD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193F24B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Victimización y Percepción sobre Seguridad Pública</w:t>
            </w:r>
          </w:p>
        </w:tc>
        <w:tc>
          <w:tcPr>
            <w:tcW w:w="1140" w:type="dxa"/>
            <w:shd w:val="clear" w:color="auto" w:fill="BDD6EE" w:themeFill="accent1" w:themeFillTint="66"/>
            <w:vAlign w:val="center"/>
            <w:hideMark/>
          </w:tcPr>
          <w:p w14:paraId="266FEE6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2F1A87B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27D45E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1941EB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10E9964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6C3771A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60F9BD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FDA32F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0E104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77DE6469" w14:textId="77777777" w:rsidTr="007A584C">
        <w:trPr>
          <w:trHeight w:val="284"/>
          <w:jc w:val="center"/>
        </w:trPr>
        <w:tc>
          <w:tcPr>
            <w:tcW w:w="876" w:type="dxa"/>
            <w:shd w:val="clear" w:color="auto" w:fill="BDD6EE" w:themeFill="accent1" w:themeFillTint="66"/>
            <w:vAlign w:val="center"/>
            <w:hideMark/>
          </w:tcPr>
          <w:p w14:paraId="079BD3D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001A45B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Índice Nacional de Precios al Consumidor</w:t>
            </w:r>
          </w:p>
        </w:tc>
        <w:tc>
          <w:tcPr>
            <w:tcW w:w="1140" w:type="dxa"/>
            <w:shd w:val="clear" w:color="auto" w:fill="BDD6EE" w:themeFill="accent1" w:themeFillTint="66"/>
            <w:vAlign w:val="center"/>
            <w:hideMark/>
          </w:tcPr>
          <w:p w14:paraId="0AF0F47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8E0410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2E2C1ED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DA84FE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6D0E78C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5F3B7F8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0897F17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816A4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7AB76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F5299A0" w14:textId="77777777" w:rsidTr="007A584C">
        <w:trPr>
          <w:trHeight w:val="284"/>
          <w:jc w:val="center"/>
        </w:trPr>
        <w:tc>
          <w:tcPr>
            <w:tcW w:w="876" w:type="dxa"/>
            <w:shd w:val="clear" w:color="auto" w:fill="BDD6EE" w:themeFill="accent1" w:themeFillTint="66"/>
            <w:vAlign w:val="center"/>
            <w:hideMark/>
          </w:tcPr>
          <w:p w14:paraId="29BF0D5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216FFD4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comercio</w:t>
            </w:r>
          </w:p>
        </w:tc>
        <w:tc>
          <w:tcPr>
            <w:tcW w:w="1140" w:type="dxa"/>
            <w:shd w:val="clear" w:color="auto" w:fill="BDD6EE" w:themeFill="accent1" w:themeFillTint="66"/>
            <w:vAlign w:val="center"/>
            <w:hideMark/>
          </w:tcPr>
          <w:p w14:paraId="60536BF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7B62F7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1EAF1FC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3F63D68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74292DA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6AC9B6E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77BE97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7B8FA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E7CA85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4A2DD75C" w14:textId="77777777" w:rsidTr="007A584C">
        <w:trPr>
          <w:trHeight w:val="284"/>
          <w:jc w:val="center"/>
        </w:trPr>
        <w:tc>
          <w:tcPr>
            <w:tcW w:w="876" w:type="dxa"/>
            <w:shd w:val="clear" w:color="auto" w:fill="BDD6EE" w:themeFill="accent1" w:themeFillTint="66"/>
            <w:vAlign w:val="center"/>
            <w:hideMark/>
          </w:tcPr>
          <w:p w14:paraId="0EDC535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3574E2C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Estadísticas de Defunciones Fetales</w:t>
            </w:r>
          </w:p>
        </w:tc>
        <w:tc>
          <w:tcPr>
            <w:tcW w:w="1140" w:type="dxa"/>
            <w:shd w:val="clear" w:color="auto" w:fill="BDD6EE" w:themeFill="accent1" w:themeFillTint="66"/>
            <w:vAlign w:val="center"/>
            <w:hideMark/>
          </w:tcPr>
          <w:p w14:paraId="602CC76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0EAB5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374E3FB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4FEEFDB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1E880B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6436CBE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538C43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DCB67E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F5D525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721695A6" w14:textId="77777777" w:rsidTr="007A584C">
        <w:trPr>
          <w:trHeight w:val="284"/>
          <w:jc w:val="center"/>
        </w:trPr>
        <w:tc>
          <w:tcPr>
            <w:tcW w:w="876" w:type="dxa"/>
            <w:shd w:val="clear" w:color="auto" w:fill="BDD6EE" w:themeFill="accent1" w:themeFillTint="66"/>
            <w:vAlign w:val="center"/>
            <w:hideMark/>
          </w:tcPr>
          <w:p w14:paraId="5BABBDE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66A082A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Red Nacional de Caminos</w:t>
            </w:r>
          </w:p>
        </w:tc>
        <w:tc>
          <w:tcPr>
            <w:tcW w:w="1140" w:type="dxa"/>
            <w:shd w:val="clear" w:color="auto" w:fill="BDD6EE" w:themeFill="accent1" w:themeFillTint="66"/>
            <w:vAlign w:val="center"/>
            <w:hideMark/>
          </w:tcPr>
          <w:p w14:paraId="36C1550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1E7B9E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21D363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459EFE8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7F964C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43EF154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461077A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0CAE4E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2BB9A2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3D1296D" w14:textId="77777777" w:rsidTr="007A584C">
        <w:trPr>
          <w:trHeight w:val="284"/>
          <w:jc w:val="center"/>
        </w:trPr>
        <w:tc>
          <w:tcPr>
            <w:tcW w:w="876" w:type="dxa"/>
            <w:shd w:val="clear" w:color="auto" w:fill="BDD6EE" w:themeFill="accent1" w:themeFillTint="66"/>
            <w:vAlign w:val="center"/>
            <w:hideMark/>
          </w:tcPr>
          <w:p w14:paraId="6777FCD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012AEB0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Trabajo Infantil</w:t>
            </w:r>
          </w:p>
        </w:tc>
        <w:tc>
          <w:tcPr>
            <w:tcW w:w="1140" w:type="dxa"/>
            <w:shd w:val="clear" w:color="auto" w:fill="BDD6EE" w:themeFill="accent1" w:themeFillTint="66"/>
            <w:vAlign w:val="center"/>
            <w:hideMark/>
          </w:tcPr>
          <w:p w14:paraId="6686D3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D6976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3206489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361B6E5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556412B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7B2F93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6B297B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16DB12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8327C2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11735537" w14:textId="77777777" w:rsidTr="007A584C">
        <w:trPr>
          <w:trHeight w:val="284"/>
          <w:jc w:val="center"/>
        </w:trPr>
        <w:tc>
          <w:tcPr>
            <w:tcW w:w="876" w:type="dxa"/>
            <w:shd w:val="clear" w:color="auto" w:fill="BDD6EE" w:themeFill="accent1" w:themeFillTint="66"/>
            <w:vAlign w:val="center"/>
            <w:hideMark/>
          </w:tcPr>
          <w:p w14:paraId="2A2F04D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lastRenderedPageBreak/>
              <w:t>DGEE</w:t>
            </w:r>
          </w:p>
        </w:tc>
        <w:tc>
          <w:tcPr>
            <w:tcW w:w="3936" w:type="dxa"/>
            <w:shd w:val="clear" w:color="auto" w:fill="BDD6EE" w:themeFill="accent1" w:themeFillTint="66"/>
            <w:vAlign w:val="center"/>
            <w:hideMark/>
          </w:tcPr>
          <w:p w14:paraId="68D9F94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Agropecuario</w:t>
            </w:r>
          </w:p>
        </w:tc>
        <w:tc>
          <w:tcPr>
            <w:tcW w:w="1140" w:type="dxa"/>
            <w:shd w:val="clear" w:color="auto" w:fill="BDD6EE" w:themeFill="accent1" w:themeFillTint="66"/>
            <w:vAlign w:val="center"/>
            <w:hideMark/>
          </w:tcPr>
          <w:p w14:paraId="0D3C3F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B5EF7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654E11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EFDC4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685AE7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025EEAA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E5D48C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BBE165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66D12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6F2CCA5E" w14:textId="77777777" w:rsidTr="007A584C">
        <w:trPr>
          <w:trHeight w:val="284"/>
          <w:jc w:val="center"/>
        </w:trPr>
        <w:tc>
          <w:tcPr>
            <w:tcW w:w="876" w:type="dxa"/>
            <w:shd w:val="clear" w:color="auto" w:fill="BDD6EE" w:themeFill="accent1" w:themeFillTint="66"/>
            <w:vAlign w:val="center"/>
            <w:hideMark/>
          </w:tcPr>
          <w:p w14:paraId="1098DFF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53D40CE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Estadísticas de Comercio Internacional de Servicios y Digitalización</w:t>
            </w:r>
          </w:p>
        </w:tc>
        <w:tc>
          <w:tcPr>
            <w:tcW w:w="1140" w:type="dxa"/>
            <w:shd w:val="clear" w:color="auto" w:fill="BDD6EE" w:themeFill="accent1" w:themeFillTint="66"/>
            <w:vAlign w:val="center"/>
            <w:hideMark/>
          </w:tcPr>
          <w:p w14:paraId="08FFA00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1AC24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3FCA1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1DD1C2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131EC17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DF1222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46B86B9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C05556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3A940E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7586FB10" w14:textId="77777777" w:rsidTr="007A584C">
        <w:trPr>
          <w:trHeight w:val="284"/>
          <w:jc w:val="center"/>
        </w:trPr>
        <w:tc>
          <w:tcPr>
            <w:tcW w:w="876" w:type="dxa"/>
            <w:shd w:val="clear" w:color="auto" w:fill="BDD6EE" w:themeFill="accent1" w:themeFillTint="66"/>
            <w:vAlign w:val="center"/>
            <w:hideMark/>
          </w:tcPr>
          <w:p w14:paraId="245C652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07A2078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Victimización de Empresas</w:t>
            </w:r>
          </w:p>
        </w:tc>
        <w:tc>
          <w:tcPr>
            <w:tcW w:w="1140" w:type="dxa"/>
            <w:shd w:val="clear" w:color="auto" w:fill="BDD6EE" w:themeFill="accent1" w:themeFillTint="66"/>
            <w:vAlign w:val="center"/>
            <w:hideMark/>
          </w:tcPr>
          <w:p w14:paraId="6E08796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56261B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EF3B7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6E647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3B526E4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645DF6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3D31D1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50F379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3D5A0C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25454DF4" w14:textId="77777777" w:rsidTr="007A584C">
        <w:trPr>
          <w:trHeight w:val="284"/>
          <w:jc w:val="center"/>
        </w:trPr>
        <w:tc>
          <w:tcPr>
            <w:tcW w:w="876" w:type="dxa"/>
            <w:shd w:val="clear" w:color="auto" w:fill="BDD6EE" w:themeFill="accent1" w:themeFillTint="66"/>
            <w:vAlign w:val="center"/>
            <w:hideMark/>
          </w:tcPr>
          <w:p w14:paraId="565A9B2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6CFF419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Impartición de Justicia Estatal</w:t>
            </w:r>
          </w:p>
        </w:tc>
        <w:tc>
          <w:tcPr>
            <w:tcW w:w="1140" w:type="dxa"/>
            <w:shd w:val="clear" w:color="auto" w:fill="BDD6EE" w:themeFill="accent1" w:themeFillTint="66"/>
            <w:vAlign w:val="center"/>
            <w:hideMark/>
          </w:tcPr>
          <w:p w14:paraId="17844BE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9615F3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378DDF6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58C11F6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03DEA53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0F74C69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DF3244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3C3DC6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BEB847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56E6AA2E" w14:textId="77777777" w:rsidTr="007A584C">
        <w:trPr>
          <w:trHeight w:val="284"/>
          <w:jc w:val="center"/>
        </w:trPr>
        <w:tc>
          <w:tcPr>
            <w:tcW w:w="876" w:type="dxa"/>
            <w:shd w:val="clear" w:color="auto" w:fill="BDD6EE" w:themeFill="accent1" w:themeFillTint="66"/>
            <w:vAlign w:val="center"/>
            <w:hideMark/>
          </w:tcPr>
          <w:p w14:paraId="6ECC4E1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2EDDFC3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Procuración de Justicia Estatal</w:t>
            </w:r>
          </w:p>
        </w:tc>
        <w:tc>
          <w:tcPr>
            <w:tcW w:w="1140" w:type="dxa"/>
            <w:shd w:val="clear" w:color="auto" w:fill="BDD6EE" w:themeFill="accent1" w:themeFillTint="66"/>
            <w:vAlign w:val="center"/>
            <w:hideMark/>
          </w:tcPr>
          <w:p w14:paraId="152194B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451DB1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134EA8D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BB035B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420A9A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2BDA0B5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6F1088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7E1F92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320A85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183014A5" w14:textId="77777777" w:rsidTr="007A584C">
        <w:trPr>
          <w:trHeight w:val="284"/>
          <w:jc w:val="center"/>
        </w:trPr>
        <w:tc>
          <w:tcPr>
            <w:tcW w:w="876" w:type="dxa"/>
            <w:shd w:val="clear" w:color="auto" w:fill="BDD6EE" w:themeFill="accent1" w:themeFillTint="66"/>
            <w:vAlign w:val="center"/>
            <w:hideMark/>
          </w:tcPr>
          <w:p w14:paraId="6A1B96B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3F724C9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Sistemas Penitenciarios Estatales</w:t>
            </w:r>
          </w:p>
        </w:tc>
        <w:tc>
          <w:tcPr>
            <w:tcW w:w="1140" w:type="dxa"/>
            <w:shd w:val="clear" w:color="auto" w:fill="BDD6EE" w:themeFill="accent1" w:themeFillTint="66"/>
            <w:vAlign w:val="center"/>
            <w:hideMark/>
          </w:tcPr>
          <w:p w14:paraId="1EF2043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598A25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B9A020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2E4CDFD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63453B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307D2D3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D3C494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1CD33E3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F07C5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780E7B2F" w14:textId="77777777" w:rsidTr="007A584C">
        <w:trPr>
          <w:trHeight w:val="284"/>
          <w:jc w:val="center"/>
        </w:trPr>
        <w:tc>
          <w:tcPr>
            <w:tcW w:w="876" w:type="dxa"/>
            <w:shd w:val="clear" w:color="auto" w:fill="BDD6EE" w:themeFill="accent1" w:themeFillTint="66"/>
            <w:vAlign w:val="center"/>
            <w:hideMark/>
          </w:tcPr>
          <w:p w14:paraId="0794B55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6EFCA0D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empresas constructoras</w:t>
            </w:r>
          </w:p>
        </w:tc>
        <w:tc>
          <w:tcPr>
            <w:tcW w:w="1140" w:type="dxa"/>
            <w:shd w:val="clear" w:color="auto" w:fill="BDD6EE" w:themeFill="accent1" w:themeFillTint="66"/>
            <w:vAlign w:val="center"/>
            <w:hideMark/>
          </w:tcPr>
          <w:p w14:paraId="6CB25B3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1161955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67A9D32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7917A9F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1BE00D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7D7F07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D5C485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85073B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17532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5F53C959" w14:textId="77777777" w:rsidTr="007A584C">
        <w:trPr>
          <w:trHeight w:val="284"/>
          <w:jc w:val="center"/>
        </w:trPr>
        <w:tc>
          <w:tcPr>
            <w:tcW w:w="876" w:type="dxa"/>
            <w:shd w:val="clear" w:color="auto" w:fill="BDD6EE" w:themeFill="accent1" w:themeFillTint="66"/>
            <w:vAlign w:val="center"/>
            <w:hideMark/>
          </w:tcPr>
          <w:p w14:paraId="5E989F1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201B966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industrias manufactureras</w:t>
            </w:r>
          </w:p>
        </w:tc>
        <w:tc>
          <w:tcPr>
            <w:tcW w:w="1140" w:type="dxa"/>
            <w:shd w:val="clear" w:color="auto" w:fill="BDD6EE" w:themeFill="accent1" w:themeFillTint="66"/>
            <w:vAlign w:val="center"/>
            <w:hideMark/>
          </w:tcPr>
          <w:p w14:paraId="5D6613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2FFF9D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7C4590B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3CDADB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48D712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513C0B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77F645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D39D0F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E12B91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10BC464D" w14:textId="77777777" w:rsidTr="007A584C">
        <w:trPr>
          <w:trHeight w:val="284"/>
          <w:jc w:val="center"/>
        </w:trPr>
        <w:tc>
          <w:tcPr>
            <w:tcW w:w="876" w:type="dxa"/>
            <w:shd w:val="clear" w:color="auto" w:fill="BDD6EE" w:themeFill="accent1" w:themeFillTint="66"/>
            <w:vAlign w:val="center"/>
            <w:hideMark/>
          </w:tcPr>
          <w:p w14:paraId="2C60507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05FAFB9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Índice Nacional de Precios Productor</w:t>
            </w:r>
          </w:p>
        </w:tc>
        <w:tc>
          <w:tcPr>
            <w:tcW w:w="1140" w:type="dxa"/>
            <w:shd w:val="clear" w:color="auto" w:fill="BDD6EE" w:themeFill="accent1" w:themeFillTint="66"/>
            <w:vAlign w:val="center"/>
            <w:hideMark/>
          </w:tcPr>
          <w:p w14:paraId="089258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715EAF4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5876A5E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5AC8A0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DCC11A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78CD67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7B1863B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1B5FF9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E1AAF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48E57B8E" w14:textId="77777777" w:rsidTr="007A584C">
        <w:trPr>
          <w:trHeight w:val="284"/>
          <w:jc w:val="center"/>
        </w:trPr>
        <w:tc>
          <w:tcPr>
            <w:tcW w:w="876" w:type="dxa"/>
            <w:shd w:val="clear" w:color="auto" w:fill="BDD6EE" w:themeFill="accent1" w:themeFillTint="66"/>
            <w:vAlign w:val="center"/>
            <w:hideMark/>
          </w:tcPr>
          <w:p w14:paraId="21E1A0F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67E8BE8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Censo Nacional de Seguridad Pública Estatal </w:t>
            </w:r>
          </w:p>
        </w:tc>
        <w:tc>
          <w:tcPr>
            <w:tcW w:w="1140" w:type="dxa"/>
            <w:shd w:val="clear" w:color="auto" w:fill="BDD6EE" w:themeFill="accent1" w:themeFillTint="66"/>
            <w:vAlign w:val="center"/>
            <w:hideMark/>
          </w:tcPr>
          <w:p w14:paraId="66E3287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339490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6576C4E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86D8B9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D9020D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5D49299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ACDF40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A18814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92419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64C17885" w14:textId="77777777" w:rsidTr="007A584C">
        <w:trPr>
          <w:trHeight w:val="284"/>
          <w:jc w:val="center"/>
        </w:trPr>
        <w:tc>
          <w:tcPr>
            <w:tcW w:w="876" w:type="dxa"/>
            <w:shd w:val="clear" w:color="auto" w:fill="BDD6EE" w:themeFill="accent1" w:themeFillTint="66"/>
            <w:vAlign w:val="center"/>
            <w:hideMark/>
          </w:tcPr>
          <w:p w14:paraId="26C1CBA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73ADBF8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servicios y transportes</w:t>
            </w:r>
          </w:p>
        </w:tc>
        <w:tc>
          <w:tcPr>
            <w:tcW w:w="1140" w:type="dxa"/>
            <w:shd w:val="clear" w:color="auto" w:fill="BDD6EE" w:themeFill="accent1" w:themeFillTint="66"/>
            <w:vAlign w:val="center"/>
            <w:hideMark/>
          </w:tcPr>
          <w:p w14:paraId="6B9A327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158E68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13585B0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FA885A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F1CA3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48A9D5D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67D783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678B6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FFF6B3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4745CC3" w14:textId="77777777" w:rsidTr="007A584C">
        <w:trPr>
          <w:trHeight w:val="284"/>
          <w:jc w:val="center"/>
        </w:trPr>
        <w:tc>
          <w:tcPr>
            <w:tcW w:w="876" w:type="dxa"/>
            <w:shd w:val="clear" w:color="auto" w:fill="BDD6EE" w:themeFill="accent1" w:themeFillTint="66"/>
            <w:vAlign w:val="center"/>
            <w:hideMark/>
          </w:tcPr>
          <w:p w14:paraId="6D39681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4E5B627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Topografía</w:t>
            </w:r>
          </w:p>
        </w:tc>
        <w:tc>
          <w:tcPr>
            <w:tcW w:w="1140" w:type="dxa"/>
            <w:shd w:val="clear" w:color="auto" w:fill="BDD6EE" w:themeFill="accent1" w:themeFillTint="66"/>
            <w:vAlign w:val="center"/>
            <w:hideMark/>
          </w:tcPr>
          <w:p w14:paraId="22DE6CB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9FC91E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7975147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B9F0E1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FED7C8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4CF028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4A124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4F4B2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A748DE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F63CBCD" w14:textId="77777777" w:rsidTr="007A584C">
        <w:trPr>
          <w:trHeight w:val="284"/>
          <w:jc w:val="center"/>
        </w:trPr>
        <w:tc>
          <w:tcPr>
            <w:tcW w:w="876" w:type="dxa"/>
            <w:shd w:val="clear" w:color="auto" w:fill="BDD6EE" w:themeFill="accent1" w:themeFillTint="66"/>
            <w:vAlign w:val="center"/>
            <w:hideMark/>
          </w:tcPr>
          <w:p w14:paraId="6F17851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745ADFC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opinión empresarial</w:t>
            </w:r>
          </w:p>
        </w:tc>
        <w:tc>
          <w:tcPr>
            <w:tcW w:w="1140" w:type="dxa"/>
            <w:shd w:val="clear" w:color="auto" w:fill="BDD6EE" w:themeFill="accent1" w:themeFillTint="66"/>
            <w:vAlign w:val="center"/>
            <w:hideMark/>
          </w:tcPr>
          <w:p w14:paraId="5D470C1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09A796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7D45F65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hideMark/>
          </w:tcPr>
          <w:p w14:paraId="0008E7F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70B6A4C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9DD12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21142D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E11291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361F0E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5CBB4ADA" w14:textId="77777777" w:rsidTr="007A584C">
        <w:trPr>
          <w:trHeight w:val="284"/>
          <w:jc w:val="center"/>
        </w:trPr>
        <w:tc>
          <w:tcPr>
            <w:tcW w:w="876" w:type="dxa"/>
            <w:shd w:val="clear" w:color="auto" w:fill="BDD6EE" w:themeFill="accent1" w:themeFillTint="66"/>
            <w:vAlign w:val="center"/>
            <w:hideMark/>
          </w:tcPr>
          <w:p w14:paraId="228E30F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43F8739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Mapa Topográfico</w:t>
            </w:r>
          </w:p>
        </w:tc>
        <w:tc>
          <w:tcPr>
            <w:tcW w:w="1140" w:type="dxa"/>
            <w:shd w:val="clear" w:color="auto" w:fill="BDD6EE" w:themeFill="accent1" w:themeFillTint="66"/>
            <w:vAlign w:val="center"/>
            <w:hideMark/>
          </w:tcPr>
          <w:p w14:paraId="2D77C3E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66A3FA9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3BD071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6A314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7955B65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6840BA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16339F1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56A7B5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10B61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5993AF7D" w14:textId="77777777" w:rsidTr="007A584C">
        <w:trPr>
          <w:trHeight w:val="284"/>
          <w:jc w:val="center"/>
        </w:trPr>
        <w:tc>
          <w:tcPr>
            <w:tcW w:w="876" w:type="dxa"/>
            <w:shd w:val="clear" w:color="auto" w:fill="BDD6EE" w:themeFill="accent1" w:themeFillTint="66"/>
            <w:vAlign w:val="center"/>
            <w:hideMark/>
          </w:tcPr>
          <w:p w14:paraId="1833778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097CF97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Marco de referencia geodésico</w:t>
            </w:r>
          </w:p>
        </w:tc>
        <w:tc>
          <w:tcPr>
            <w:tcW w:w="1140" w:type="dxa"/>
            <w:shd w:val="clear" w:color="auto" w:fill="BDD6EE" w:themeFill="accent1" w:themeFillTint="66"/>
            <w:vAlign w:val="center"/>
            <w:hideMark/>
          </w:tcPr>
          <w:p w14:paraId="1A7C17E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25AD336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099213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0D9C73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46118A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9EC0E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5FFDE0B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9A2C2F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41D78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EC4B515" w14:textId="77777777" w:rsidTr="007A584C">
        <w:trPr>
          <w:trHeight w:val="284"/>
          <w:jc w:val="center"/>
        </w:trPr>
        <w:tc>
          <w:tcPr>
            <w:tcW w:w="876" w:type="dxa"/>
            <w:shd w:val="clear" w:color="auto" w:fill="BDD6EE" w:themeFill="accent1" w:themeFillTint="66"/>
            <w:vAlign w:val="center"/>
            <w:hideMark/>
          </w:tcPr>
          <w:p w14:paraId="11C038A9"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164A749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Registro Estadístico de Negocios de México</w:t>
            </w:r>
          </w:p>
        </w:tc>
        <w:tc>
          <w:tcPr>
            <w:tcW w:w="1140" w:type="dxa"/>
            <w:shd w:val="clear" w:color="auto" w:fill="BDD6EE" w:themeFill="accent1" w:themeFillTint="66"/>
            <w:vAlign w:val="center"/>
            <w:hideMark/>
          </w:tcPr>
          <w:p w14:paraId="4167FD2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D68A14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41FF28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4CB74C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C4B585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318828D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F92AA6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89FE80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995B16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28C6DF1C" w14:textId="77777777" w:rsidTr="007A584C">
        <w:trPr>
          <w:trHeight w:val="284"/>
          <w:jc w:val="center"/>
        </w:trPr>
        <w:tc>
          <w:tcPr>
            <w:tcW w:w="876" w:type="dxa"/>
            <w:shd w:val="clear" w:color="auto" w:fill="BDD6EE" w:themeFill="accent1" w:themeFillTint="66"/>
            <w:vAlign w:val="center"/>
            <w:hideMark/>
          </w:tcPr>
          <w:p w14:paraId="1B63C49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5D79A62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Encuestas de Viajeros Internacionales</w:t>
            </w:r>
          </w:p>
        </w:tc>
        <w:tc>
          <w:tcPr>
            <w:tcW w:w="1140" w:type="dxa"/>
            <w:shd w:val="clear" w:color="auto" w:fill="BDD6EE" w:themeFill="accent1" w:themeFillTint="66"/>
            <w:vAlign w:val="center"/>
            <w:hideMark/>
          </w:tcPr>
          <w:p w14:paraId="1EE8031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83" w:type="dxa"/>
            <w:shd w:val="clear" w:color="auto" w:fill="DEEAF6" w:themeFill="accent1" w:themeFillTint="33"/>
            <w:vAlign w:val="center"/>
            <w:hideMark/>
          </w:tcPr>
          <w:p w14:paraId="45CAF9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16C2FDF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5195A3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74BF9C7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75E226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7FD96ED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37E5D5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1D08D3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24AC694" w14:textId="77777777" w:rsidTr="007A584C">
        <w:trPr>
          <w:trHeight w:val="284"/>
          <w:jc w:val="center"/>
        </w:trPr>
        <w:tc>
          <w:tcPr>
            <w:tcW w:w="876" w:type="dxa"/>
            <w:shd w:val="clear" w:color="auto" w:fill="DEEAF6" w:themeFill="accent1" w:themeFillTint="33"/>
            <w:vAlign w:val="center"/>
            <w:hideMark/>
          </w:tcPr>
          <w:p w14:paraId="706A045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DEEAF6" w:themeFill="accent1" w:themeFillTint="33"/>
            <w:vAlign w:val="center"/>
            <w:hideMark/>
          </w:tcPr>
          <w:p w14:paraId="2E368A2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Marco geoestadístico</w:t>
            </w:r>
          </w:p>
        </w:tc>
        <w:tc>
          <w:tcPr>
            <w:tcW w:w="1140" w:type="dxa"/>
            <w:shd w:val="clear" w:color="auto" w:fill="DEEAF6" w:themeFill="accent1" w:themeFillTint="33"/>
            <w:vAlign w:val="center"/>
            <w:hideMark/>
          </w:tcPr>
          <w:p w14:paraId="7D5DD0C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31E61D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0F9D4EE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20E8B1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19FA2D6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2DAC0A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C2DF4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A138B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AD96D8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141EE6DD" w14:textId="77777777" w:rsidTr="007A584C">
        <w:trPr>
          <w:trHeight w:val="284"/>
          <w:jc w:val="center"/>
        </w:trPr>
        <w:tc>
          <w:tcPr>
            <w:tcW w:w="876" w:type="dxa"/>
            <w:shd w:val="clear" w:color="auto" w:fill="DEEAF6" w:themeFill="accent1" w:themeFillTint="33"/>
            <w:vAlign w:val="center"/>
            <w:hideMark/>
          </w:tcPr>
          <w:p w14:paraId="79B0F80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DEEAF6" w:themeFill="accent1" w:themeFillTint="33"/>
            <w:vAlign w:val="center"/>
            <w:hideMark/>
          </w:tcPr>
          <w:p w14:paraId="152708D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Impartición de Justicia Federal</w:t>
            </w:r>
          </w:p>
        </w:tc>
        <w:tc>
          <w:tcPr>
            <w:tcW w:w="1140" w:type="dxa"/>
            <w:shd w:val="clear" w:color="auto" w:fill="DEEAF6" w:themeFill="accent1" w:themeFillTint="33"/>
            <w:vAlign w:val="center"/>
            <w:hideMark/>
          </w:tcPr>
          <w:p w14:paraId="158B0F3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2D3E5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6625EE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584826E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6309A81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04814B7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F393CB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01DC326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787143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7211CF73" w14:textId="77777777" w:rsidTr="007A584C">
        <w:trPr>
          <w:trHeight w:val="284"/>
          <w:jc w:val="center"/>
        </w:trPr>
        <w:tc>
          <w:tcPr>
            <w:tcW w:w="876" w:type="dxa"/>
            <w:shd w:val="clear" w:color="auto" w:fill="DEEAF6" w:themeFill="accent1" w:themeFillTint="33"/>
            <w:vAlign w:val="center"/>
            <w:hideMark/>
          </w:tcPr>
          <w:p w14:paraId="008B59E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7D05579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Paridades de Poder de Compra</w:t>
            </w:r>
          </w:p>
        </w:tc>
        <w:tc>
          <w:tcPr>
            <w:tcW w:w="1140" w:type="dxa"/>
            <w:shd w:val="clear" w:color="auto" w:fill="DEEAF6" w:themeFill="accent1" w:themeFillTint="33"/>
            <w:vAlign w:val="center"/>
            <w:hideMark/>
          </w:tcPr>
          <w:p w14:paraId="50FE708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C2F0E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307" w:type="dxa"/>
            <w:shd w:val="clear" w:color="auto" w:fill="BDD6EE" w:themeFill="accent1" w:themeFillTint="66"/>
            <w:vAlign w:val="center"/>
            <w:hideMark/>
          </w:tcPr>
          <w:p w14:paraId="4440DF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07BA8AE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1A6ED5A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907EB9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2FE6045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640E9C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3543F6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3477911B" w14:textId="77777777" w:rsidTr="007A584C">
        <w:trPr>
          <w:trHeight w:val="284"/>
          <w:jc w:val="center"/>
        </w:trPr>
        <w:tc>
          <w:tcPr>
            <w:tcW w:w="876" w:type="dxa"/>
            <w:shd w:val="clear" w:color="auto" w:fill="BDD6EE" w:themeFill="accent1" w:themeFillTint="66"/>
            <w:vAlign w:val="center"/>
            <w:hideMark/>
          </w:tcPr>
          <w:p w14:paraId="305057F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154BEC9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Disponibilidad y Uso de Tecnologías de la Información en los Hogares</w:t>
            </w:r>
          </w:p>
        </w:tc>
        <w:tc>
          <w:tcPr>
            <w:tcW w:w="1140" w:type="dxa"/>
            <w:shd w:val="clear" w:color="auto" w:fill="BDD6EE" w:themeFill="accent1" w:themeFillTint="66"/>
            <w:vAlign w:val="center"/>
            <w:hideMark/>
          </w:tcPr>
          <w:p w14:paraId="1CBF02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66D0504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60A3A05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004ACB1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505E5F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4F7C5D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11FD2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6CE43E7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B3CBEF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087E7029" w14:textId="77777777" w:rsidTr="007A584C">
        <w:trPr>
          <w:trHeight w:val="284"/>
          <w:jc w:val="center"/>
        </w:trPr>
        <w:tc>
          <w:tcPr>
            <w:tcW w:w="876" w:type="dxa"/>
            <w:shd w:val="clear" w:color="auto" w:fill="BDD6EE" w:themeFill="accent1" w:themeFillTint="66"/>
            <w:vAlign w:val="center"/>
            <w:hideMark/>
          </w:tcPr>
          <w:p w14:paraId="6A067E3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1623FF49"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Uso del Tiempo</w:t>
            </w:r>
          </w:p>
        </w:tc>
        <w:tc>
          <w:tcPr>
            <w:tcW w:w="1140" w:type="dxa"/>
            <w:shd w:val="clear" w:color="auto" w:fill="BDD6EE" w:themeFill="accent1" w:themeFillTint="66"/>
            <w:vAlign w:val="center"/>
            <w:hideMark/>
          </w:tcPr>
          <w:p w14:paraId="7E0553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D50417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7AED26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6ED271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0301BA5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7456170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5BE8B0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19E8D63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46F2F8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33943C81" w14:textId="77777777" w:rsidTr="007A584C">
        <w:trPr>
          <w:trHeight w:val="284"/>
          <w:jc w:val="center"/>
        </w:trPr>
        <w:tc>
          <w:tcPr>
            <w:tcW w:w="876" w:type="dxa"/>
            <w:shd w:val="clear" w:color="auto" w:fill="BDD6EE" w:themeFill="accent1" w:themeFillTint="66"/>
            <w:vAlign w:val="center"/>
            <w:hideMark/>
          </w:tcPr>
          <w:p w14:paraId="75A197E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534C7B6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Información sobre Medio Ambiente</w:t>
            </w:r>
          </w:p>
        </w:tc>
        <w:tc>
          <w:tcPr>
            <w:tcW w:w="1140" w:type="dxa"/>
            <w:shd w:val="clear" w:color="auto" w:fill="BDD6EE" w:themeFill="accent1" w:themeFillTint="66"/>
            <w:vAlign w:val="center"/>
            <w:hideMark/>
          </w:tcPr>
          <w:p w14:paraId="382761E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59E3D74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14C76C8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419B62C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0129C0D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39D8C4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4BEB407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B1561D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054" w:type="dxa"/>
            <w:shd w:val="clear" w:color="auto" w:fill="BDD6EE" w:themeFill="accent1" w:themeFillTint="66"/>
            <w:vAlign w:val="center"/>
            <w:hideMark/>
          </w:tcPr>
          <w:p w14:paraId="1E58111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32A920C0" w14:textId="77777777" w:rsidTr="007A584C">
        <w:trPr>
          <w:trHeight w:val="284"/>
          <w:jc w:val="center"/>
        </w:trPr>
        <w:tc>
          <w:tcPr>
            <w:tcW w:w="876" w:type="dxa"/>
            <w:shd w:val="clear" w:color="auto" w:fill="BDD6EE" w:themeFill="accent1" w:themeFillTint="66"/>
            <w:vAlign w:val="center"/>
            <w:hideMark/>
          </w:tcPr>
          <w:p w14:paraId="58E1ED9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6E6493B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Módulo de Práctica Deportiva y Ejercicio Físico</w:t>
            </w:r>
          </w:p>
        </w:tc>
        <w:tc>
          <w:tcPr>
            <w:tcW w:w="1140" w:type="dxa"/>
            <w:shd w:val="clear" w:color="auto" w:fill="BDD6EE" w:themeFill="accent1" w:themeFillTint="66"/>
            <w:vAlign w:val="center"/>
            <w:hideMark/>
          </w:tcPr>
          <w:p w14:paraId="2382E5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6FA4EDC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2542EDD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13AA54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0889C8F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28EE97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4295F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237066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3FE024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5E0C9BD2" w14:textId="77777777" w:rsidTr="007A584C">
        <w:trPr>
          <w:trHeight w:val="284"/>
          <w:jc w:val="center"/>
        </w:trPr>
        <w:tc>
          <w:tcPr>
            <w:tcW w:w="876" w:type="dxa"/>
            <w:shd w:val="clear" w:color="auto" w:fill="BDD6EE" w:themeFill="accent1" w:themeFillTint="66"/>
            <w:vAlign w:val="center"/>
            <w:hideMark/>
          </w:tcPr>
          <w:p w14:paraId="1D5A34E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28AB480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Derechos Humanos Estatal</w:t>
            </w:r>
          </w:p>
        </w:tc>
        <w:tc>
          <w:tcPr>
            <w:tcW w:w="1140" w:type="dxa"/>
            <w:shd w:val="clear" w:color="auto" w:fill="BDD6EE" w:themeFill="accent1" w:themeFillTint="66"/>
            <w:vAlign w:val="center"/>
            <w:hideMark/>
          </w:tcPr>
          <w:p w14:paraId="4DF6CF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1072A4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191FAC3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F1E582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7A2997E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8B565F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52148D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97685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2DC07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37B4EA3E" w14:textId="77777777" w:rsidTr="007A584C">
        <w:trPr>
          <w:trHeight w:val="284"/>
          <w:jc w:val="center"/>
        </w:trPr>
        <w:tc>
          <w:tcPr>
            <w:tcW w:w="876" w:type="dxa"/>
            <w:shd w:val="clear" w:color="auto" w:fill="BDD6EE" w:themeFill="accent1" w:themeFillTint="66"/>
            <w:vAlign w:val="center"/>
            <w:hideMark/>
          </w:tcPr>
          <w:p w14:paraId="24C2A9E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5AFC918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Discriminación</w:t>
            </w:r>
          </w:p>
        </w:tc>
        <w:tc>
          <w:tcPr>
            <w:tcW w:w="1140" w:type="dxa"/>
            <w:shd w:val="clear" w:color="auto" w:fill="BDD6EE" w:themeFill="accent1" w:themeFillTint="66"/>
            <w:vAlign w:val="center"/>
            <w:hideMark/>
          </w:tcPr>
          <w:p w14:paraId="2667D1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77EFD0F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46308F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5009F0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2860668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154A9C1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6A53F88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2720D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C79621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1FCDA3DC" w14:textId="77777777" w:rsidTr="007A584C">
        <w:trPr>
          <w:trHeight w:val="284"/>
          <w:jc w:val="center"/>
        </w:trPr>
        <w:tc>
          <w:tcPr>
            <w:tcW w:w="876" w:type="dxa"/>
            <w:shd w:val="clear" w:color="auto" w:fill="BDD6EE" w:themeFill="accent1" w:themeFillTint="66"/>
            <w:vAlign w:val="center"/>
            <w:hideMark/>
          </w:tcPr>
          <w:p w14:paraId="328B16D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1CF88A3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Encuesta Nacional de Inclusión Financiera </w:t>
            </w:r>
          </w:p>
        </w:tc>
        <w:tc>
          <w:tcPr>
            <w:tcW w:w="1140" w:type="dxa"/>
            <w:shd w:val="clear" w:color="auto" w:fill="BDD6EE" w:themeFill="accent1" w:themeFillTint="66"/>
            <w:vAlign w:val="center"/>
            <w:hideMark/>
          </w:tcPr>
          <w:p w14:paraId="05DBB58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58CFC97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366FE63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DE0AB7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2F1EF75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5204331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06294C8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968C57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36BF61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7E898B17" w14:textId="77777777" w:rsidTr="007A584C">
        <w:trPr>
          <w:trHeight w:val="284"/>
          <w:jc w:val="center"/>
        </w:trPr>
        <w:tc>
          <w:tcPr>
            <w:tcW w:w="876" w:type="dxa"/>
            <w:shd w:val="clear" w:color="auto" w:fill="BDD6EE" w:themeFill="accent1" w:themeFillTint="66"/>
            <w:vAlign w:val="center"/>
            <w:hideMark/>
          </w:tcPr>
          <w:p w14:paraId="2F13E2E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28F553D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Agropecuaria</w:t>
            </w:r>
          </w:p>
        </w:tc>
        <w:tc>
          <w:tcPr>
            <w:tcW w:w="1140" w:type="dxa"/>
            <w:shd w:val="clear" w:color="auto" w:fill="BDD6EE" w:themeFill="accent1" w:themeFillTint="66"/>
            <w:vAlign w:val="center"/>
            <w:hideMark/>
          </w:tcPr>
          <w:p w14:paraId="669D823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39889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4DCD11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4F2749C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hideMark/>
          </w:tcPr>
          <w:p w14:paraId="3146454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6FDCF43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A927F2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12507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4AF277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7A584C" w:rsidRPr="009A501D" w14:paraId="6361E76D" w14:textId="77777777" w:rsidTr="007A584C">
        <w:trPr>
          <w:trHeight w:val="284"/>
          <w:jc w:val="center"/>
        </w:trPr>
        <w:tc>
          <w:tcPr>
            <w:tcW w:w="876" w:type="dxa"/>
            <w:shd w:val="clear" w:color="auto" w:fill="BDD6EE" w:themeFill="accent1" w:themeFillTint="66"/>
            <w:vAlign w:val="center"/>
            <w:hideMark/>
          </w:tcPr>
          <w:p w14:paraId="7DA9FE9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lastRenderedPageBreak/>
              <w:t>DGGMA</w:t>
            </w:r>
          </w:p>
        </w:tc>
        <w:tc>
          <w:tcPr>
            <w:tcW w:w="3936" w:type="dxa"/>
            <w:shd w:val="clear" w:color="auto" w:fill="BDD6EE" w:themeFill="accent1" w:themeFillTint="66"/>
            <w:vAlign w:val="center"/>
            <w:hideMark/>
          </w:tcPr>
          <w:p w14:paraId="7D98F63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Hidrología</w:t>
            </w:r>
          </w:p>
        </w:tc>
        <w:tc>
          <w:tcPr>
            <w:tcW w:w="1140" w:type="dxa"/>
            <w:shd w:val="clear" w:color="auto" w:fill="BDD6EE" w:themeFill="accent1" w:themeFillTint="66"/>
            <w:vAlign w:val="center"/>
            <w:hideMark/>
          </w:tcPr>
          <w:p w14:paraId="7029A2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083B78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6C8B09B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2CFF85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61AF3E7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AFBD26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9C30F8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B37C00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4CDB9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277F724A" w14:textId="77777777" w:rsidTr="007A584C">
        <w:trPr>
          <w:trHeight w:val="284"/>
          <w:jc w:val="center"/>
        </w:trPr>
        <w:tc>
          <w:tcPr>
            <w:tcW w:w="876" w:type="dxa"/>
            <w:shd w:val="clear" w:color="auto" w:fill="BDD6EE" w:themeFill="accent1" w:themeFillTint="66"/>
            <w:vAlign w:val="center"/>
            <w:hideMark/>
          </w:tcPr>
          <w:p w14:paraId="3DF81AE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722C4B9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Seguridad Pública Urbana</w:t>
            </w:r>
          </w:p>
        </w:tc>
        <w:tc>
          <w:tcPr>
            <w:tcW w:w="1140" w:type="dxa"/>
            <w:shd w:val="clear" w:color="auto" w:fill="BDD6EE" w:themeFill="accent1" w:themeFillTint="66"/>
            <w:vAlign w:val="center"/>
            <w:hideMark/>
          </w:tcPr>
          <w:p w14:paraId="285C7A2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7EC7211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384CE0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7842AA2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0872E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4CFEA16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F83EAB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62CFCAE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8A75B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3596F463" w14:textId="77777777" w:rsidTr="007A584C">
        <w:trPr>
          <w:trHeight w:val="284"/>
          <w:jc w:val="center"/>
        </w:trPr>
        <w:tc>
          <w:tcPr>
            <w:tcW w:w="876" w:type="dxa"/>
            <w:shd w:val="clear" w:color="auto" w:fill="BDD6EE" w:themeFill="accent1" w:themeFillTint="66"/>
            <w:vAlign w:val="center"/>
            <w:hideMark/>
          </w:tcPr>
          <w:p w14:paraId="5F5041C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DGIAI</w:t>
            </w:r>
          </w:p>
        </w:tc>
        <w:tc>
          <w:tcPr>
            <w:tcW w:w="3936" w:type="dxa"/>
            <w:shd w:val="clear" w:color="auto" w:fill="BDD6EE" w:themeFill="accent1" w:themeFillTint="66"/>
            <w:vAlign w:val="center"/>
            <w:hideMark/>
          </w:tcPr>
          <w:p w14:paraId="24F807F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Bienestar </w:t>
            </w:r>
            <w:proofErr w:type="spellStart"/>
            <w:r w:rsidRPr="009A501D">
              <w:rPr>
                <w:rFonts w:ascii="Century Gothic" w:eastAsia="Times New Roman" w:hAnsi="Century Gothic" w:cs="Arial"/>
                <w:sz w:val="16"/>
                <w:szCs w:val="16"/>
                <w:lang w:eastAsia="es-MX"/>
              </w:rPr>
              <w:t>Autorreportado</w:t>
            </w:r>
            <w:proofErr w:type="spellEnd"/>
          </w:p>
        </w:tc>
        <w:tc>
          <w:tcPr>
            <w:tcW w:w="1140" w:type="dxa"/>
            <w:shd w:val="clear" w:color="auto" w:fill="BDD6EE" w:themeFill="accent1" w:themeFillTint="66"/>
            <w:vAlign w:val="center"/>
            <w:hideMark/>
          </w:tcPr>
          <w:p w14:paraId="5A559F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1D635B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31D6A8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1318C66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88140E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51A2C6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C9A001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6B027EB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9C354B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36314296" w14:textId="77777777" w:rsidTr="007A584C">
        <w:trPr>
          <w:trHeight w:val="284"/>
          <w:jc w:val="center"/>
        </w:trPr>
        <w:tc>
          <w:tcPr>
            <w:tcW w:w="876" w:type="dxa"/>
            <w:shd w:val="clear" w:color="auto" w:fill="BDD6EE" w:themeFill="accent1" w:themeFillTint="66"/>
            <w:vAlign w:val="center"/>
            <w:hideMark/>
          </w:tcPr>
          <w:p w14:paraId="7B2A3B0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1E26625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Ingresos y Gastos de los Hogares Estacional</w:t>
            </w:r>
          </w:p>
        </w:tc>
        <w:tc>
          <w:tcPr>
            <w:tcW w:w="1140" w:type="dxa"/>
            <w:shd w:val="clear" w:color="auto" w:fill="BDD6EE" w:themeFill="accent1" w:themeFillTint="66"/>
            <w:vAlign w:val="center"/>
            <w:hideMark/>
          </w:tcPr>
          <w:p w14:paraId="419685E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69AFB6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42AA8EA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242EA0E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2BDEFB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24674CA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29F4EA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3C3DB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BD5051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1817A046" w14:textId="77777777" w:rsidTr="007A584C">
        <w:trPr>
          <w:trHeight w:val="284"/>
          <w:jc w:val="center"/>
        </w:trPr>
        <w:tc>
          <w:tcPr>
            <w:tcW w:w="876" w:type="dxa"/>
            <w:shd w:val="clear" w:color="auto" w:fill="BDD6EE" w:themeFill="accent1" w:themeFillTint="66"/>
            <w:vAlign w:val="center"/>
            <w:hideMark/>
          </w:tcPr>
          <w:p w14:paraId="1AD4387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5A868A5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Derechos Humanos Federal</w:t>
            </w:r>
          </w:p>
        </w:tc>
        <w:tc>
          <w:tcPr>
            <w:tcW w:w="1140" w:type="dxa"/>
            <w:shd w:val="clear" w:color="auto" w:fill="BDD6EE" w:themeFill="accent1" w:themeFillTint="66"/>
            <w:vAlign w:val="center"/>
            <w:hideMark/>
          </w:tcPr>
          <w:p w14:paraId="767506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0288B0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50D6CD5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5B9095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54B1A8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3E98102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6AAF9F5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6E80FF9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5DADB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0DA243E9" w14:textId="77777777" w:rsidTr="007A584C">
        <w:trPr>
          <w:trHeight w:val="284"/>
          <w:jc w:val="center"/>
        </w:trPr>
        <w:tc>
          <w:tcPr>
            <w:tcW w:w="876" w:type="dxa"/>
            <w:shd w:val="clear" w:color="auto" w:fill="BDD6EE" w:themeFill="accent1" w:themeFillTint="66"/>
            <w:vAlign w:val="center"/>
            <w:hideMark/>
          </w:tcPr>
          <w:p w14:paraId="5D6C5D1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213D30E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Transparencia, Acceso a la Información Pública y Protección de Datos Personales Estatal</w:t>
            </w:r>
          </w:p>
        </w:tc>
        <w:tc>
          <w:tcPr>
            <w:tcW w:w="1140" w:type="dxa"/>
            <w:shd w:val="clear" w:color="auto" w:fill="BDD6EE" w:themeFill="accent1" w:themeFillTint="66"/>
            <w:vAlign w:val="center"/>
            <w:hideMark/>
          </w:tcPr>
          <w:p w14:paraId="4388C7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714F212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03B8D54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4D9D5A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13E787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345256A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55D457C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E3876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71AE3C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517E3B3A" w14:textId="77777777" w:rsidTr="007A584C">
        <w:trPr>
          <w:trHeight w:val="284"/>
          <w:jc w:val="center"/>
        </w:trPr>
        <w:tc>
          <w:tcPr>
            <w:tcW w:w="876" w:type="dxa"/>
            <w:shd w:val="clear" w:color="auto" w:fill="BDD6EE" w:themeFill="accent1" w:themeFillTint="66"/>
            <w:vAlign w:val="center"/>
            <w:hideMark/>
          </w:tcPr>
          <w:p w14:paraId="2513EE9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08B5633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Transparencia, Acceso a la Información Pública y Protección de Datos Personales Federal</w:t>
            </w:r>
          </w:p>
        </w:tc>
        <w:tc>
          <w:tcPr>
            <w:tcW w:w="1140" w:type="dxa"/>
            <w:shd w:val="clear" w:color="auto" w:fill="BDD6EE" w:themeFill="accent1" w:themeFillTint="66"/>
            <w:vAlign w:val="center"/>
            <w:hideMark/>
          </w:tcPr>
          <w:p w14:paraId="31AAE8B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04AEFB9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47F5B4E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3829E9D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hideMark/>
          </w:tcPr>
          <w:p w14:paraId="3AFCDAD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16415A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479EFC8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949EF7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47402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7A584C" w:rsidRPr="009A501D" w14:paraId="2202355B" w14:textId="77777777" w:rsidTr="007A584C">
        <w:trPr>
          <w:trHeight w:val="284"/>
          <w:jc w:val="center"/>
        </w:trPr>
        <w:tc>
          <w:tcPr>
            <w:tcW w:w="876" w:type="dxa"/>
            <w:shd w:val="clear" w:color="auto" w:fill="BDD6EE" w:themeFill="accent1" w:themeFillTint="66"/>
            <w:vAlign w:val="center"/>
            <w:hideMark/>
          </w:tcPr>
          <w:p w14:paraId="72B30FD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5A746B6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para el Sistema de Cuidados</w:t>
            </w:r>
          </w:p>
        </w:tc>
        <w:tc>
          <w:tcPr>
            <w:tcW w:w="1140" w:type="dxa"/>
            <w:shd w:val="clear" w:color="auto" w:fill="BDD6EE" w:themeFill="accent1" w:themeFillTint="66"/>
            <w:vAlign w:val="center"/>
            <w:hideMark/>
          </w:tcPr>
          <w:p w14:paraId="3F49FBD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144FD06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54FBFDE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992" w:type="dxa"/>
            <w:shd w:val="clear" w:color="auto" w:fill="DEEAF6" w:themeFill="accent1" w:themeFillTint="33"/>
            <w:vAlign w:val="center"/>
            <w:hideMark/>
          </w:tcPr>
          <w:p w14:paraId="6249518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1C884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7494C1E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09DF4AE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64867B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054" w:type="dxa"/>
            <w:shd w:val="clear" w:color="auto" w:fill="BDD6EE" w:themeFill="accent1" w:themeFillTint="66"/>
            <w:vAlign w:val="center"/>
            <w:hideMark/>
          </w:tcPr>
          <w:p w14:paraId="32C09AD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5401F06E" w14:textId="77777777" w:rsidTr="007A584C">
        <w:trPr>
          <w:trHeight w:val="284"/>
          <w:jc w:val="center"/>
        </w:trPr>
        <w:tc>
          <w:tcPr>
            <w:tcW w:w="876" w:type="dxa"/>
            <w:shd w:val="clear" w:color="auto" w:fill="DEEAF6" w:themeFill="accent1" w:themeFillTint="33"/>
            <w:vAlign w:val="center"/>
            <w:hideMark/>
          </w:tcPr>
          <w:p w14:paraId="49C59D7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DEEAF6" w:themeFill="accent1" w:themeFillTint="33"/>
            <w:vAlign w:val="center"/>
            <w:hideMark/>
          </w:tcPr>
          <w:p w14:paraId="3D364A3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Población Privada de la Libertad</w:t>
            </w:r>
          </w:p>
        </w:tc>
        <w:tc>
          <w:tcPr>
            <w:tcW w:w="1140" w:type="dxa"/>
            <w:shd w:val="clear" w:color="auto" w:fill="DEEAF6" w:themeFill="accent1" w:themeFillTint="33"/>
            <w:vAlign w:val="center"/>
            <w:hideMark/>
          </w:tcPr>
          <w:p w14:paraId="66CA59C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BE3F94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73DF9AB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643E809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34" w:type="dxa"/>
            <w:shd w:val="clear" w:color="auto" w:fill="BDD6EE" w:themeFill="accent1" w:themeFillTint="66"/>
            <w:vAlign w:val="center"/>
            <w:hideMark/>
          </w:tcPr>
          <w:p w14:paraId="4CD830A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CCEF3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4A559DE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197C3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62351B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697562F" w14:textId="77777777" w:rsidTr="007A584C">
        <w:trPr>
          <w:trHeight w:val="284"/>
          <w:jc w:val="center"/>
        </w:trPr>
        <w:tc>
          <w:tcPr>
            <w:tcW w:w="876" w:type="dxa"/>
            <w:shd w:val="clear" w:color="auto" w:fill="BDD6EE" w:themeFill="accent1" w:themeFillTint="66"/>
            <w:vAlign w:val="center"/>
            <w:hideMark/>
          </w:tcPr>
          <w:p w14:paraId="697192D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451B04A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Financiamiento de las Empresas</w:t>
            </w:r>
          </w:p>
        </w:tc>
        <w:tc>
          <w:tcPr>
            <w:tcW w:w="1140" w:type="dxa"/>
            <w:shd w:val="clear" w:color="auto" w:fill="BDD6EE" w:themeFill="accent1" w:themeFillTint="66"/>
            <w:vAlign w:val="center"/>
            <w:hideMark/>
          </w:tcPr>
          <w:p w14:paraId="388DECC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37C283E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3C4A684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0D8ED98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C3B44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48B1F2D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DBE132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2FF25C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FD341F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496D65C" w14:textId="77777777" w:rsidTr="007A584C">
        <w:trPr>
          <w:trHeight w:val="284"/>
          <w:jc w:val="center"/>
        </w:trPr>
        <w:tc>
          <w:tcPr>
            <w:tcW w:w="876" w:type="dxa"/>
            <w:shd w:val="clear" w:color="auto" w:fill="BDD6EE" w:themeFill="accent1" w:themeFillTint="66"/>
            <w:vAlign w:val="center"/>
            <w:hideMark/>
          </w:tcPr>
          <w:p w14:paraId="56D229C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579AB0C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Gobierno Federal</w:t>
            </w:r>
          </w:p>
        </w:tc>
        <w:tc>
          <w:tcPr>
            <w:tcW w:w="1140" w:type="dxa"/>
            <w:shd w:val="clear" w:color="auto" w:fill="BDD6EE" w:themeFill="accent1" w:themeFillTint="66"/>
            <w:vAlign w:val="center"/>
            <w:hideMark/>
          </w:tcPr>
          <w:p w14:paraId="647CC68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1D98C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31FC5BB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39562B0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hideMark/>
          </w:tcPr>
          <w:p w14:paraId="39BD9F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3A95658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064BE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3FFCCA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75BB7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34881FE1" w14:textId="77777777" w:rsidTr="007A584C">
        <w:trPr>
          <w:trHeight w:val="284"/>
          <w:jc w:val="center"/>
        </w:trPr>
        <w:tc>
          <w:tcPr>
            <w:tcW w:w="876" w:type="dxa"/>
            <w:shd w:val="clear" w:color="auto" w:fill="BDD6EE" w:themeFill="accent1" w:themeFillTint="66"/>
            <w:vAlign w:val="center"/>
            <w:hideMark/>
          </w:tcPr>
          <w:p w14:paraId="09AA644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68D513D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 de Nacimientos Registrados</w:t>
            </w:r>
          </w:p>
        </w:tc>
        <w:tc>
          <w:tcPr>
            <w:tcW w:w="1140" w:type="dxa"/>
            <w:shd w:val="clear" w:color="auto" w:fill="BDD6EE" w:themeFill="accent1" w:themeFillTint="66"/>
            <w:vAlign w:val="center"/>
            <w:hideMark/>
          </w:tcPr>
          <w:p w14:paraId="5166ED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74A302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2C91522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5E09A85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38CDDD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vAlign w:val="center"/>
            <w:hideMark/>
          </w:tcPr>
          <w:p w14:paraId="3E2743B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35DAFA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C2964C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B0BF37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1C465D3" w14:textId="77777777" w:rsidTr="007A584C">
        <w:trPr>
          <w:trHeight w:val="284"/>
          <w:jc w:val="center"/>
        </w:trPr>
        <w:tc>
          <w:tcPr>
            <w:tcW w:w="876" w:type="dxa"/>
            <w:shd w:val="clear" w:color="auto" w:fill="BDD6EE" w:themeFill="accent1" w:themeFillTint="66"/>
            <w:vAlign w:val="center"/>
            <w:hideMark/>
          </w:tcPr>
          <w:p w14:paraId="653BDA0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BDD6EE" w:themeFill="accent1" w:themeFillTint="66"/>
            <w:vAlign w:val="center"/>
            <w:hideMark/>
          </w:tcPr>
          <w:p w14:paraId="4428D9F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Finanzas Públicas Estatales y Municipales</w:t>
            </w:r>
          </w:p>
        </w:tc>
        <w:tc>
          <w:tcPr>
            <w:tcW w:w="1140" w:type="dxa"/>
            <w:shd w:val="clear" w:color="auto" w:fill="BDD6EE" w:themeFill="accent1" w:themeFillTint="66"/>
            <w:vAlign w:val="center"/>
            <w:hideMark/>
          </w:tcPr>
          <w:p w14:paraId="6E3FEB1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52AE14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7911D1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3BA0661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13783FD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0736E9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09AB41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9FC92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98F19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277BE8E3" w14:textId="77777777" w:rsidTr="007A584C">
        <w:trPr>
          <w:trHeight w:val="284"/>
          <w:jc w:val="center"/>
        </w:trPr>
        <w:tc>
          <w:tcPr>
            <w:tcW w:w="876" w:type="dxa"/>
            <w:shd w:val="clear" w:color="auto" w:fill="BDD6EE" w:themeFill="accent1" w:themeFillTint="66"/>
            <w:vAlign w:val="center"/>
            <w:hideMark/>
          </w:tcPr>
          <w:p w14:paraId="4683312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3200CB4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Cartografía Urbana y Rural </w:t>
            </w:r>
          </w:p>
        </w:tc>
        <w:tc>
          <w:tcPr>
            <w:tcW w:w="1140" w:type="dxa"/>
            <w:shd w:val="clear" w:color="auto" w:fill="BDD6EE" w:themeFill="accent1" w:themeFillTint="66"/>
            <w:vAlign w:val="center"/>
            <w:hideMark/>
          </w:tcPr>
          <w:p w14:paraId="638257A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1A696FB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59F0B03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01A48F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211305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71BF5CE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55BC78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D031B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B542E2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156877F2" w14:textId="77777777" w:rsidTr="007A584C">
        <w:trPr>
          <w:trHeight w:val="284"/>
          <w:jc w:val="center"/>
        </w:trPr>
        <w:tc>
          <w:tcPr>
            <w:tcW w:w="876" w:type="dxa"/>
            <w:shd w:val="clear" w:color="auto" w:fill="BDD6EE" w:themeFill="accent1" w:themeFillTint="66"/>
            <w:vAlign w:val="center"/>
            <w:hideMark/>
          </w:tcPr>
          <w:p w14:paraId="57A207F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7E18246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Procuración de Justicia Federal</w:t>
            </w:r>
          </w:p>
        </w:tc>
        <w:tc>
          <w:tcPr>
            <w:tcW w:w="1140" w:type="dxa"/>
            <w:shd w:val="clear" w:color="auto" w:fill="BDD6EE" w:themeFill="accent1" w:themeFillTint="66"/>
            <w:vAlign w:val="center"/>
            <w:hideMark/>
          </w:tcPr>
          <w:p w14:paraId="7F38B06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3CD4090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2D6A3E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5FD9B9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3EC0913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7C8F222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A1DF6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0A8F1F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FACDB5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2D9617FC" w14:textId="77777777" w:rsidTr="007A584C">
        <w:trPr>
          <w:trHeight w:val="284"/>
          <w:jc w:val="center"/>
        </w:trPr>
        <w:tc>
          <w:tcPr>
            <w:tcW w:w="876" w:type="dxa"/>
            <w:shd w:val="clear" w:color="auto" w:fill="BDD6EE" w:themeFill="accent1" w:themeFillTint="66"/>
            <w:vAlign w:val="center"/>
            <w:hideMark/>
          </w:tcPr>
          <w:p w14:paraId="63CE4DB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7C8928C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Seguridad Pública Federal</w:t>
            </w:r>
          </w:p>
        </w:tc>
        <w:tc>
          <w:tcPr>
            <w:tcW w:w="1140" w:type="dxa"/>
            <w:shd w:val="clear" w:color="auto" w:fill="BDD6EE" w:themeFill="accent1" w:themeFillTint="66"/>
            <w:vAlign w:val="center"/>
            <w:hideMark/>
          </w:tcPr>
          <w:p w14:paraId="34EEEB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CCCB1B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63CA7FC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6A94443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5509CC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7402674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B40FF5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790597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7C5E2A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187578F9" w14:textId="77777777" w:rsidTr="007A584C">
        <w:trPr>
          <w:trHeight w:val="284"/>
          <w:jc w:val="center"/>
        </w:trPr>
        <w:tc>
          <w:tcPr>
            <w:tcW w:w="876" w:type="dxa"/>
            <w:shd w:val="clear" w:color="auto" w:fill="BDD6EE" w:themeFill="accent1" w:themeFillTint="66"/>
            <w:vAlign w:val="center"/>
            <w:hideMark/>
          </w:tcPr>
          <w:p w14:paraId="7222F22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41B12A5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Sistema Penitenciario Federal</w:t>
            </w:r>
          </w:p>
        </w:tc>
        <w:tc>
          <w:tcPr>
            <w:tcW w:w="1140" w:type="dxa"/>
            <w:shd w:val="clear" w:color="auto" w:fill="BDD6EE" w:themeFill="accent1" w:themeFillTint="66"/>
            <w:vAlign w:val="center"/>
            <w:hideMark/>
          </w:tcPr>
          <w:p w14:paraId="44B354C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EC74C9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2ED182C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36933B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496344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00464CD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3FDC19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8F9C67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1403D1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44167781" w14:textId="77777777" w:rsidTr="007A584C">
        <w:trPr>
          <w:trHeight w:val="284"/>
          <w:jc w:val="center"/>
        </w:trPr>
        <w:tc>
          <w:tcPr>
            <w:tcW w:w="876" w:type="dxa"/>
            <w:shd w:val="clear" w:color="auto" w:fill="BDD6EE" w:themeFill="accent1" w:themeFillTint="66"/>
            <w:vAlign w:val="center"/>
            <w:hideMark/>
          </w:tcPr>
          <w:p w14:paraId="6DAEB07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61B4998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Censo Nacional de Poderes Legislativos Estatales</w:t>
            </w:r>
          </w:p>
        </w:tc>
        <w:tc>
          <w:tcPr>
            <w:tcW w:w="1140" w:type="dxa"/>
            <w:shd w:val="clear" w:color="auto" w:fill="BDD6EE" w:themeFill="accent1" w:themeFillTint="66"/>
            <w:vAlign w:val="center"/>
            <w:hideMark/>
          </w:tcPr>
          <w:p w14:paraId="687400C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54DC4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538A94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0682BCE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6094A6B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57" w:type="dxa"/>
            <w:shd w:val="clear" w:color="auto" w:fill="DEEAF6" w:themeFill="accent1" w:themeFillTint="33"/>
            <w:noWrap/>
            <w:vAlign w:val="bottom"/>
            <w:hideMark/>
          </w:tcPr>
          <w:p w14:paraId="41CD27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7662021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8F7DB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79BEE6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0BA88013" w14:textId="77777777" w:rsidTr="007A584C">
        <w:trPr>
          <w:trHeight w:val="284"/>
          <w:jc w:val="center"/>
        </w:trPr>
        <w:tc>
          <w:tcPr>
            <w:tcW w:w="876" w:type="dxa"/>
            <w:shd w:val="clear" w:color="auto" w:fill="DEEAF6" w:themeFill="accent1" w:themeFillTint="33"/>
            <w:vAlign w:val="center"/>
            <w:hideMark/>
          </w:tcPr>
          <w:p w14:paraId="2CF37AA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13B492D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Industria </w:t>
            </w:r>
            <w:proofErr w:type="spellStart"/>
            <w:r w:rsidRPr="009A501D">
              <w:rPr>
                <w:rFonts w:ascii="Century Gothic" w:eastAsia="Times New Roman" w:hAnsi="Century Gothic" w:cs="Arial"/>
                <w:sz w:val="16"/>
                <w:szCs w:val="16"/>
                <w:lang w:eastAsia="es-MX"/>
              </w:rPr>
              <w:t>Minerometalúrgica</w:t>
            </w:r>
            <w:proofErr w:type="spellEnd"/>
          </w:p>
        </w:tc>
        <w:tc>
          <w:tcPr>
            <w:tcW w:w="1140" w:type="dxa"/>
            <w:shd w:val="clear" w:color="auto" w:fill="DEEAF6" w:themeFill="accent1" w:themeFillTint="33"/>
            <w:vAlign w:val="center"/>
            <w:hideMark/>
          </w:tcPr>
          <w:p w14:paraId="1171EA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5A3DB9F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0D13280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2F4118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58503D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95D0DC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1E6FCF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58255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404150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0D22B5E6" w14:textId="77777777" w:rsidTr="007A584C">
        <w:trPr>
          <w:trHeight w:val="284"/>
          <w:jc w:val="center"/>
        </w:trPr>
        <w:tc>
          <w:tcPr>
            <w:tcW w:w="876" w:type="dxa"/>
            <w:shd w:val="clear" w:color="auto" w:fill="DEEAF6" w:themeFill="accent1" w:themeFillTint="33"/>
            <w:vAlign w:val="center"/>
            <w:hideMark/>
          </w:tcPr>
          <w:p w14:paraId="5A45FF0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4A560DEE" w14:textId="33DFDA75"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Programa de la Industria Manufacturera, Maquiladora y de Servicios de Exportación</w:t>
            </w:r>
          </w:p>
        </w:tc>
        <w:tc>
          <w:tcPr>
            <w:tcW w:w="1140" w:type="dxa"/>
            <w:shd w:val="clear" w:color="auto" w:fill="DEEAF6" w:themeFill="accent1" w:themeFillTint="33"/>
            <w:vAlign w:val="center"/>
            <w:hideMark/>
          </w:tcPr>
          <w:p w14:paraId="626141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81A7D6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B49B1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52021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0CB0723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681AE40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AAB9D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4C2CB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0028E8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341EB0EF" w14:textId="77777777" w:rsidTr="007A584C">
        <w:trPr>
          <w:trHeight w:val="284"/>
          <w:jc w:val="center"/>
        </w:trPr>
        <w:tc>
          <w:tcPr>
            <w:tcW w:w="876" w:type="dxa"/>
            <w:shd w:val="clear" w:color="auto" w:fill="DEEAF6" w:themeFill="accent1" w:themeFillTint="33"/>
            <w:vAlign w:val="center"/>
            <w:hideMark/>
          </w:tcPr>
          <w:p w14:paraId="07A8FEC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7942603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Sacrificio de Ganado en Rastros Municipales</w:t>
            </w:r>
          </w:p>
        </w:tc>
        <w:tc>
          <w:tcPr>
            <w:tcW w:w="1140" w:type="dxa"/>
            <w:shd w:val="clear" w:color="auto" w:fill="DEEAF6" w:themeFill="accent1" w:themeFillTint="33"/>
            <w:vAlign w:val="center"/>
            <w:hideMark/>
          </w:tcPr>
          <w:p w14:paraId="02732FD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7FE6A8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16496B5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9A82FE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6443042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7A02B4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54D8D0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CB309F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B9166B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3E314063" w14:textId="77777777" w:rsidTr="007A584C">
        <w:trPr>
          <w:trHeight w:val="284"/>
          <w:jc w:val="center"/>
        </w:trPr>
        <w:tc>
          <w:tcPr>
            <w:tcW w:w="876" w:type="dxa"/>
            <w:shd w:val="clear" w:color="auto" w:fill="DEEAF6" w:themeFill="accent1" w:themeFillTint="33"/>
            <w:vAlign w:val="center"/>
            <w:hideMark/>
          </w:tcPr>
          <w:p w14:paraId="18767F9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150A8C1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Vinculación de Registros Administrativos</w:t>
            </w:r>
          </w:p>
        </w:tc>
        <w:tc>
          <w:tcPr>
            <w:tcW w:w="1140" w:type="dxa"/>
            <w:shd w:val="clear" w:color="auto" w:fill="DEEAF6" w:themeFill="accent1" w:themeFillTint="33"/>
            <w:vAlign w:val="center"/>
            <w:hideMark/>
          </w:tcPr>
          <w:p w14:paraId="50AE2BD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4D3F7B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12D3454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E15A32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2F214B1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B4A7A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33B6C5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79B7720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D9F955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4B3D187E" w14:textId="77777777" w:rsidTr="007A584C">
        <w:trPr>
          <w:trHeight w:val="284"/>
          <w:jc w:val="center"/>
        </w:trPr>
        <w:tc>
          <w:tcPr>
            <w:tcW w:w="876" w:type="dxa"/>
            <w:shd w:val="clear" w:color="auto" w:fill="DEEAF6" w:themeFill="accent1" w:themeFillTint="33"/>
            <w:vAlign w:val="center"/>
            <w:hideMark/>
          </w:tcPr>
          <w:p w14:paraId="027FF3A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01B21CE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Confianza del Consumidor</w:t>
            </w:r>
          </w:p>
        </w:tc>
        <w:tc>
          <w:tcPr>
            <w:tcW w:w="1140" w:type="dxa"/>
            <w:shd w:val="clear" w:color="auto" w:fill="DEEAF6" w:themeFill="accent1" w:themeFillTint="33"/>
            <w:vAlign w:val="center"/>
            <w:hideMark/>
          </w:tcPr>
          <w:p w14:paraId="290C040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D03EB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2A8029F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1D79EC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17F350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6C68C82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AD3DC6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7CBA6F7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7524C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6CD8C05E" w14:textId="77777777" w:rsidTr="007A584C">
        <w:trPr>
          <w:trHeight w:val="284"/>
          <w:jc w:val="center"/>
        </w:trPr>
        <w:tc>
          <w:tcPr>
            <w:tcW w:w="876" w:type="dxa"/>
            <w:shd w:val="clear" w:color="auto" w:fill="DEEAF6" w:themeFill="accent1" w:themeFillTint="33"/>
            <w:vAlign w:val="center"/>
            <w:hideMark/>
          </w:tcPr>
          <w:p w14:paraId="01E17E5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lastRenderedPageBreak/>
              <w:t>DGES</w:t>
            </w:r>
          </w:p>
        </w:tc>
        <w:tc>
          <w:tcPr>
            <w:tcW w:w="3936" w:type="dxa"/>
            <w:shd w:val="clear" w:color="auto" w:fill="DEEAF6" w:themeFill="accent1" w:themeFillTint="33"/>
            <w:vAlign w:val="center"/>
            <w:hideMark/>
          </w:tcPr>
          <w:p w14:paraId="42B82D3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Salud y Envejecimiento en México</w:t>
            </w:r>
          </w:p>
        </w:tc>
        <w:tc>
          <w:tcPr>
            <w:tcW w:w="1140" w:type="dxa"/>
            <w:shd w:val="clear" w:color="auto" w:fill="DEEAF6" w:themeFill="accent1" w:themeFillTint="33"/>
            <w:vAlign w:val="center"/>
            <w:hideMark/>
          </w:tcPr>
          <w:p w14:paraId="2EAB628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FEF09A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1052A2F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D41A57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6A7646C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568664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CC8DBB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40A27F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4F317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41FA77AE" w14:textId="77777777" w:rsidTr="007A584C">
        <w:trPr>
          <w:trHeight w:val="284"/>
          <w:jc w:val="center"/>
        </w:trPr>
        <w:tc>
          <w:tcPr>
            <w:tcW w:w="876" w:type="dxa"/>
            <w:shd w:val="clear" w:color="auto" w:fill="DEEAF6" w:themeFill="accent1" w:themeFillTint="33"/>
            <w:vAlign w:val="center"/>
            <w:hideMark/>
          </w:tcPr>
          <w:p w14:paraId="5258CB8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33861F1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Estadísticas de Salud en Establecimientos Particulares</w:t>
            </w:r>
          </w:p>
        </w:tc>
        <w:tc>
          <w:tcPr>
            <w:tcW w:w="1140" w:type="dxa"/>
            <w:shd w:val="clear" w:color="auto" w:fill="DEEAF6" w:themeFill="accent1" w:themeFillTint="33"/>
            <w:vAlign w:val="center"/>
            <w:hideMark/>
          </w:tcPr>
          <w:p w14:paraId="3B629B2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50E7080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4A2CAF3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2F4BB32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062543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5EA304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EDDED1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12DC4FF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8F45F5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34D6DB7A" w14:textId="77777777" w:rsidTr="007A584C">
        <w:trPr>
          <w:trHeight w:val="284"/>
          <w:jc w:val="center"/>
        </w:trPr>
        <w:tc>
          <w:tcPr>
            <w:tcW w:w="876" w:type="dxa"/>
            <w:shd w:val="clear" w:color="auto" w:fill="DEEAF6" w:themeFill="accent1" w:themeFillTint="33"/>
            <w:vAlign w:val="center"/>
            <w:hideMark/>
          </w:tcPr>
          <w:p w14:paraId="40CE175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3D62493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Productividad y Competitividad de las Micro, Pequeñas y Medianas Empresas</w:t>
            </w:r>
          </w:p>
        </w:tc>
        <w:tc>
          <w:tcPr>
            <w:tcW w:w="1140" w:type="dxa"/>
            <w:shd w:val="clear" w:color="auto" w:fill="DEEAF6" w:themeFill="accent1" w:themeFillTint="33"/>
            <w:vAlign w:val="center"/>
            <w:hideMark/>
          </w:tcPr>
          <w:p w14:paraId="7EA05A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68BB4EA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74C4A1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strike/>
                <w:color w:val="000000"/>
                <w:sz w:val="16"/>
                <w:szCs w:val="16"/>
                <w:lang w:eastAsia="es-MX"/>
              </w:rPr>
              <w:t> </w:t>
            </w:r>
          </w:p>
        </w:tc>
        <w:tc>
          <w:tcPr>
            <w:tcW w:w="992" w:type="dxa"/>
            <w:shd w:val="clear" w:color="auto" w:fill="DEEAF6" w:themeFill="accent1" w:themeFillTint="33"/>
            <w:vAlign w:val="center"/>
            <w:hideMark/>
          </w:tcPr>
          <w:p w14:paraId="36652CC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627388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055A27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6EB6970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6DCDBFE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94846F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54BDE9C4" w14:textId="77777777" w:rsidTr="007A584C">
        <w:trPr>
          <w:trHeight w:val="284"/>
          <w:jc w:val="center"/>
        </w:trPr>
        <w:tc>
          <w:tcPr>
            <w:tcW w:w="876" w:type="dxa"/>
            <w:shd w:val="clear" w:color="auto" w:fill="DEEAF6" w:themeFill="accent1" w:themeFillTint="33"/>
            <w:vAlign w:val="center"/>
            <w:hideMark/>
          </w:tcPr>
          <w:p w14:paraId="31AEB32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DEEAF6" w:themeFill="accent1" w:themeFillTint="33"/>
            <w:vAlign w:val="center"/>
            <w:hideMark/>
          </w:tcPr>
          <w:p w14:paraId="161CE014"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Calidad Regulatoria e Impacto Gubernamental en Empresas</w:t>
            </w:r>
          </w:p>
        </w:tc>
        <w:tc>
          <w:tcPr>
            <w:tcW w:w="1140" w:type="dxa"/>
            <w:shd w:val="clear" w:color="auto" w:fill="DEEAF6" w:themeFill="accent1" w:themeFillTint="33"/>
            <w:vAlign w:val="center"/>
            <w:hideMark/>
          </w:tcPr>
          <w:p w14:paraId="6CCD161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2D62EE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DD127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BDA024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1597535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bottom"/>
            <w:hideMark/>
          </w:tcPr>
          <w:p w14:paraId="6963E9E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910DB1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56B3017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C4B02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1A771C53" w14:textId="77777777" w:rsidTr="007A584C">
        <w:trPr>
          <w:trHeight w:val="284"/>
          <w:jc w:val="center"/>
        </w:trPr>
        <w:tc>
          <w:tcPr>
            <w:tcW w:w="876" w:type="dxa"/>
            <w:shd w:val="clear" w:color="auto" w:fill="DEEAF6" w:themeFill="accent1" w:themeFillTint="33"/>
            <w:vAlign w:val="center"/>
            <w:hideMark/>
          </w:tcPr>
          <w:p w14:paraId="14BDDFD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53411A9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 de Matrimonios</w:t>
            </w:r>
          </w:p>
        </w:tc>
        <w:tc>
          <w:tcPr>
            <w:tcW w:w="1140" w:type="dxa"/>
            <w:shd w:val="clear" w:color="auto" w:fill="DEEAF6" w:themeFill="accent1" w:themeFillTint="33"/>
            <w:vAlign w:val="center"/>
            <w:hideMark/>
          </w:tcPr>
          <w:p w14:paraId="03A4EFE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6993AEA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61A1338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0042DEF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206FAB0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7700FF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7C554AD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6F265AB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D72717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2C7B8E0F" w14:textId="77777777" w:rsidTr="007A584C">
        <w:trPr>
          <w:trHeight w:val="284"/>
          <w:jc w:val="center"/>
        </w:trPr>
        <w:tc>
          <w:tcPr>
            <w:tcW w:w="876" w:type="dxa"/>
            <w:shd w:val="clear" w:color="auto" w:fill="DEEAF6" w:themeFill="accent1" w:themeFillTint="33"/>
            <w:vAlign w:val="center"/>
            <w:hideMark/>
          </w:tcPr>
          <w:p w14:paraId="668663E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4CB4A21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Accidentes de Tránsito Terrestre</w:t>
            </w:r>
          </w:p>
        </w:tc>
        <w:tc>
          <w:tcPr>
            <w:tcW w:w="1140" w:type="dxa"/>
            <w:shd w:val="clear" w:color="auto" w:fill="DEEAF6" w:themeFill="accent1" w:themeFillTint="33"/>
            <w:vAlign w:val="center"/>
            <w:hideMark/>
          </w:tcPr>
          <w:p w14:paraId="48BC07A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07E78B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EE9152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0EDCBCD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4545C89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12C468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A9B944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D94F1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560F855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0CEEF7E3" w14:textId="77777777" w:rsidTr="007A584C">
        <w:trPr>
          <w:trHeight w:val="284"/>
          <w:jc w:val="center"/>
        </w:trPr>
        <w:tc>
          <w:tcPr>
            <w:tcW w:w="876" w:type="dxa"/>
            <w:shd w:val="clear" w:color="auto" w:fill="DEEAF6" w:themeFill="accent1" w:themeFillTint="33"/>
            <w:vAlign w:val="center"/>
            <w:hideMark/>
          </w:tcPr>
          <w:p w14:paraId="1B05B06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444D999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Transporte Urbano de Pasajeros</w:t>
            </w:r>
          </w:p>
        </w:tc>
        <w:tc>
          <w:tcPr>
            <w:tcW w:w="1140" w:type="dxa"/>
            <w:shd w:val="clear" w:color="auto" w:fill="DEEAF6" w:themeFill="accent1" w:themeFillTint="33"/>
            <w:vAlign w:val="center"/>
            <w:hideMark/>
          </w:tcPr>
          <w:p w14:paraId="700B045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1B22B1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5B2BCEB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AA660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1BBFD2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8FD406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69D108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28EF13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0C8A8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61E9AA58" w14:textId="77777777" w:rsidTr="007A584C">
        <w:trPr>
          <w:trHeight w:val="284"/>
          <w:jc w:val="center"/>
        </w:trPr>
        <w:tc>
          <w:tcPr>
            <w:tcW w:w="876" w:type="dxa"/>
            <w:shd w:val="clear" w:color="auto" w:fill="DEEAF6" w:themeFill="accent1" w:themeFillTint="33"/>
            <w:vAlign w:val="center"/>
            <w:hideMark/>
          </w:tcPr>
          <w:p w14:paraId="46A8709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DGEE</w:t>
            </w:r>
          </w:p>
        </w:tc>
        <w:tc>
          <w:tcPr>
            <w:tcW w:w="3936" w:type="dxa"/>
            <w:shd w:val="clear" w:color="auto" w:fill="DEEAF6" w:themeFill="accent1" w:themeFillTint="33"/>
            <w:vAlign w:val="center"/>
            <w:hideMark/>
          </w:tcPr>
          <w:p w14:paraId="46F53D3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Vehículos de Motor Registrados en Circulación</w:t>
            </w:r>
          </w:p>
        </w:tc>
        <w:tc>
          <w:tcPr>
            <w:tcW w:w="1140" w:type="dxa"/>
            <w:shd w:val="clear" w:color="auto" w:fill="DEEAF6" w:themeFill="accent1" w:themeFillTint="33"/>
            <w:vAlign w:val="center"/>
            <w:hideMark/>
          </w:tcPr>
          <w:p w14:paraId="493AE6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3A90C0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73F08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0823400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4B5BCC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BD4099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07F924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91AC99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3B56B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4767788C" w14:textId="77777777" w:rsidTr="007A584C">
        <w:trPr>
          <w:trHeight w:val="284"/>
          <w:jc w:val="center"/>
        </w:trPr>
        <w:tc>
          <w:tcPr>
            <w:tcW w:w="876" w:type="dxa"/>
            <w:shd w:val="clear" w:color="auto" w:fill="DEEAF6" w:themeFill="accent1" w:themeFillTint="33"/>
            <w:vAlign w:val="center"/>
            <w:hideMark/>
          </w:tcPr>
          <w:p w14:paraId="5C38EF8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0F4AB83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Empleo y Seguridad Social</w:t>
            </w:r>
          </w:p>
        </w:tc>
        <w:tc>
          <w:tcPr>
            <w:tcW w:w="1140" w:type="dxa"/>
            <w:shd w:val="clear" w:color="auto" w:fill="DEEAF6" w:themeFill="accent1" w:themeFillTint="33"/>
            <w:vAlign w:val="center"/>
            <w:hideMark/>
          </w:tcPr>
          <w:p w14:paraId="4088B33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57515F5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67C446B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strike/>
                <w:color w:val="000000"/>
                <w:sz w:val="16"/>
                <w:szCs w:val="16"/>
                <w:lang w:eastAsia="es-MX"/>
              </w:rPr>
              <w:t> </w:t>
            </w:r>
          </w:p>
        </w:tc>
        <w:tc>
          <w:tcPr>
            <w:tcW w:w="992" w:type="dxa"/>
            <w:shd w:val="clear" w:color="auto" w:fill="DEEAF6" w:themeFill="accent1" w:themeFillTint="33"/>
            <w:vAlign w:val="center"/>
            <w:hideMark/>
          </w:tcPr>
          <w:p w14:paraId="6FD952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7F2C292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5C32FAD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2ACE86F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01D732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14D841F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4A5D78FC" w14:textId="77777777" w:rsidTr="007A584C">
        <w:trPr>
          <w:trHeight w:val="284"/>
          <w:jc w:val="center"/>
        </w:trPr>
        <w:tc>
          <w:tcPr>
            <w:tcW w:w="876" w:type="dxa"/>
            <w:shd w:val="clear" w:color="auto" w:fill="DEEAF6" w:themeFill="accent1" w:themeFillTint="33"/>
            <w:vAlign w:val="center"/>
            <w:hideMark/>
          </w:tcPr>
          <w:p w14:paraId="6788683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7712687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 de Museos</w:t>
            </w:r>
          </w:p>
        </w:tc>
        <w:tc>
          <w:tcPr>
            <w:tcW w:w="1140" w:type="dxa"/>
            <w:shd w:val="clear" w:color="auto" w:fill="DEEAF6" w:themeFill="accent1" w:themeFillTint="33"/>
            <w:vAlign w:val="center"/>
            <w:hideMark/>
          </w:tcPr>
          <w:p w14:paraId="183E3AF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2669670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4A1779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174C63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67E55CA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6520A5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3069900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CC783B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D1499C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55C42632" w14:textId="77777777" w:rsidTr="007A584C">
        <w:trPr>
          <w:trHeight w:val="284"/>
          <w:jc w:val="center"/>
        </w:trPr>
        <w:tc>
          <w:tcPr>
            <w:tcW w:w="876" w:type="dxa"/>
            <w:shd w:val="clear" w:color="auto" w:fill="DEEAF6" w:themeFill="accent1" w:themeFillTint="33"/>
            <w:vAlign w:val="center"/>
            <w:hideMark/>
          </w:tcPr>
          <w:p w14:paraId="7EF72CD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DGIAI</w:t>
            </w:r>
          </w:p>
        </w:tc>
        <w:tc>
          <w:tcPr>
            <w:tcW w:w="3936" w:type="dxa"/>
            <w:shd w:val="clear" w:color="auto" w:fill="DEEAF6" w:themeFill="accent1" w:themeFillTint="33"/>
            <w:vAlign w:val="center"/>
            <w:hideMark/>
          </w:tcPr>
          <w:p w14:paraId="6B803761"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 xml:space="preserve">Encuesta Nacional de Bienestar </w:t>
            </w:r>
            <w:proofErr w:type="spellStart"/>
            <w:r w:rsidRPr="009A501D">
              <w:rPr>
                <w:rFonts w:ascii="Century Gothic" w:eastAsia="Times New Roman" w:hAnsi="Century Gothic" w:cs="Arial"/>
                <w:sz w:val="16"/>
                <w:szCs w:val="16"/>
                <w:lang w:eastAsia="es-MX"/>
              </w:rPr>
              <w:t>Autorreportado</w:t>
            </w:r>
            <w:proofErr w:type="spellEnd"/>
          </w:p>
        </w:tc>
        <w:tc>
          <w:tcPr>
            <w:tcW w:w="1140" w:type="dxa"/>
            <w:shd w:val="clear" w:color="auto" w:fill="DEEAF6" w:themeFill="accent1" w:themeFillTint="33"/>
            <w:vAlign w:val="center"/>
            <w:hideMark/>
          </w:tcPr>
          <w:p w14:paraId="30D967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F53E7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70E4B15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073B43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41D56D9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33D9D1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4648378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B87302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C500B0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7397FB10" w14:textId="77777777" w:rsidTr="007A584C">
        <w:trPr>
          <w:trHeight w:val="284"/>
          <w:jc w:val="center"/>
        </w:trPr>
        <w:tc>
          <w:tcPr>
            <w:tcW w:w="876" w:type="dxa"/>
            <w:shd w:val="clear" w:color="auto" w:fill="DEEAF6" w:themeFill="accent1" w:themeFillTint="33"/>
            <w:vAlign w:val="center"/>
            <w:hideMark/>
          </w:tcPr>
          <w:p w14:paraId="60FA226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DGIAI</w:t>
            </w:r>
          </w:p>
        </w:tc>
        <w:tc>
          <w:tcPr>
            <w:tcW w:w="3936" w:type="dxa"/>
            <w:shd w:val="clear" w:color="auto" w:fill="DEEAF6" w:themeFill="accent1" w:themeFillTint="33"/>
            <w:vAlign w:val="center"/>
            <w:hideMark/>
          </w:tcPr>
          <w:p w14:paraId="7706CC3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Estado de Ánimo de los Tuiteros</w:t>
            </w:r>
          </w:p>
        </w:tc>
        <w:tc>
          <w:tcPr>
            <w:tcW w:w="1140" w:type="dxa"/>
            <w:shd w:val="clear" w:color="auto" w:fill="DEEAF6" w:themeFill="accent1" w:themeFillTint="33"/>
            <w:vAlign w:val="center"/>
            <w:hideMark/>
          </w:tcPr>
          <w:p w14:paraId="5AD645E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6944B7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0C523AA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9A1BE5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5D0ED72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D60058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07C1AFA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C7CE48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E56D0E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1F116CEE" w14:textId="77777777" w:rsidTr="007A584C">
        <w:trPr>
          <w:trHeight w:val="284"/>
          <w:jc w:val="center"/>
        </w:trPr>
        <w:tc>
          <w:tcPr>
            <w:tcW w:w="876" w:type="dxa"/>
            <w:shd w:val="clear" w:color="auto" w:fill="DEEAF6" w:themeFill="accent1" w:themeFillTint="33"/>
            <w:vAlign w:val="center"/>
            <w:hideMark/>
          </w:tcPr>
          <w:p w14:paraId="28877EEA"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DGIAI</w:t>
            </w:r>
          </w:p>
        </w:tc>
        <w:tc>
          <w:tcPr>
            <w:tcW w:w="3936" w:type="dxa"/>
            <w:shd w:val="clear" w:color="auto" w:fill="DEEAF6" w:themeFill="accent1" w:themeFillTint="33"/>
            <w:vAlign w:val="center"/>
            <w:hideMark/>
          </w:tcPr>
          <w:p w14:paraId="711C9246"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Sistema de Indicadores Cíclicos</w:t>
            </w:r>
          </w:p>
        </w:tc>
        <w:tc>
          <w:tcPr>
            <w:tcW w:w="1140" w:type="dxa"/>
            <w:shd w:val="clear" w:color="auto" w:fill="DEEAF6" w:themeFill="accent1" w:themeFillTint="33"/>
            <w:vAlign w:val="center"/>
            <w:hideMark/>
          </w:tcPr>
          <w:p w14:paraId="70247B4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299D90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232724E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2FC073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052D725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3B895D5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145" w:type="dxa"/>
            <w:shd w:val="clear" w:color="auto" w:fill="BDD6EE" w:themeFill="accent1" w:themeFillTint="66"/>
            <w:vAlign w:val="center"/>
            <w:hideMark/>
          </w:tcPr>
          <w:p w14:paraId="1FCF6AC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733F9A9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6A1ABEA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B3B5BD7" w14:textId="77777777" w:rsidTr="007A584C">
        <w:trPr>
          <w:trHeight w:val="284"/>
          <w:jc w:val="center"/>
        </w:trPr>
        <w:tc>
          <w:tcPr>
            <w:tcW w:w="876" w:type="dxa"/>
            <w:shd w:val="clear" w:color="auto" w:fill="BDD6EE" w:themeFill="accent1" w:themeFillTint="66"/>
            <w:vAlign w:val="center"/>
            <w:hideMark/>
          </w:tcPr>
          <w:p w14:paraId="7A8CB2E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BDD6EE" w:themeFill="accent1" w:themeFillTint="66"/>
            <w:vAlign w:val="center"/>
            <w:hideMark/>
          </w:tcPr>
          <w:p w14:paraId="02B792C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Adolescentes en el Sistema de Justicia Penal</w:t>
            </w:r>
          </w:p>
        </w:tc>
        <w:tc>
          <w:tcPr>
            <w:tcW w:w="1140" w:type="dxa"/>
            <w:shd w:val="clear" w:color="auto" w:fill="BDD6EE" w:themeFill="accent1" w:themeFillTint="66"/>
            <w:vAlign w:val="center"/>
            <w:hideMark/>
          </w:tcPr>
          <w:p w14:paraId="578757F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7E46F0A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028C326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5776888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7960D7E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BDD6EE" w:themeFill="accent1" w:themeFillTint="66"/>
            <w:noWrap/>
            <w:vAlign w:val="bottom"/>
            <w:hideMark/>
          </w:tcPr>
          <w:p w14:paraId="134855A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590A7DC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287DE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17B88C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3020638A" w14:textId="77777777" w:rsidTr="007A584C">
        <w:trPr>
          <w:trHeight w:val="284"/>
          <w:jc w:val="center"/>
        </w:trPr>
        <w:tc>
          <w:tcPr>
            <w:tcW w:w="876" w:type="dxa"/>
            <w:shd w:val="clear" w:color="auto" w:fill="BDD6EE" w:themeFill="accent1" w:themeFillTint="66"/>
            <w:vAlign w:val="center"/>
            <w:hideMark/>
          </w:tcPr>
          <w:p w14:paraId="5F3F294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151EC76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sobre las Finanzas de los Hogares</w:t>
            </w:r>
          </w:p>
        </w:tc>
        <w:tc>
          <w:tcPr>
            <w:tcW w:w="1140" w:type="dxa"/>
            <w:shd w:val="clear" w:color="auto" w:fill="BDD6EE" w:themeFill="accent1" w:themeFillTint="66"/>
            <w:vAlign w:val="center"/>
            <w:hideMark/>
          </w:tcPr>
          <w:p w14:paraId="58D3BE7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E3F8A9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76B594A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2F13DE6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2847B6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BDD6EE" w:themeFill="accent1" w:themeFillTint="66"/>
            <w:vAlign w:val="center"/>
            <w:hideMark/>
          </w:tcPr>
          <w:p w14:paraId="6240E9E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6F5A13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6DBADF6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5198C1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4617966E" w14:textId="77777777" w:rsidTr="007A584C">
        <w:trPr>
          <w:trHeight w:val="284"/>
          <w:jc w:val="center"/>
        </w:trPr>
        <w:tc>
          <w:tcPr>
            <w:tcW w:w="876" w:type="dxa"/>
            <w:shd w:val="clear" w:color="auto" w:fill="BDD6EE" w:themeFill="accent1" w:themeFillTint="66"/>
            <w:vAlign w:val="center"/>
            <w:hideMark/>
          </w:tcPr>
          <w:p w14:paraId="6597716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7DE69F89"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 de Divorcios</w:t>
            </w:r>
          </w:p>
        </w:tc>
        <w:tc>
          <w:tcPr>
            <w:tcW w:w="1140" w:type="dxa"/>
            <w:shd w:val="clear" w:color="auto" w:fill="BDD6EE" w:themeFill="accent1" w:themeFillTint="66"/>
            <w:vAlign w:val="center"/>
            <w:hideMark/>
          </w:tcPr>
          <w:p w14:paraId="1383352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2B9B89C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0900E13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01CC0F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0C79E2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BDD6EE" w:themeFill="accent1" w:themeFillTint="66"/>
            <w:vAlign w:val="center"/>
            <w:hideMark/>
          </w:tcPr>
          <w:p w14:paraId="3AF72BC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3756549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05F8B6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17DE71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572AA3E0" w14:textId="77777777" w:rsidTr="007A584C">
        <w:trPr>
          <w:trHeight w:val="284"/>
          <w:jc w:val="center"/>
        </w:trPr>
        <w:tc>
          <w:tcPr>
            <w:tcW w:w="876" w:type="dxa"/>
            <w:shd w:val="clear" w:color="auto" w:fill="BDD6EE" w:themeFill="accent1" w:themeFillTint="66"/>
            <w:vAlign w:val="center"/>
            <w:hideMark/>
          </w:tcPr>
          <w:p w14:paraId="11F2C67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DGGMA</w:t>
            </w:r>
          </w:p>
        </w:tc>
        <w:tc>
          <w:tcPr>
            <w:tcW w:w="3936" w:type="dxa"/>
            <w:shd w:val="clear" w:color="auto" w:fill="BDD6EE" w:themeFill="accent1" w:themeFillTint="66"/>
            <w:vAlign w:val="center"/>
            <w:hideMark/>
          </w:tcPr>
          <w:p w14:paraId="29B4882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Información Catastral, Registral y Territorial</w:t>
            </w:r>
          </w:p>
        </w:tc>
        <w:tc>
          <w:tcPr>
            <w:tcW w:w="1140" w:type="dxa"/>
            <w:shd w:val="clear" w:color="auto" w:fill="BDD6EE" w:themeFill="accent1" w:themeFillTint="66"/>
            <w:vAlign w:val="center"/>
            <w:hideMark/>
          </w:tcPr>
          <w:p w14:paraId="0DD8914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484AC28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7714F46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79F0107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09B3ABC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BDD6EE" w:themeFill="accent1" w:themeFillTint="66"/>
            <w:noWrap/>
            <w:vAlign w:val="bottom"/>
            <w:hideMark/>
          </w:tcPr>
          <w:p w14:paraId="4CD193F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1F27083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681" w:type="dxa"/>
            <w:shd w:val="clear" w:color="auto" w:fill="DEEAF6" w:themeFill="accent1" w:themeFillTint="33"/>
            <w:vAlign w:val="center"/>
            <w:hideMark/>
          </w:tcPr>
          <w:p w14:paraId="3772B50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6982E0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E2E39AD" w14:textId="77777777" w:rsidTr="007A584C">
        <w:trPr>
          <w:trHeight w:val="284"/>
          <w:jc w:val="center"/>
        </w:trPr>
        <w:tc>
          <w:tcPr>
            <w:tcW w:w="876" w:type="dxa"/>
            <w:shd w:val="clear" w:color="auto" w:fill="DEEAF6" w:themeFill="accent1" w:themeFillTint="33"/>
            <w:vAlign w:val="center"/>
            <w:hideMark/>
          </w:tcPr>
          <w:p w14:paraId="19DDA05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665D0CE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Estadísticas sobre Relaciones Laborales de Jurisdicción Local</w:t>
            </w:r>
          </w:p>
        </w:tc>
        <w:tc>
          <w:tcPr>
            <w:tcW w:w="1140" w:type="dxa"/>
            <w:shd w:val="clear" w:color="auto" w:fill="DEEAF6" w:themeFill="accent1" w:themeFillTint="33"/>
            <w:vAlign w:val="center"/>
            <w:hideMark/>
          </w:tcPr>
          <w:p w14:paraId="1AC42D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731D899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4F34D66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3910FD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5BD68B7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50B2659F"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66F1607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50EE8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37F5DD0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00D9C428" w14:textId="77777777" w:rsidTr="007A584C">
        <w:trPr>
          <w:trHeight w:val="284"/>
          <w:jc w:val="center"/>
        </w:trPr>
        <w:tc>
          <w:tcPr>
            <w:tcW w:w="876" w:type="dxa"/>
            <w:shd w:val="clear" w:color="auto" w:fill="DEEAF6" w:themeFill="accent1" w:themeFillTint="33"/>
            <w:vAlign w:val="center"/>
            <w:hideMark/>
          </w:tcPr>
          <w:p w14:paraId="7E6788A5"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64F22A3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Módulo sobre Lectura</w:t>
            </w:r>
          </w:p>
        </w:tc>
        <w:tc>
          <w:tcPr>
            <w:tcW w:w="1140" w:type="dxa"/>
            <w:shd w:val="clear" w:color="auto" w:fill="DEEAF6" w:themeFill="accent1" w:themeFillTint="33"/>
            <w:vAlign w:val="center"/>
            <w:hideMark/>
          </w:tcPr>
          <w:p w14:paraId="394B293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37938F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2C8C0E1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14063D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4E83CE8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3196C17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7F88194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233F14C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460D21E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03A4341A" w14:textId="77777777" w:rsidTr="007A584C">
        <w:trPr>
          <w:trHeight w:val="284"/>
          <w:jc w:val="center"/>
        </w:trPr>
        <w:tc>
          <w:tcPr>
            <w:tcW w:w="876" w:type="dxa"/>
            <w:shd w:val="clear" w:color="auto" w:fill="DEEAF6" w:themeFill="accent1" w:themeFillTint="33"/>
            <w:vAlign w:val="center"/>
            <w:hideMark/>
          </w:tcPr>
          <w:p w14:paraId="3D46D8F8"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61FE82E7"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Módulo sobre Eventos Culturales Seleccionados</w:t>
            </w:r>
          </w:p>
        </w:tc>
        <w:tc>
          <w:tcPr>
            <w:tcW w:w="1140" w:type="dxa"/>
            <w:shd w:val="clear" w:color="auto" w:fill="DEEAF6" w:themeFill="accent1" w:themeFillTint="33"/>
            <w:vAlign w:val="center"/>
            <w:hideMark/>
          </w:tcPr>
          <w:p w14:paraId="7BF0B0E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5BC0929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05C3CB7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361B20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15F7A4E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587E6DD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054899D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D43751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2FEF1FD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21477E65" w14:textId="77777777" w:rsidTr="007A584C">
        <w:trPr>
          <w:trHeight w:val="284"/>
          <w:jc w:val="center"/>
        </w:trPr>
        <w:tc>
          <w:tcPr>
            <w:tcW w:w="876" w:type="dxa"/>
            <w:shd w:val="clear" w:color="auto" w:fill="DEEAF6" w:themeFill="accent1" w:themeFillTint="33"/>
            <w:vAlign w:val="center"/>
            <w:hideMark/>
          </w:tcPr>
          <w:p w14:paraId="4D6F6C2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DEEAF6" w:themeFill="accent1" w:themeFillTint="33"/>
            <w:vAlign w:val="center"/>
            <w:hideMark/>
          </w:tcPr>
          <w:p w14:paraId="4694586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Centros de Justicia para las Mujeres</w:t>
            </w:r>
          </w:p>
        </w:tc>
        <w:tc>
          <w:tcPr>
            <w:tcW w:w="1140" w:type="dxa"/>
            <w:shd w:val="clear" w:color="auto" w:fill="DEEAF6" w:themeFill="accent1" w:themeFillTint="33"/>
            <w:vAlign w:val="center"/>
            <w:hideMark/>
          </w:tcPr>
          <w:p w14:paraId="440F36A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16B0DEC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1A5FCCB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683D60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15A9D8B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2FEAF1F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6352622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6A8B896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623AA4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5CDDE887" w14:textId="77777777" w:rsidTr="007A584C">
        <w:trPr>
          <w:trHeight w:val="284"/>
          <w:jc w:val="center"/>
        </w:trPr>
        <w:tc>
          <w:tcPr>
            <w:tcW w:w="876" w:type="dxa"/>
            <w:shd w:val="clear" w:color="auto" w:fill="DEEAF6" w:themeFill="accent1" w:themeFillTint="33"/>
            <w:vAlign w:val="center"/>
            <w:hideMark/>
          </w:tcPr>
          <w:p w14:paraId="4EC8A90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DGEGSPJ</w:t>
            </w:r>
          </w:p>
        </w:tc>
        <w:tc>
          <w:tcPr>
            <w:tcW w:w="3936" w:type="dxa"/>
            <w:shd w:val="clear" w:color="auto" w:fill="DEEAF6" w:themeFill="accent1" w:themeFillTint="33"/>
            <w:vAlign w:val="center"/>
            <w:hideMark/>
          </w:tcPr>
          <w:p w14:paraId="030A590E"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Módulo sobre Ciberacoso</w:t>
            </w:r>
          </w:p>
        </w:tc>
        <w:tc>
          <w:tcPr>
            <w:tcW w:w="1140" w:type="dxa"/>
            <w:shd w:val="clear" w:color="auto" w:fill="DEEAF6" w:themeFill="accent1" w:themeFillTint="33"/>
            <w:vAlign w:val="center"/>
            <w:hideMark/>
          </w:tcPr>
          <w:p w14:paraId="3F070ED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0CD0C35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3FE1E54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5825890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33064F7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noWrap/>
            <w:vAlign w:val="bottom"/>
            <w:hideMark/>
          </w:tcPr>
          <w:p w14:paraId="14229EF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0F38EEF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1634BBB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001265F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6538143B" w14:textId="77777777" w:rsidTr="007A584C">
        <w:trPr>
          <w:trHeight w:val="284"/>
          <w:jc w:val="center"/>
        </w:trPr>
        <w:tc>
          <w:tcPr>
            <w:tcW w:w="876" w:type="dxa"/>
            <w:shd w:val="clear" w:color="auto" w:fill="DEEAF6" w:themeFill="accent1" w:themeFillTint="33"/>
            <w:vAlign w:val="center"/>
            <w:hideMark/>
          </w:tcPr>
          <w:p w14:paraId="482E674C"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373DB76F"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Encuesta Nacional de Acceso y Permanencia Escolar</w:t>
            </w:r>
          </w:p>
        </w:tc>
        <w:tc>
          <w:tcPr>
            <w:tcW w:w="1140" w:type="dxa"/>
            <w:shd w:val="clear" w:color="auto" w:fill="DEEAF6" w:themeFill="accent1" w:themeFillTint="33"/>
            <w:vAlign w:val="center"/>
            <w:hideMark/>
          </w:tcPr>
          <w:p w14:paraId="55B2FB9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4E6A704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6463066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45F95B6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0A33A0C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79AB0A5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31B9947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3781445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c>
          <w:tcPr>
            <w:tcW w:w="1054" w:type="dxa"/>
            <w:shd w:val="clear" w:color="auto" w:fill="BDD6EE" w:themeFill="accent1" w:themeFillTint="66"/>
            <w:vAlign w:val="center"/>
            <w:hideMark/>
          </w:tcPr>
          <w:p w14:paraId="75269BE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2203B0DD" w14:textId="77777777" w:rsidTr="007A584C">
        <w:trPr>
          <w:trHeight w:val="284"/>
          <w:jc w:val="center"/>
        </w:trPr>
        <w:tc>
          <w:tcPr>
            <w:tcW w:w="876" w:type="dxa"/>
            <w:shd w:val="clear" w:color="auto" w:fill="BDD6EE" w:themeFill="accent1" w:themeFillTint="66"/>
            <w:vAlign w:val="center"/>
            <w:hideMark/>
          </w:tcPr>
          <w:p w14:paraId="336D0C80"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BDD6EE" w:themeFill="accent1" w:themeFillTint="66"/>
            <w:vAlign w:val="center"/>
            <w:hideMark/>
          </w:tcPr>
          <w:p w14:paraId="79856802"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Marco Maestro de Muestreo</w:t>
            </w:r>
          </w:p>
        </w:tc>
        <w:tc>
          <w:tcPr>
            <w:tcW w:w="1140" w:type="dxa"/>
            <w:shd w:val="clear" w:color="auto" w:fill="BDD6EE" w:themeFill="accent1" w:themeFillTint="66"/>
            <w:vAlign w:val="center"/>
            <w:hideMark/>
          </w:tcPr>
          <w:p w14:paraId="0DF408F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BDD6EE" w:themeFill="accent1" w:themeFillTint="66"/>
            <w:vAlign w:val="center"/>
            <w:hideMark/>
          </w:tcPr>
          <w:p w14:paraId="6607D4E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BDD6EE" w:themeFill="accent1" w:themeFillTint="66"/>
            <w:vAlign w:val="center"/>
            <w:hideMark/>
          </w:tcPr>
          <w:p w14:paraId="557F631B"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BDD6EE" w:themeFill="accent1" w:themeFillTint="66"/>
            <w:vAlign w:val="center"/>
            <w:hideMark/>
          </w:tcPr>
          <w:p w14:paraId="1309DDB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BDD6EE" w:themeFill="accent1" w:themeFillTint="66"/>
            <w:vAlign w:val="center"/>
            <w:hideMark/>
          </w:tcPr>
          <w:p w14:paraId="7C8ADC2A"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BDD6EE" w:themeFill="accent1" w:themeFillTint="66"/>
            <w:vAlign w:val="center"/>
            <w:hideMark/>
          </w:tcPr>
          <w:p w14:paraId="762D23AD"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BDD6EE" w:themeFill="accent1" w:themeFillTint="66"/>
            <w:vAlign w:val="center"/>
            <w:hideMark/>
          </w:tcPr>
          <w:p w14:paraId="3CBE9DC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BDD6EE" w:themeFill="accent1" w:themeFillTint="66"/>
            <w:vAlign w:val="center"/>
            <w:hideMark/>
          </w:tcPr>
          <w:p w14:paraId="77B6E354"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054" w:type="dxa"/>
            <w:shd w:val="clear" w:color="auto" w:fill="BDD6EE" w:themeFill="accent1" w:themeFillTint="66"/>
            <w:vAlign w:val="center"/>
            <w:hideMark/>
          </w:tcPr>
          <w:p w14:paraId="3E3C1523"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X</w:t>
            </w:r>
          </w:p>
        </w:tc>
      </w:tr>
      <w:tr w:rsidR="000F54A5" w:rsidRPr="009A501D" w14:paraId="636A86E4" w14:textId="77777777" w:rsidTr="007A584C">
        <w:trPr>
          <w:trHeight w:val="284"/>
          <w:jc w:val="center"/>
        </w:trPr>
        <w:tc>
          <w:tcPr>
            <w:tcW w:w="876" w:type="dxa"/>
            <w:shd w:val="clear" w:color="auto" w:fill="DEEAF6" w:themeFill="accent1" w:themeFillTint="33"/>
            <w:vAlign w:val="center"/>
            <w:hideMark/>
          </w:tcPr>
          <w:p w14:paraId="02A4DD43"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09C9180D"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Estimación de Características Sociodemográficas en Áreas Pequeñas</w:t>
            </w:r>
          </w:p>
        </w:tc>
        <w:tc>
          <w:tcPr>
            <w:tcW w:w="1140" w:type="dxa"/>
            <w:shd w:val="clear" w:color="auto" w:fill="DEEAF6" w:themeFill="accent1" w:themeFillTint="33"/>
            <w:vAlign w:val="center"/>
            <w:hideMark/>
          </w:tcPr>
          <w:p w14:paraId="02AC73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2CE56DD2"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78B2D0A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7EFABB6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73F455A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7F85DB06"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4D3077C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576FFE35"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054" w:type="dxa"/>
            <w:shd w:val="clear" w:color="auto" w:fill="DEEAF6" w:themeFill="accent1" w:themeFillTint="33"/>
            <w:vAlign w:val="center"/>
            <w:hideMark/>
          </w:tcPr>
          <w:p w14:paraId="7E782D30"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r w:rsidR="000F54A5" w:rsidRPr="009A501D" w14:paraId="31A18DCF" w14:textId="77777777" w:rsidTr="007A584C">
        <w:trPr>
          <w:trHeight w:val="284"/>
          <w:jc w:val="center"/>
        </w:trPr>
        <w:tc>
          <w:tcPr>
            <w:tcW w:w="876" w:type="dxa"/>
            <w:shd w:val="clear" w:color="auto" w:fill="DEEAF6" w:themeFill="accent1" w:themeFillTint="33"/>
            <w:vAlign w:val="center"/>
            <w:hideMark/>
          </w:tcPr>
          <w:p w14:paraId="08C5CDC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DGES</w:t>
            </w:r>
          </w:p>
        </w:tc>
        <w:tc>
          <w:tcPr>
            <w:tcW w:w="3936" w:type="dxa"/>
            <w:shd w:val="clear" w:color="auto" w:fill="DEEAF6" w:themeFill="accent1" w:themeFillTint="33"/>
            <w:vAlign w:val="center"/>
            <w:hideMark/>
          </w:tcPr>
          <w:p w14:paraId="2774ACFB" w14:textId="77777777" w:rsidR="000F54A5" w:rsidRPr="009A501D" w:rsidRDefault="000F54A5" w:rsidP="00BE0B71">
            <w:pPr>
              <w:spacing w:after="0" w:line="240" w:lineRule="auto"/>
              <w:rPr>
                <w:rFonts w:ascii="Century Gothic" w:eastAsia="Times New Roman" w:hAnsi="Century Gothic" w:cs="Arial"/>
                <w:sz w:val="16"/>
                <w:szCs w:val="16"/>
                <w:lang w:eastAsia="es-MX"/>
              </w:rPr>
            </w:pPr>
            <w:r w:rsidRPr="009A501D">
              <w:rPr>
                <w:rFonts w:ascii="Century Gothic" w:eastAsia="Times New Roman" w:hAnsi="Century Gothic" w:cs="Arial"/>
                <w:sz w:val="16"/>
                <w:szCs w:val="16"/>
                <w:lang w:eastAsia="es-MX"/>
              </w:rPr>
              <w:t>Evaluación Cognitiva para la ENASEM</w:t>
            </w:r>
          </w:p>
        </w:tc>
        <w:tc>
          <w:tcPr>
            <w:tcW w:w="1140" w:type="dxa"/>
            <w:shd w:val="clear" w:color="auto" w:fill="DEEAF6" w:themeFill="accent1" w:themeFillTint="33"/>
            <w:vAlign w:val="center"/>
            <w:hideMark/>
          </w:tcPr>
          <w:p w14:paraId="421CD08E"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83" w:type="dxa"/>
            <w:shd w:val="clear" w:color="auto" w:fill="DEEAF6" w:themeFill="accent1" w:themeFillTint="33"/>
            <w:vAlign w:val="center"/>
            <w:hideMark/>
          </w:tcPr>
          <w:p w14:paraId="6679BA57"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307" w:type="dxa"/>
            <w:shd w:val="clear" w:color="auto" w:fill="DEEAF6" w:themeFill="accent1" w:themeFillTint="33"/>
            <w:vAlign w:val="center"/>
            <w:hideMark/>
          </w:tcPr>
          <w:p w14:paraId="66EE84E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992" w:type="dxa"/>
            <w:shd w:val="clear" w:color="auto" w:fill="DEEAF6" w:themeFill="accent1" w:themeFillTint="33"/>
            <w:vAlign w:val="center"/>
            <w:hideMark/>
          </w:tcPr>
          <w:p w14:paraId="676C8D7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34" w:type="dxa"/>
            <w:shd w:val="clear" w:color="auto" w:fill="DEEAF6" w:themeFill="accent1" w:themeFillTint="33"/>
            <w:vAlign w:val="center"/>
            <w:hideMark/>
          </w:tcPr>
          <w:p w14:paraId="4A7B22DC"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57" w:type="dxa"/>
            <w:shd w:val="clear" w:color="auto" w:fill="DEEAF6" w:themeFill="accent1" w:themeFillTint="33"/>
            <w:vAlign w:val="center"/>
            <w:hideMark/>
          </w:tcPr>
          <w:p w14:paraId="70F5209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145" w:type="dxa"/>
            <w:shd w:val="clear" w:color="auto" w:fill="DEEAF6" w:themeFill="accent1" w:themeFillTint="33"/>
            <w:vAlign w:val="center"/>
            <w:hideMark/>
          </w:tcPr>
          <w:p w14:paraId="06F05CC9"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681" w:type="dxa"/>
            <w:shd w:val="clear" w:color="auto" w:fill="DEEAF6" w:themeFill="accent1" w:themeFillTint="33"/>
            <w:vAlign w:val="center"/>
            <w:hideMark/>
          </w:tcPr>
          <w:p w14:paraId="4E243E58"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c>
          <w:tcPr>
            <w:tcW w:w="1054" w:type="dxa"/>
            <w:shd w:val="clear" w:color="auto" w:fill="DEEAF6" w:themeFill="accent1" w:themeFillTint="33"/>
            <w:vAlign w:val="center"/>
            <w:hideMark/>
          </w:tcPr>
          <w:p w14:paraId="5F78A011" w14:textId="77777777" w:rsidR="000F54A5" w:rsidRPr="009A501D" w:rsidRDefault="000F54A5" w:rsidP="00BE0B71">
            <w:pPr>
              <w:spacing w:after="0" w:line="240" w:lineRule="auto"/>
              <w:jc w:val="center"/>
              <w:rPr>
                <w:rFonts w:ascii="Century Gothic" w:eastAsia="Times New Roman" w:hAnsi="Century Gothic" w:cs="Arial"/>
                <w:b/>
                <w:bCs/>
                <w:color w:val="000000"/>
                <w:sz w:val="16"/>
                <w:szCs w:val="16"/>
                <w:lang w:eastAsia="es-MX"/>
              </w:rPr>
            </w:pPr>
            <w:r w:rsidRPr="009A501D">
              <w:rPr>
                <w:rFonts w:ascii="Century Gothic" w:eastAsia="Times New Roman" w:hAnsi="Century Gothic" w:cs="Arial"/>
                <w:b/>
                <w:bCs/>
                <w:color w:val="000000"/>
                <w:sz w:val="16"/>
                <w:szCs w:val="16"/>
                <w:lang w:eastAsia="es-MX"/>
              </w:rPr>
              <w:t> </w:t>
            </w:r>
          </w:p>
        </w:tc>
      </w:tr>
    </w:tbl>
    <w:p w14:paraId="12288007" w14:textId="2C1D99D7" w:rsidR="000257B9" w:rsidRPr="00AC3CF7" w:rsidRDefault="000257B9" w:rsidP="007F2B85">
      <w:pPr>
        <w:pStyle w:val="Ttulo2"/>
        <w:rPr>
          <w:rFonts w:ascii="Century Gothic" w:hAnsi="Century Gothic"/>
          <w:sz w:val="19"/>
          <w:szCs w:val="19"/>
        </w:rPr>
      </w:pPr>
      <w:bookmarkStart w:id="5" w:name="_GoBack"/>
      <w:bookmarkEnd w:id="5"/>
    </w:p>
    <w:sectPr w:rsidR="000257B9" w:rsidRPr="00AC3CF7" w:rsidSect="007F2B85">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4829" w14:textId="77777777" w:rsidR="008D1DC3" w:rsidRDefault="008D1DC3" w:rsidP="000331FF">
      <w:pPr>
        <w:spacing w:after="0" w:line="240" w:lineRule="auto"/>
      </w:pPr>
      <w:r>
        <w:separator/>
      </w:r>
    </w:p>
  </w:endnote>
  <w:endnote w:type="continuationSeparator" w:id="0">
    <w:p w14:paraId="60A74047" w14:textId="77777777" w:rsidR="008D1DC3" w:rsidRDefault="008D1DC3" w:rsidP="000331FF">
      <w:pPr>
        <w:spacing w:after="0" w:line="240" w:lineRule="auto"/>
      </w:pPr>
      <w:r>
        <w:continuationSeparator/>
      </w:r>
    </w:p>
  </w:endnote>
  <w:endnote w:type="continuationNotice" w:id="1">
    <w:p w14:paraId="0C6DE5CB" w14:textId="77777777" w:rsidR="008D1DC3" w:rsidRDefault="008D1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3617"/>
      <w:docPartObj>
        <w:docPartGallery w:val="Page Numbers (Bottom of Page)"/>
        <w:docPartUnique/>
      </w:docPartObj>
    </w:sdtPr>
    <w:sdtEndPr/>
    <w:sdtContent>
      <w:p w14:paraId="1B516E36" w14:textId="56BBEE6B" w:rsidR="00431D67" w:rsidRDefault="00431D67">
        <w:pPr>
          <w:pStyle w:val="Piedepgina"/>
          <w:jc w:val="right"/>
        </w:pPr>
        <w:r>
          <w:fldChar w:fldCharType="begin"/>
        </w:r>
        <w:r>
          <w:instrText>PAGE   \* MERGEFORMAT</w:instrText>
        </w:r>
        <w:r>
          <w:fldChar w:fldCharType="separate"/>
        </w:r>
        <w:r>
          <w:rPr>
            <w:lang w:val="es-ES"/>
          </w:rPr>
          <w:t>2</w:t>
        </w:r>
        <w:r>
          <w:fldChar w:fldCharType="end"/>
        </w:r>
      </w:p>
    </w:sdtContent>
  </w:sdt>
  <w:p w14:paraId="0BE9A2FA" w14:textId="77777777" w:rsidR="00431D67" w:rsidRDefault="00431D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69945"/>
      <w:docPartObj>
        <w:docPartGallery w:val="Page Numbers (Bottom of Page)"/>
        <w:docPartUnique/>
      </w:docPartObj>
    </w:sdtPr>
    <w:sdtEndPr/>
    <w:sdtContent>
      <w:p w14:paraId="23385DCC" w14:textId="76AD1000" w:rsidR="00431D67" w:rsidRDefault="00431D67">
        <w:pPr>
          <w:pStyle w:val="Piedepgina"/>
          <w:jc w:val="right"/>
        </w:pPr>
        <w:r>
          <w:fldChar w:fldCharType="begin"/>
        </w:r>
        <w:r>
          <w:instrText>PAGE   \* MERGEFORMAT</w:instrText>
        </w:r>
        <w:r>
          <w:fldChar w:fldCharType="separate"/>
        </w:r>
        <w:r w:rsidRPr="0023198E">
          <w:rPr>
            <w:noProof/>
            <w:lang w:val="es-ES"/>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3B8B6" w14:textId="77777777" w:rsidR="008D1DC3" w:rsidRDefault="008D1DC3" w:rsidP="000331FF">
      <w:pPr>
        <w:spacing w:after="0" w:line="240" w:lineRule="auto"/>
      </w:pPr>
      <w:r>
        <w:separator/>
      </w:r>
    </w:p>
  </w:footnote>
  <w:footnote w:type="continuationSeparator" w:id="0">
    <w:p w14:paraId="58417AAE" w14:textId="77777777" w:rsidR="008D1DC3" w:rsidRDefault="008D1DC3" w:rsidP="000331FF">
      <w:pPr>
        <w:spacing w:after="0" w:line="240" w:lineRule="auto"/>
      </w:pPr>
      <w:r>
        <w:continuationSeparator/>
      </w:r>
    </w:p>
  </w:footnote>
  <w:footnote w:type="continuationNotice" w:id="1">
    <w:p w14:paraId="677CCBA9" w14:textId="77777777" w:rsidR="008D1DC3" w:rsidRDefault="008D1DC3">
      <w:pPr>
        <w:spacing w:after="0" w:line="240" w:lineRule="auto"/>
      </w:pPr>
    </w:p>
  </w:footnote>
  <w:footnote w:id="2">
    <w:p w14:paraId="623697E4" w14:textId="6214D53A" w:rsidR="007A4A8F" w:rsidRPr="007A4A8F" w:rsidRDefault="007A4A8F">
      <w:pPr>
        <w:pStyle w:val="Textonotapie"/>
      </w:pPr>
      <w:r>
        <w:rPr>
          <w:rStyle w:val="Refdenotaalpie"/>
        </w:rPr>
        <w:footnoteRef/>
      </w:r>
      <w:r>
        <w:t xml:space="preserve"> </w:t>
      </w:r>
      <w:r w:rsidRPr="00911182">
        <w:rPr>
          <w:rFonts w:ascii="Century Gothic" w:hAnsi="Century Gothic"/>
          <w:sz w:val="16"/>
          <w:szCs w:val="16"/>
        </w:rPr>
        <w:t>Aprobados mediante los acuerdos CAC-007/05/2019</w:t>
      </w:r>
      <w:r w:rsidR="00715249">
        <w:rPr>
          <w:rFonts w:ascii="Century Gothic" w:hAnsi="Century Gothic"/>
          <w:sz w:val="16"/>
          <w:szCs w:val="16"/>
        </w:rPr>
        <w:t xml:space="preserve">, </w:t>
      </w:r>
      <w:r w:rsidRPr="00911182">
        <w:rPr>
          <w:rFonts w:ascii="Century Gothic" w:hAnsi="Century Gothic"/>
          <w:sz w:val="16"/>
          <w:szCs w:val="16"/>
        </w:rPr>
        <w:t>CAC-007/02/2021</w:t>
      </w:r>
      <w:r w:rsidR="00715249">
        <w:rPr>
          <w:rFonts w:ascii="Century Gothic" w:hAnsi="Century Gothic"/>
          <w:sz w:val="16"/>
          <w:szCs w:val="16"/>
        </w:rPr>
        <w:t xml:space="preserve"> y </w:t>
      </w:r>
      <w:r w:rsidR="00715249" w:rsidRPr="00715249">
        <w:rPr>
          <w:rFonts w:ascii="Century Gothic" w:hAnsi="Century Gothic"/>
          <w:sz w:val="16"/>
          <w:szCs w:val="16"/>
        </w:rPr>
        <w:t>CAC-008/02/2021</w:t>
      </w:r>
    </w:p>
  </w:footnote>
  <w:footnote w:id="3">
    <w:p w14:paraId="39E08FEE" w14:textId="0BD88843" w:rsidR="00431D67" w:rsidRPr="00664A1D" w:rsidRDefault="00431D67">
      <w:pPr>
        <w:pStyle w:val="Textonotapie"/>
        <w:rPr>
          <w:rFonts w:ascii="Century Gothic" w:hAnsi="Century Gothic"/>
        </w:rPr>
      </w:pPr>
      <w:r w:rsidRPr="00664A1D">
        <w:rPr>
          <w:rStyle w:val="Refdenotaalpie"/>
          <w:rFonts w:ascii="Century Gothic" w:hAnsi="Century Gothic"/>
          <w:sz w:val="16"/>
          <w:szCs w:val="16"/>
        </w:rPr>
        <w:footnoteRef/>
      </w:r>
      <w:r w:rsidRPr="00664A1D">
        <w:rPr>
          <w:rFonts w:ascii="Century Gothic" w:hAnsi="Century Gothic"/>
          <w:sz w:val="16"/>
          <w:szCs w:val="16"/>
        </w:rPr>
        <w:t xml:space="preserve"> Para mayor detalle conceptual, véase 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99B4" w14:textId="7FCC4F05" w:rsidR="00431D67" w:rsidRDefault="00431D67">
    <w:pPr>
      <w:pStyle w:val="Encabezado"/>
    </w:pPr>
    <w:r w:rsidRPr="00AC3CF7">
      <w:rPr>
        <w:rFonts w:ascii="Century Gothic" w:hAnsi="Century Gothic"/>
        <w:noProof/>
        <w:lang w:eastAsia="es-MX"/>
      </w:rPr>
      <w:drawing>
        <wp:inline distT="0" distB="0" distL="0" distR="0" wp14:anchorId="5C007497" wp14:editId="11D6CD71">
          <wp:extent cx="1108659" cy="374650"/>
          <wp:effectExtent l="0" t="0" r="0" b="6350"/>
          <wp:docPr id="17" name="Imagen 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7540" cy="384410"/>
                  </a:xfrm>
                  <a:prstGeom prst="rect">
                    <a:avLst/>
                  </a:prstGeom>
                </pic:spPr>
              </pic:pic>
            </a:graphicData>
          </a:graphic>
        </wp:inline>
      </w:drawing>
    </w:r>
  </w:p>
  <w:p w14:paraId="075A377E" w14:textId="77777777" w:rsidR="00431D67" w:rsidRDefault="00431D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82F" w14:textId="6FBA2BBA" w:rsidR="00431D67" w:rsidRDefault="00431D67" w:rsidP="00555CB3">
    <w:pPr>
      <w:pStyle w:val="Encabezado"/>
      <w:rPr>
        <w:rFonts w:ascii="Century Gothic" w:hAnsi="Century Gothic"/>
        <w:b/>
        <w:bCs/>
        <w:color w:val="002060"/>
      </w:rPr>
    </w:pPr>
    <w:r>
      <w:rPr>
        <w:rFonts w:ascii="Century Gothic" w:hAnsi="Century Gothic"/>
        <w:b/>
        <w:bCs/>
        <w:color w:val="002060"/>
      </w:rPr>
      <w:t xml:space="preserve">Informe de resultados, 2022 </w:t>
    </w:r>
    <w:r>
      <w:rPr>
        <w:rFonts w:ascii="Century Gothic" w:hAnsi="Century Gothic"/>
        <w:noProof/>
        <w:lang w:eastAsia="es-MX"/>
      </w:rPr>
      <w:t xml:space="preserve">                                                                                              </w:t>
    </w:r>
  </w:p>
  <w:p w14:paraId="2355CA42" w14:textId="77777777" w:rsidR="00431D67" w:rsidRPr="0041737A" w:rsidRDefault="00431D67">
    <w:pPr>
      <w:pStyle w:val="Encabezado"/>
      <w:rPr>
        <w:rFonts w:ascii="Century Gothic" w:hAnsi="Century Gothic"/>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39"/>
    <w:multiLevelType w:val="hybridMultilevel"/>
    <w:tmpl w:val="F25A2574"/>
    <w:lvl w:ilvl="0" w:tplc="4CDC2888">
      <w:start w:val="1"/>
      <w:numFmt w:val="bullet"/>
      <w:lvlText w:val="•"/>
      <w:lvlJc w:val="left"/>
      <w:pPr>
        <w:tabs>
          <w:tab w:val="num" w:pos="720"/>
        </w:tabs>
        <w:ind w:left="720" w:hanging="360"/>
      </w:pPr>
      <w:rPr>
        <w:rFonts w:ascii="Arial" w:hAnsi="Arial" w:hint="default"/>
      </w:rPr>
    </w:lvl>
    <w:lvl w:ilvl="1" w:tplc="58D6A616" w:tentative="1">
      <w:start w:val="1"/>
      <w:numFmt w:val="bullet"/>
      <w:lvlText w:val="•"/>
      <w:lvlJc w:val="left"/>
      <w:pPr>
        <w:tabs>
          <w:tab w:val="num" w:pos="1440"/>
        </w:tabs>
        <w:ind w:left="1440" w:hanging="360"/>
      </w:pPr>
      <w:rPr>
        <w:rFonts w:ascii="Arial" w:hAnsi="Arial" w:hint="default"/>
      </w:rPr>
    </w:lvl>
    <w:lvl w:ilvl="2" w:tplc="4008FED8" w:tentative="1">
      <w:start w:val="1"/>
      <w:numFmt w:val="bullet"/>
      <w:lvlText w:val="•"/>
      <w:lvlJc w:val="left"/>
      <w:pPr>
        <w:tabs>
          <w:tab w:val="num" w:pos="2160"/>
        </w:tabs>
        <w:ind w:left="2160" w:hanging="360"/>
      </w:pPr>
      <w:rPr>
        <w:rFonts w:ascii="Arial" w:hAnsi="Arial" w:hint="default"/>
      </w:rPr>
    </w:lvl>
    <w:lvl w:ilvl="3" w:tplc="6A1AD6F6" w:tentative="1">
      <w:start w:val="1"/>
      <w:numFmt w:val="bullet"/>
      <w:lvlText w:val="•"/>
      <w:lvlJc w:val="left"/>
      <w:pPr>
        <w:tabs>
          <w:tab w:val="num" w:pos="2880"/>
        </w:tabs>
        <w:ind w:left="2880" w:hanging="360"/>
      </w:pPr>
      <w:rPr>
        <w:rFonts w:ascii="Arial" w:hAnsi="Arial" w:hint="default"/>
      </w:rPr>
    </w:lvl>
    <w:lvl w:ilvl="4" w:tplc="37EEFF7C" w:tentative="1">
      <w:start w:val="1"/>
      <w:numFmt w:val="bullet"/>
      <w:lvlText w:val="•"/>
      <w:lvlJc w:val="left"/>
      <w:pPr>
        <w:tabs>
          <w:tab w:val="num" w:pos="3600"/>
        </w:tabs>
        <w:ind w:left="3600" w:hanging="360"/>
      </w:pPr>
      <w:rPr>
        <w:rFonts w:ascii="Arial" w:hAnsi="Arial" w:hint="default"/>
      </w:rPr>
    </w:lvl>
    <w:lvl w:ilvl="5" w:tplc="E15AB470" w:tentative="1">
      <w:start w:val="1"/>
      <w:numFmt w:val="bullet"/>
      <w:lvlText w:val="•"/>
      <w:lvlJc w:val="left"/>
      <w:pPr>
        <w:tabs>
          <w:tab w:val="num" w:pos="4320"/>
        </w:tabs>
        <w:ind w:left="4320" w:hanging="360"/>
      </w:pPr>
      <w:rPr>
        <w:rFonts w:ascii="Arial" w:hAnsi="Arial" w:hint="default"/>
      </w:rPr>
    </w:lvl>
    <w:lvl w:ilvl="6" w:tplc="BC56D8B4" w:tentative="1">
      <w:start w:val="1"/>
      <w:numFmt w:val="bullet"/>
      <w:lvlText w:val="•"/>
      <w:lvlJc w:val="left"/>
      <w:pPr>
        <w:tabs>
          <w:tab w:val="num" w:pos="5040"/>
        </w:tabs>
        <w:ind w:left="5040" w:hanging="360"/>
      </w:pPr>
      <w:rPr>
        <w:rFonts w:ascii="Arial" w:hAnsi="Arial" w:hint="default"/>
      </w:rPr>
    </w:lvl>
    <w:lvl w:ilvl="7" w:tplc="26CCAF50" w:tentative="1">
      <w:start w:val="1"/>
      <w:numFmt w:val="bullet"/>
      <w:lvlText w:val="•"/>
      <w:lvlJc w:val="left"/>
      <w:pPr>
        <w:tabs>
          <w:tab w:val="num" w:pos="5760"/>
        </w:tabs>
        <w:ind w:left="5760" w:hanging="360"/>
      </w:pPr>
      <w:rPr>
        <w:rFonts w:ascii="Arial" w:hAnsi="Arial" w:hint="default"/>
      </w:rPr>
    </w:lvl>
    <w:lvl w:ilvl="8" w:tplc="FC3AC1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42759"/>
    <w:multiLevelType w:val="hybridMultilevel"/>
    <w:tmpl w:val="99D61C0A"/>
    <w:lvl w:ilvl="0" w:tplc="3B9A0D9C">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F231E"/>
    <w:multiLevelType w:val="hybridMultilevel"/>
    <w:tmpl w:val="CB38DE6A"/>
    <w:lvl w:ilvl="0" w:tplc="66343AFA">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5371B"/>
    <w:multiLevelType w:val="hybridMultilevel"/>
    <w:tmpl w:val="2E248F14"/>
    <w:lvl w:ilvl="0" w:tplc="2FF2E75A">
      <w:numFmt w:val="bullet"/>
      <w:lvlText w:val="•"/>
      <w:lvlJc w:val="left"/>
      <w:pPr>
        <w:ind w:left="1130" w:hanging="77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634"/>
    <w:multiLevelType w:val="hybridMultilevel"/>
    <w:tmpl w:val="2CEA74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247"/>
    <w:multiLevelType w:val="hybridMultilevel"/>
    <w:tmpl w:val="37CAC3F8"/>
    <w:lvl w:ilvl="0" w:tplc="869A63D4">
      <w:start w:val="1"/>
      <w:numFmt w:val="bullet"/>
      <w:lvlText w:val="•"/>
      <w:lvlJc w:val="left"/>
      <w:pPr>
        <w:tabs>
          <w:tab w:val="num" w:pos="720"/>
        </w:tabs>
        <w:ind w:left="720" w:hanging="360"/>
      </w:pPr>
      <w:rPr>
        <w:rFonts w:ascii="Arial" w:hAnsi="Arial" w:hint="default"/>
      </w:rPr>
    </w:lvl>
    <w:lvl w:ilvl="1" w:tplc="2F3EEC54" w:tentative="1">
      <w:start w:val="1"/>
      <w:numFmt w:val="bullet"/>
      <w:lvlText w:val="•"/>
      <w:lvlJc w:val="left"/>
      <w:pPr>
        <w:tabs>
          <w:tab w:val="num" w:pos="1440"/>
        </w:tabs>
        <w:ind w:left="1440" w:hanging="360"/>
      </w:pPr>
      <w:rPr>
        <w:rFonts w:ascii="Arial" w:hAnsi="Arial" w:hint="default"/>
      </w:rPr>
    </w:lvl>
    <w:lvl w:ilvl="2" w:tplc="1316B96A" w:tentative="1">
      <w:start w:val="1"/>
      <w:numFmt w:val="bullet"/>
      <w:lvlText w:val="•"/>
      <w:lvlJc w:val="left"/>
      <w:pPr>
        <w:tabs>
          <w:tab w:val="num" w:pos="2160"/>
        </w:tabs>
        <w:ind w:left="2160" w:hanging="360"/>
      </w:pPr>
      <w:rPr>
        <w:rFonts w:ascii="Arial" w:hAnsi="Arial" w:hint="default"/>
      </w:rPr>
    </w:lvl>
    <w:lvl w:ilvl="3" w:tplc="B8483890" w:tentative="1">
      <w:start w:val="1"/>
      <w:numFmt w:val="bullet"/>
      <w:lvlText w:val="•"/>
      <w:lvlJc w:val="left"/>
      <w:pPr>
        <w:tabs>
          <w:tab w:val="num" w:pos="2880"/>
        </w:tabs>
        <w:ind w:left="2880" w:hanging="360"/>
      </w:pPr>
      <w:rPr>
        <w:rFonts w:ascii="Arial" w:hAnsi="Arial" w:hint="default"/>
      </w:rPr>
    </w:lvl>
    <w:lvl w:ilvl="4" w:tplc="3BD6D91A" w:tentative="1">
      <w:start w:val="1"/>
      <w:numFmt w:val="bullet"/>
      <w:lvlText w:val="•"/>
      <w:lvlJc w:val="left"/>
      <w:pPr>
        <w:tabs>
          <w:tab w:val="num" w:pos="3600"/>
        </w:tabs>
        <w:ind w:left="3600" w:hanging="360"/>
      </w:pPr>
      <w:rPr>
        <w:rFonts w:ascii="Arial" w:hAnsi="Arial" w:hint="default"/>
      </w:rPr>
    </w:lvl>
    <w:lvl w:ilvl="5" w:tplc="7CCE9190" w:tentative="1">
      <w:start w:val="1"/>
      <w:numFmt w:val="bullet"/>
      <w:lvlText w:val="•"/>
      <w:lvlJc w:val="left"/>
      <w:pPr>
        <w:tabs>
          <w:tab w:val="num" w:pos="4320"/>
        </w:tabs>
        <w:ind w:left="4320" w:hanging="360"/>
      </w:pPr>
      <w:rPr>
        <w:rFonts w:ascii="Arial" w:hAnsi="Arial" w:hint="default"/>
      </w:rPr>
    </w:lvl>
    <w:lvl w:ilvl="6" w:tplc="E3A6EBBA" w:tentative="1">
      <w:start w:val="1"/>
      <w:numFmt w:val="bullet"/>
      <w:lvlText w:val="•"/>
      <w:lvlJc w:val="left"/>
      <w:pPr>
        <w:tabs>
          <w:tab w:val="num" w:pos="5040"/>
        </w:tabs>
        <w:ind w:left="5040" w:hanging="360"/>
      </w:pPr>
      <w:rPr>
        <w:rFonts w:ascii="Arial" w:hAnsi="Arial" w:hint="default"/>
      </w:rPr>
    </w:lvl>
    <w:lvl w:ilvl="7" w:tplc="CEF4076E" w:tentative="1">
      <w:start w:val="1"/>
      <w:numFmt w:val="bullet"/>
      <w:lvlText w:val="•"/>
      <w:lvlJc w:val="left"/>
      <w:pPr>
        <w:tabs>
          <w:tab w:val="num" w:pos="5760"/>
        </w:tabs>
        <w:ind w:left="5760" w:hanging="360"/>
      </w:pPr>
      <w:rPr>
        <w:rFonts w:ascii="Arial" w:hAnsi="Arial" w:hint="default"/>
      </w:rPr>
    </w:lvl>
    <w:lvl w:ilvl="8" w:tplc="7F22A5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B966A3"/>
    <w:multiLevelType w:val="hybridMultilevel"/>
    <w:tmpl w:val="9D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97290"/>
    <w:multiLevelType w:val="hybridMultilevel"/>
    <w:tmpl w:val="A6DE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7E60C0"/>
    <w:multiLevelType w:val="hybridMultilevel"/>
    <w:tmpl w:val="DF20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F81812"/>
    <w:multiLevelType w:val="hybridMultilevel"/>
    <w:tmpl w:val="B01A7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2C742C"/>
    <w:multiLevelType w:val="hybridMultilevel"/>
    <w:tmpl w:val="3E76920A"/>
    <w:lvl w:ilvl="0" w:tplc="BE1A71E6">
      <w:start w:val="2"/>
      <w:numFmt w:val="upp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314D4B"/>
    <w:multiLevelType w:val="hybridMultilevel"/>
    <w:tmpl w:val="FEFA6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82D54"/>
    <w:multiLevelType w:val="hybridMultilevel"/>
    <w:tmpl w:val="8062A1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BF0199"/>
    <w:multiLevelType w:val="hybridMultilevel"/>
    <w:tmpl w:val="F2983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3E1E74"/>
    <w:multiLevelType w:val="hybridMultilevel"/>
    <w:tmpl w:val="DD361076"/>
    <w:lvl w:ilvl="0" w:tplc="08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2580F"/>
    <w:multiLevelType w:val="hybridMultilevel"/>
    <w:tmpl w:val="03927B4E"/>
    <w:lvl w:ilvl="0" w:tplc="E82EDD3A">
      <w:start w:val="1"/>
      <w:numFmt w:val="bullet"/>
      <w:lvlText w:val="•"/>
      <w:lvlJc w:val="left"/>
      <w:pPr>
        <w:tabs>
          <w:tab w:val="num" w:pos="720"/>
        </w:tabs>
        <w:ind w:left="720" w:hanging="360"/>
      </w:pPr>
      <w:rPr>
        <w:rFonts w:ascii="Times New Roman" w:hAnsi="Times New Roman" w:hint="default"/>
      </w:rPr>
    </w:lvl>
    <w:lvl w:ilvl="1" w:tplc="814CC6AA" w:tentative="1">
      <w:start w:val="1"/>
      <w:numFmt w:val="bullet"/>
      <w:lvlText w:val="•"/>
      <w:lvlJc w:val="left"/>
      <w:pPr>
        <w:tabs>
          <w:tab w:val="num" w:pos="1440"/>
        </w:tabs>
        <w:ind w:left="1440" w:hanging="360"/>
      </w:pPr>
      <w:rPr>
        <w:rFonts w:ascii="Times New Roman" w:hAnsi="Times New Roman" w:hint="default"/>
      </w:rPr>
    </w:lvl>
    <w:lvl w:ilvl="2" w:tplc="F0A46632" w:tentative="1">
      <w:start w:val="1"/>
      <w:numFmt w:val="bullet"/>
      <w:lvlText w:val="•"/>
      <w:lvlJc w:val="left"/>
      <w:pPr>
        <w:tabs>
          <w:tab w:val="num" w:pos="2160"/>
        </w:tabs>
        <w:ind w:left="2160" w:hanging="360"/>
      </w:pPr>
      <w:rPr>
        <w:rFonts w:ascii="Times New Roman" w:hAnsi="Times New Roman" w:hint="default"/>
      </w:rPr>
    </w:lvl>
    <w:lvl w:ilvl="3" w:tplc="F4260BB6" w:tentative="1">
      <w:start w:val="1"/>
      <w:numFmt w:val="bullet"/>
      <w:lvlText w:val="•"/>
      <w:lvlJc w:val="left"/>
      <w:pPr>
        <w:tabs>
          <w:tab w:val="num" w:pos="2880"/>
        </w:tabs>
        <w:ind w:left="2880" w:hanging="360"/>
      </w:pPr>
      <w:rPr>
        <w:rFonts w:ascii="Times New Roman" w:hAnsi="Times New Roman" w:hint="default"/>
      </w:rPr>
    </w:lvl>
    <w:lvl w:ilvl="4" w:tplc="C88427D4" w:tentative="1">
      <w:start w:val="1"/>
      <w:numFmt w:val="bullet"/>
      <w:lvlText w:val="•"/>
      <w:lvlJc w:val="left"/>
      <w:pPr>
        <w:tabs>
          <w:tab w:val="num" w:pos="3600"/>
        </w:tabs>
        <w:ind w:left="3600" w:hanging="360"/>
      </w:pPr>
      <w:rPr>
        <w:rFonts w:ascii="Times New Roman" w:hAnsi="Times New Roman" w:hint="default"/>
      </w:rPr>
    </w:lvl>
    <w:lvl w:ilvl="5" w:tplc="35242096" w:tentative="1">
      <w:start w:val="1"/>
      <w:numFmt w:val="bullet"/>
      <w:lvlText w:val="•"/>
      <w:lvlJc w:val="left"/>
      <w:pPr>
        <w:tabs>
          <w:tab w:val="num" w:pos="4320"/>
        </w:tabs>
        <w:ind w:left="4320" w:hanging="360"/>
      </w:pPr>
      <w:rPr>
        <w:rFonts w:ascii="Times New Roman" w:hAnsi="Times New Roman" w:hint="default"/>
      </w:rPr>
    </w:lvl>
    <w:lvl w:ilvl="6" w:tplc="629EDEB8" w:tentative="1">
      <w:start w:val="1"/>
      <w:numFmt w:val="bullet"/>
      <w:lvlText w:val="•"/>
      <w:lvlJc w:val="left"/>
      <w:pPr>
        <w:tabs>
          <w:tab w:val="num" w:pos="5040"/>
        </w:tabs>
        <w:ind w:left="5040" w:hanging="360"/>
      </w:pPr>
      <w:rPr>
        <w:rFonts w:ascii="Times New Roman" w:hAnsi="Times New Roman" w:hint="default"/>
      </w:rPr>
    </w:lvl>
    <w:lvl w:ilvl="7" w:tplc="E634F05C" w:tentative="1">
      <w:start w:val="1"/>
      <w:numFmt w:val="bullet"/>
      <w:lvlText w:val="•"/>
      <w:lvlJc w:val="left"/>
      <w:pPr>
        <w:tabs>
          <w:tab w:val="num" w:pos="5760"/>
        </w:tabs>
        <w:ind w:left="5760" w:hanging="360"/>
      </w:pPr>
      <w:rPr>
        <w:rFonts w:ascii="Times New Roman" w:hAnsi="Times New Roman" w:hint="default"/>
      </w:rPr>
    </w:lvl>
    <w:lvl w:ilvl="8" w:tplc="BDC4B7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97B7B"/>
    <w:multiLevelType w:val="hybridMultilevel"/>
    <w:tmpl w:val="94A86038"/>
    <w:lvl w:ilvl="0" w:tplc="080A0015">
      <w:start w:val="1"/>
      <w:numFmt w:val="upperLetter"/>
      <w:lvlText w:val="%1."/>
      <w:lvlJc w:val="left"/>
      <w:pPr>
        <w:ind w:left="360" w:hanging="360"/>
      </w:pPr>
    </w:lvl>
    <w:lvl w:ilvl="1" w:tplc="522E3CC2">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7722F0C"/>
    <w:multiLevelType w:val="hybridMultilevel"/>
    <w:tmpl w:val="E66696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CB450DF"/>
    <w:multiLevelType w:val="hybridMultilevel"/>
    <w:tmpl w:val="59966140"/>
    <w:lvl w:ilvl="0" w:tplc="F1586644">
      <w:start w:val="1"/>
      <w:numFmt w:val="upperLetter"/>
      <w:lvlText w:val="%1."/>
      <w:lvlJc w:val="left"/>
      <w:pPr>
        <w:ind w:left="360" w:hanging="360"/>
      </w:pPr>
      <w:rPr>
        <w:rFonts w:hint="default"/>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43EEE"/>
    <w:multiLevelType w:val="hybridMultilevel"/>
    <w:tmpl w:val="15ACC9EA"/>
    <w:lvl w:ilvl="0" w:tplc="FFFFFFFF">
      <w:start w:val="1"/>
      <w:numFmt w:val="upperLetter"/>
      <w:lvlText w:val="%1."/>
      <w:lvlJc w:val="left"/>
      <w:pPr>
        <w:ind w:left="360" w:hanging="360"/>
      </w:pPr>
    </w:lvl>
    <w:lvl w:ilvl="1" w:tplc="080A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F1C3B74"/>
    <w:multiLevelType w:val="hybridMultilevel"/>
    <w:tmpl w:val="40F8FF8E"/>
    <w:lvl w:ilvl="0" w:tplc="8F6A3B6A">
      <w:start w:val="1"/>
      <w:numFmt w:val="bullet"/>
      <w:lvlText w:val="•"/>
      <w:lvlJc w:val="left"/>
      <w:pPr>
        <w:tabs>
          <w:tab w:val="num" w:pos="720"/>
        </w:tabs>
        <w:ind w:left="720" w:hanging="360"/>
      </w:pPr>
      <w:rPr>
        <w:rFonts w:ascii="Arial" w:hAnsi="Arial" w:hint="default"/>
      </w:rPr>
    </w:lvl>
    <w:lvl w:ilvl="1" w:tplc="B80A0CEE" w:tentative="1">
      <w:start w:val="1"/>
      <w:numFmt w:val="bullet"/>
      <w:lvlText w:val="•"/>
      <w:lvlJc w:val="left"/>
      <w:pPr>
        <w:tabs>
          <w:tab w:val="num" w:pos="1440"/>
        </w:tabs>
        <w:ind w:left="1440" w:hanging="360"/>
      </w:pPr>
      <w:rPr>
        <w:rFonts w:ascii="Arial" w:hAnsi="Arial" w:hint="default"/>
      </w:rPr>
    </w:lvl>
    <w:lvl w:ilvl="2" w:tplc="5DAAD406" w:tentative="1">
      <w:start w:val="1"/>
      <w:numFmt w:val="bullet"/>
      <w:lvlText w:val="•"/>
      <w:lvlJc w:val="left"/>
      <w:pPr>
        <w:tabs>
          <w:tab w:val="num" w:pos="2160"/>
        </w:tabs>
        <w:ind w:left="2160" w:hanging="360"/>
      </w:pPr>
      <w:rPr>
        <w:rFonts w:ascii="Arial" w:hAnsi="Arial" w:hint="default"/>
      </w:rPr>
    </w:lvl>
    <w:lvl w:ilvl="3" w:tplc="8B4AF76C" w:tentative="1">
      <w:start w:val="1"/>
      <w:numFmt w:val="bullet"/>
      <w:lvlText w:val="•"/>
      <w:lvlJc w:val="left"/>
      <w:pPr>
        <w:tabs>
          <w:tab w:val="num" w:pos="2880"/>
        </w:tabs>
        <w:ind w:left="2880" w:hanging="360"/>
      </w:pPr>
      <w:rPr>
        <w:rFonts w:ascii="Arial" w:hAnsi="Arial" w:hint="default"/>
      </w:rPr>
    </w:lvl>
    <w:lvl w:ilvl="4" w:tplc="844820CC" w:tentative="1">
      <w:start w:val="1"/>
      <w:numFmt w:val="bullet"/>
      <w:lvlText w:val="•"/>
      <w:lvlJc w:val="left"/>
      <w:pPr>
        <w:tabs>
          <w:tab w:val="num" w:pos="3600"/>
        </w:tabs>
        <w:ind w:left="3600" w:hanging="360"/>
      </w:pPr>
      <w:rPr>
        <w:rFonts w:ascii="Arial" w:hAnsi="Arial" w:hint="default"/>
      </w:rPr>
    </w:lvl>
    <w:lvl w:ilvl="5" w:tplc="815C0E38" w:tentative="1">
      <w:start w:val="1"/>
      <w:numFmt w:val="bullet"/>
      <w:lvlText w:val="•"/>
      <w:lvlJc w:val="left"/>
      <w:pPr>
        <w:tabs>
          <w:tab w:val="num" w:pos="4320"/>
        </w:tabs>
        <w:ind w:left="4320" w:hanging="360"/>
      </w:pPr>
      <w:rPr>
        <w:rFonts w:ascii="Arial" w:hAnsi="Arial" w:hint="default"/>
      </w:rPr>
    </w:lvl>
    <w:lvl w:ilvl="6" w:tplc="E19CD63C" w:tentative="1">
      <w:start w:val="1"/>
      <w:numFmt w:val="bullet"/>
      <w:lvlText w:val="•"/>
      <w:lvlJc w:val="left"/>
      <w:pPr>
        <w:tabs>
          <w:tab w:val="num" w:pos="5040"/>
        </w:tabs>
        <w:ind w:left="5040" w:hanging="360"/>
      </w:pPr>
      <w:rPr>
        <w:rFonts w:ascii="Arial" w:hAnsi="Arial" w:hint="default"/>
      </w:rPr>
    </w:lvl>
    <w:lvl w:ilvl="7" w:tplc="3438B618" w:tentative="1">
      <w:start w:val="1"/>
      <w:numFmt w:val="bullet"/>
      <w:lvlText w:val="•"/>
      <w:lvlJc w:val="left"/>
      <w:pPr>
        <w:tabs>
          <w:tab w:val="num" w:pos="5760"/>
        </w:tabs>
        <w:ind w:left="5760" w:hanging="360"/>
      </w:pPr>
      <w:rPr>
        <w:rFonts w:ascii="Arial" w:hAnsi="Arial" w:hint="default"/>
      </w:rPr>
    </w:lvl>
    <w:lvl w:ilvl="8" w:tplc="30DE2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B2524"/>
    <w:multiLevelType w:val="hybridMultilevel"/>
    <w:tmpl w:val="92E62B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4A2145"/>
    <w:multiLevelType w:val="hybridMultilevel"/>
    <w:tmpl w:val="2D100988"/>
    <w:lvl w:ilvl="0" w:tplc="7804C5A8">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61ED7"/>
    <w:multiLevelType w:val="hybridMultilevel"/>
    <w:tmpl w:val="3E8878B6"/>
    <w:lvl w:ilvl="0" w:tplc="3D86A26A">
      <w:start w:val="1"/>
      <w:numFmt w:val="decimal"/>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4" w15:restartNumberingAfterBreak="0">
    <w:nsid w:val="5F574F83"/>
    <w:multiLevelType w:val="hybridMultilevel"/>
    <w:tmpl w:val="3F588D3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2B632E3"/>
    <w:multiLevelType w:val="hybridMultilevel"/>
    <w:tmpl w:val="CA6898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2D55AA9"/>
    <w:multiLevelType w:val="hybridMultilevel"/>
    <w:tmpl w:val="84B0D108"/>
    <w:lvl w:ilvl="0" w:tplc="D51E6DCE">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CA6DE6"/>
    <w:multiLevelType w:val="hybridMultilevel"/>
    <w:tmpl w:val="AAA62E40"/>
    <w:lvl w:ilvl="0" w:tplc="D40EA490">
      <w:start w:val="1"/>
      <w:numFmt w:val="bullet"/>
      <w:lvlText w:val="•"/>
      <w:lvlJc w:val="left"/>
      <w:pPr>
        <w:tabs>
          <w:tab w:val="num" w:pos="720"/>
        </w:tabs>
        <w:ind w:left="720" w:hanging="360"/>
      </w:pPr>
      <w:rPr>
        <w:rFonts w:ascii="Times New Roman" w:hAnsi="Times New Roman" w:hint="default"/>
      </w:rPr>
    </w:lvl>
    <w:lvl w:ilvl="1" w:tplc="C7F0ED06" w:tentative="1">
      <w:start w:val="1"/>
      <w:numFmt w:val="bullet"/>
      <w:lvlText w:val="•"/>
      <w:lvlJc w:val="left"/>
      <w:pPr>
        <w:tabs>
          <w:tab w:val="num" w:pos="1440"/>
        </w:tabs>
        <w:ind w:left="1440" w:hanging="360"/>
      </w:pPr>
      <w:rPr>
        <w:rFonts w:ascii="Times New Roman" w:hAnsi="Times New Roman" w:hint="default"/>
      </w:rPr>
    </w:lvl>
    <w:lvl w:ilvl="2" w:tplc="C2AAA564" w:tentative="1">
      <w:start w:val="1"/>
      <w:numFmt w:val="bullet"/>
      <w:lvlText w:val="•"/>
      <w:lvlJc w:val="left"/>
      <w:pPr>
        <w:tabs>
          <w:tab w:val="num" w:pos="2160"/>
        </w:tabs>
        <w:ind w:left="2160" w:hanging="360"/>
      </w:pPr>
      <w:rPr>
        <w:rFonts w:ascii="Times New Roman" w:hAnsi="Times New Roman" w:hint="default"/>
      </w:rPr>
    </w:lvl>
    <w:lvl w:ilvl="3" w:tplc="79867868" w:tentative="1">
      <w:start w:val="1"/>
      <w:numFmt w:val="bullet"/>
      <w:lvlText w:val="•"/>
      <w:lvlJc w:val="left"/>
      <w:pPr>
        <w:tabs>
          <w:tab w:val="num" w:pos="2880"/>
        </w:tabs>
        <w:ind w:left="2880" w:hanging="360"/>
      </w:pPr>
      <w:rPr>
        <w:rFonts w:ascii="Times New Roman" w:hAnsi="Times New Roman" w:hint="default"/>
      </w:rPr>
    </w:lvl>
    <w:lvl w:ilvl="4" w:tplc="B04260D0" w:tentative="1">
      <w:start w:val="1"/>
      <w:numFmt w:val="bullet"/>
      <w:lvlText w:val="•"/>
      <w:lvlJc w:val="left"/>
      <w:pPr>
        <w:tabs>
          <w:tab w:val="num" w:pos="3600"/>
        </w:tabs>
        <w:ind w:left="3600" w:hanging="360"/>
      </w:pPr>
      <w:rPr>
        <w:rFonts w:ascii="Times New Roman" w:hAnsi="Times New Roman" w:hint="default"/>
      </w:rPr>
    </w:lvl>
    <w:lvl w:ilvl="5" w:tplc="9E36292A" w:tentative="1">
      <w:start w:val="1"/>
      <w:numFmt w:val="bullet"/>
      <w:lvlText w:val="•"/>
      <w:lvlJc w:val="left"/>
      <w:pPr>
        <w:tabs>
          <w:tab w:val="num" w:pos="4320"/>
        </w:tabs>
        <w:ind w:left="4320" w:hanging="360"/>
      </w:pPr>
      <w:rPr>
        <w:rFonts w:ascii="Times New Roman" w:hAnsi="Times New Roman" w:hint="default"/>
      </w:rPr>
    </w:lvl>
    <w:lvl w:ilvl="6" w:tplc="894A46E0" w:tentative="1">
      <w:start w:val="1"/>
      <w:numFmt w:val="bullet"/>
      <w:lvlText w:val="•"/>
      <w:lvlJc w:val="left"/>
      <w:pPr>
        <w:tabs>
          <w:tab w:val="num" w:pos="5040"/>
        </w:tabs>
        <w:ind w:left="5040" w:hanging="360"/>
      </w:pPr>
      <w:rPr>
        <w:rFonts w:ascii="Times New Roman" w:hAnsi="Times New Roman" w:hint="default"/>
      </w:rPr>
    </w:lvl>
    <w:lvl w:ilvl="7" w:tplc="787212EE" w:tentative="1">
      <w:start w:val="1"/>
      <w:numFmt w:val="bullet"/>
      <w:lvlText w:val="•"/>
      <w:lvlJc w:val="left"/>
      <w:pPr>
        <w:tabs>
          <w:tab w:val="num" w:pos="5760"/>
        </w:tabs>
        <w:ind w:left="5760" w:hanging="360"/>
      </w:pPr>
      <w:rPr>
        <w:rFonts w:ascii="Times New Roman" w:hAnsi="Times New Roman" w:hint="default"/>
      </w:rPr>
    </w:lvl>
    <w:lvl w:ilvl="8" w:tplc="8C4492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702977"/>
    <w:multiLevelType w:val="hybridMultilevel"/>
    <w:tmpl w:val="130034B8"/>
    <w:lvl w:ilvl="0" w:tplc="FFFFFFFF">
      <w:start w:val="1"/>
      <w:numFmt w:val="upperLetter"/>
      <w:lvlText w:val="%1."/>
      <w:lvlJc w:val="left"/>
      <w:pPr>
        <w:ind w:left="360" w:hanging="360"/>
      </w:pPr>
    </w:lvl>
    <w:lvl w:ilvl="1" w:tplc="FFFFFFFF">
      <w:start w:val="1"/>
      <w:numFmt w:val="bullet"/>
      <w:lvlText w:val=""/>
      <w:lvlJc w:val="left"/>
      <w:pPr>
        <w:ind w:left="720" w:hanging="360"/>
      </w:pPr>
      <w:rPr>
        <w:rFonts w:ascii="Symbol" w:hAnsi="Symbol" w:hint="default"/>
      </w:rPr>
    </w:lvl>
    <w:lvl w:ilvl="2" w:tplc="080A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ABF7CF0"/>
    <w:multiLevelType w:val="hybridMultilevel"/>
    <w:tmpl w:val="CE46E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5E21B8"/>
    <w:multiLevelType w:val="hybridMultilevel"/>
    <w:tmpl w:val="71A681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1909FD"/>
    <w:multiLevelType w:val="hybridMultilevel"/>
    <w:tmpl w:val="71C05CF0"/>
    <w:lvl w:ilvl="0" w:tplc="F636059C">
      <w:start w:val="1"/>
      <w:numFmt w:val="bullet"/>
      <w:lvlText w:val="•"/>
      <w:lvlJc w:val="left"/>
      <w:pPr>
        <w:tabs>
          <w:tab w:val="num" w:pos="720"/>
        </w:tabs>
        <w:ind w:left="720" w:hanging="360"/>
      </w:pPr>
      <w:rPr>
        <w:rFonts w:ascii="Arial" w:hAnsi="Arial" w:hint="default"/>
      </w:rPr>
    </w:lvl>
    <w:lvl w:ilvl="1" w:tplc="A5181258">
      <w:start w:val="1"/>
      <w:numFmt w:val="bullet"/>
      <w:lvlText w:val="•"/>
      <w:lvlJc w:val="left"/>
      <w:pPr>
        <w:tabs>
          <w:tab w:val="num" w:pos="8015"/>
        </w:tabs>
        <w:ind w:left="8015" w:hanging="360"/>
      </w:pPr>
      <w:rPr>
        <w:rFonts w:ascii="Arial" w:hAnsi="Arial" w:hint="default"/>
        <w:sz w:val="28"/>
      </w:rPr>
    </w:lvl>
    <w:lvl w:ilvl="2" w:tplc="080A0003">
      <w:start w:val="1"/>
      <w:numFmt w:val="bullet"/>
      <w:lvlText w:val="o"/>
      <w:lvlJc w:val="left"/>
      <w:pPr>
        <w:tabs>
          <w:tab w:val="num" w:pos="2160"/>
        </w:tabs>
        <w:ind w:left="2160" w:hanging="360"/>
      </w:pPr>
      <w:rPr>
        <w:rFonts w:ascii="Courier New" w:hAnsi="Courier New" w:cs="Courier New" w:hint="default"/>
      </w:rPr>
    </w:lvl>
    <w:lvl w:ilvl="3" w:tplc="0B587BF8" w:tentative="1">
      <w:start w:val="1"/>
      <w:numFmt w:val="bullet"/>
      <w:lvlText w:val="•"/>
      <w:lvlJc w:val="left"/>
      <w:pPr>
        <w:tabs>
          <w:tab w:val="num" w:pos="2880"/>
        </w:tabs>
        <w:ind w:left="2880" w:hanging="360"/>
      </w:pPr>
      <w:rPr>
        <w:rFonts w:ascii="Arial" w:hAnsi="Arial" w:hint="default"/>
      </w:rPr>
    </w:lvl>
    <w:lvl w:ilvl="4" w:tplc="6B6C75E2" w:tentative="1">
      <w:start w:val="1"/>
      <w:numFmt w:val="bullet"/>
      <w:lvlText w:val="•"/>
      <w:lvlJc w:val="left"/>
      <w:pPr>
        <w:tabs>
          <w:tab w:val="num" w:pos="3600"/>
        </w:tabs>
        <w:ind w:left="3600" w:hanging="360"/>
      </w:pPr>
      <w:rPr>
        <w:rFonts w:ascii="Arial" w:hAnsi="Arial" w:hint="default"/>
      </w:rPr>
    </w:lvl>
    <w:lvl w:ilvl="5" w:tplc="CEA04446" w:tentative="1">
      <w:start w:val="1"/>
      <w:numFmt w:val="bullet"/>
      <w:lvlText w:val="•"/>
      <w:lvlJc w:val="left"/>
      <w:pPr>
        <w:tabs>
          <w:tab w:val="num" w:pos="4320"/>
        </w:tabs>
        <w:ind w:left="4320" w:hanging="360"/>
      </w:pPr>
      <w:rPr>
        <w:rFonts w:ascii="Arial" w:hAnsi="Arial" w:hint="default"/>
      </w:rPr>
    </w:lvl>
    <w:lvl w:ilvl="6" w:tplc="8FEAA1A4" w:tentative="1">
      <w:start w:val="1"/>
      <w:numFmt w:val="bullet"/>
      <w:lvlText w:val="•"/>
      <w:lvlJc w:val="left"/>
      <w:pPr>
        <w:tabs>
          <w:tab w:val="num" w:pos="5040"/>
        </w:tabs>
        <w:ind w:left="5040" w:hanging="360"/>
      </w:pPr>
      <w:rPr>
        <w:rFonts w:ascii="Arial" w:hAnsi="Arial" w:hint="default"/>
      </w:rPr>
    </w:lvl>
    <w:lvl w:ilvl="7" w:tplc="7F60F17A" w:tentative="1">
      <w:start w:val="1"/>
      <w:numFmt w:val="bullet"/>
      <w:lvlText w:val="•"/>
      <w:lvlJc w:val="left"/>
      <w:pPr>
        <w:tabs>
          <w:tab w:val="num" w:pos="5760"/>
        </w:tabs>
        <w:ind w:left="5760" w:hanging="360"/>
      </w:pPr>
      <w:rPr>
        <w:rFonts w:ascii="Arial" w:hAnsi="Arial" w:hint="default"/>
      </w:rPr>
    </w:lvl>
    <w:lvl w:ilvl="8" w:tplc="909E8042"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5"/>
  </w:num>
  <w:num w:numId="3">
    <w:abstractNumId w:val="27"/>
  </w:num>
  <w:num w:numId="4">
    <w:abstractNumId w:val="11"/>
  </w:num>
  <w:num w:numId="5">
    <w:abstractNumId w:val="0"/>
  </w:num>
  <w:num w:numId="6">
    <w:abstractNumId w:val="5"/>
  </w:num>
  <w:num w:numId="7">
    <w:abstractNumId w:val="20"/>
  </w:num>
  <w:num w:numId="8">
    <w:abstractNumId w:val="17"/>
  </w:num>
  <w:num w:numId="9">
    <w:abstractNumId w:val="2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4"/>
  </w:num>
  <w:num w:numId="14">
    <w:abstractNumId w:val="8"/>
  </w:num>
  <w:num w:numId="15">
    <w:abstractNumId w:val="9"/>
  </w:num>
  <w:num w:numId="16">
    <w:abstractNumId w:val="7"/>
  </w:num>
  <w:num w:numId="17">
    <w:abstractNumId w:val="13"/>
  </w:num>
  <w:num w:numId="18">
    <w:abstractNumId w:val="23"/>
  </w:num>
  <w:num w:numId="19">
    <w:abstractNumId w:val="12"/>
  </w:num>
  <w:num w:numId="20">
    <w:abstractNumId w:val="21"/>
  </w:num>
  <w:num w:numId="21">
    <w:abstractNumId w:val="16"/>
  </w:num>
  <w:num w:numId="22">
    <w:abstractNumId w:val="19"/>
  </w:num>
  <w:num w:numId="23">
    <w:abstractNumId w:val="28"/>
  </w:num>
  <w:num w:numId="24">
    <w:abstractNumId w:val="18"/>
  </w:num>
  <w:num w:numId="25">
    <w:abstractNumId w:val="22"/>
  </w:num>
  <w:num w:numId="26">
    <w:abstractNumId w:val="2"/>
  </w:num>
  <w:num w:numId="27">
    <w:abstractNumId w:val="14"/>
  </w:num>
  <w:num w:numId="28">
    <w:abstractNumId w:val="1"/>
  </w:num>
  <w:num w:numId="29">
    <w:abstractNumId w:val="10"/>
  </w:num>
  <w:num w:numId="30">
    <w:abstractNumId w:val="26"/>
  </w:num>
  <w:num w:numId="31">
    <w:abstractNumId w:val="29"/>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2C"/>
    <w:rsid w:val="00000897"/>
    <w:rsid w:val="00000B6F"/>
    <w:rsid w:val="00000EB5"/>
    <w:rsid w:val="0000111B"/>
    <w:rsid w:val="000017BE"/>
    <w:rsid w:val="00001F55"/>
    <w:rsid w:val="000024AF"/>
    <w:rsid w:val="0000255C"/>
    <w:rsid w:val="000034BB"/>
    <w:rsid w:val="00003D18"/>
    <w:rsid w:val="0000497F"/>
    <w:rsid w:val="00004A1F"/>
    <w:rsid w:val="00005687"/>
    <w:rsid w:val="00005717"/>
    <w:rsid w:val="000057FA"/>
    <w:rsid w:val="00005E74"/>
    <w:rsid w:val="00006C61"/>
    <w:rsid w:val="000070EC"/>
    <w:rsid w:val="00007243"/>
    <w:rsid w:val="000077C0"/>
    <w:rsid w:val="000104EB"/>
    <w:rsid w:val="00010D7F"/>
    <w:rsid w:val="00010FD0"/>
    <w:rsid w:val="00011807"/>
    <w:rsid w:val="00011E7F"/>
    <w:rsid w:val="00012320"/>
    <w:rsid w:val="0001337F"/>
    <w:rsid w:val="00014869"/>
    <w:rsid w:val="00014A00"/>
    <w:rsid w:val="00015158"/>
    <w:rsid w:val="00015160"/>
    <w:rsid w:val="000158DC"/>
    <w:rsid w:val="00015C47"/>
    <w:rsid w:val="00016698"/>
    <w:rsid w:val="00016BBE"/>
    <w:rsid w:val="00016EB4"/>
    <w:rsid w:val="00017207"/>
    <w:rsid w:val="00017748"/>
    <w:rsid w:val="00017B4D"/>
    <w:rsid w:val="00020B0E"/>
    <w:rsid w:val="000219DC"/>
    <w:rsid w:val="00021DF2"/>
    <w:rsid w:val="00021ED7"/>
    <w:rsid w:val="00022134"/>
    <w:rsid w:val="00022555"/>
    <w:rsid w:val="00023B0E"/>
    <w:rsid w:val="00023D16"/>
    <w:rsid w:val="000243E7"/>
    <w:rsid w:val="000248EF"/>
    <w:rsid w:val="000249A7"/>
    <w:rsid w:val="00025561"/>
    <w:rsid w:val="000257B9"/>
    <w:rsid w:val="000257C5"/>
    <w:rsid w:val="0002668B"/>
    <w:rsid w:val="0002668D"/>
    <w:rsid w:val="0002683F"/>
    <w:rsid w:val="00026918"/>
    <w:rsid w:val="00026CAB"/>
    <w:rsid w:val="00026E99"/>
    <w:rsid w:val="00026F07"/>
    <w:rsid w:val="0002767F"/>
    <w:rsid w:val="000276B7"/>
    <w:rsid w:val="00027859"/>
    <w:rsid w:val="00027F1D"/>
    <w:rsid w:val="0003150D"/>
    <w:rsid w:val="00031897"/>
    <w:rsid w:val="000331C1"/>
    <w:rsid w:val="000331FF"/>
    <w:rsid w:val="00033302"/>
    <w:rsid w:val="00033375"/>
    <w:rsid w:val="00033398"/>
    <w:rsid w:val="0003352B"/>
    <w:rsid w:val="00033654"/>
    <w:rsid w:val="00033A97"/>
    <w:rsid w:val="00033F8D"/>
    <w:rsid w:val="00033FD4"/>
    <w:rsid w:val="0003413E"/>
    <w:rsid w:val="00034617"/>
    <w:rsid w:val="0003498B"/>
    <w:rsid w:val="00035BE4"/>
    <w:rsid w:val="00036059"/>
    <w:rsid w:val="00036138"/>
    <w:rsid w:val="00036FD3"/>
    <w:rsid w:val="00036FE5"/>
    <w:rsid w:val="00037252"/>
    <w:rsid w:val="00037355"/>
    <w:rsid w:val="0003747C"/>
    <w:rsid w:val="00037855"/>
    <w:rsid w:val="00037DA5"/>
    <w:rsid w:val="000402A8"/>
    <w:rsid w:val="000412B6"/>
    <w:rsid w:val="00041544"/>
    <w:rsid w:val="0004156C"/>
    <w:rsid w:val="00041616"/>
    <w:rsid w:val="000416D7"/>
    <w:rsid w:val="000417E4"/>
    <w:rsid w:val="00042159"/>
    <w:rsid w:val="0004252C"/>
    <w:rsid w:val="000430D6"/>
    <w:rsid w:val="00043202"/>
    <w:rsid w:val="00043B91"/>
    <w:rsid w:val="00043B97"/>
    <w:rsid w:val="000440A5"/>
    <w:rsid w:val="00044C0C"/>
    <w:rsid w:val="00044F5A"/>
    <w:rsid w:val="00044F82"/>
    <w:rsid w:val="0004512F"/>
    <w:rsid w:val="00045D14"/>
    <w:rsid w:val="000460C4"/>
    <w:rsid w:val="000466EE"/>
    <w:rsid w:val="00047124"/>
    <w:rsid w:val="000509DF"/>
    <w:rsid w:val="00051413"/>
    <w:rsid w:val="000514C3"/>
    <w:rsid w:val="000516D5"/>
    <w:rsid w:val="000518C8"/>
    <w:rsid w:val="00051DC7"/>
    <w:rsid w:val="00051E4E"/>
    <w:rsid w:val="00051F54"/>
    <w:rsid w:val="000527B7"/>
    <w:rsid w:val="00052F2C"/>
    <w:rsid w:val="00052FCC"/>
    <w:rsid w:val="00053D6C"/>
    <w:rsid w:val="00053E3F"/>
    <w:rsid w:val="00054590"/>
    <w:rsid w:val="0005517E"/>
    <w:rsid w:val="00055192"/>
    <w:rsid w:val="00055689"/>
    <w:rsid w:val="00055C06"/>
    <w:rsid w:val="00055D73"/>
    <w:rsid w:val="00055F51"/>
    <w:rsid w:val="0005607D"/>
    <w:rsid w:val="0005634A"/>
    <w:rsid w:val="000563F3"/>
    <w:rsid w:val="000566E5"/>
    <w:rsid w:val="0005693B"/>
    <w:rsid w:val="000569BD"/>
    <w:rsid w:val="00056E74"/>
    <w:rsid w:val="00057000"/>
    <w:rsid w:val="0005759B"/>
    <w:rsid w:val="00057616"/>
    <w:rsid w:val="00057C1E"/>
    <w:rsid w:val="00057EAF"/>
    <w:rsid w:val="000600DC"/>
    <w:rsid w:val="00060A9D"/>
    <w:rsid w:val="00061DA1"/>
    <w:rsid w:val="00062387"/>
    <w:rsid w:val="0006275D"/>
    <w:rsid w:val="00062990"/>
    <w:rsid w:val="00063022"/>
    <w:rsid w:val="00063181"/>
    <w:rsid w:val="000632CD"/>
    <w:rsid w:val="0006343F"/>
    <w:rsid w:val="000636C5"/>
    <w:rsid w:val="00064154"/>
    <w:rsid w:val="00065249"/>
    <w:rsid w:val="0006554F"/>
    <w:rsid w:val="000656F6"/>
    <w:rsid w:val="0006630A"/>
    <w:rsid w:val="0006630D"/>
    <w:rsid w:val="0006657D"/>
    <w:rsid w:val="000667A8"/>
    <w:rsid w:val="00066A8E"/>
    <w:rsid w:val="00067532"/>
    <w:rsid w:val="00067C2B"/>
    <w:rsid w:val="00067C6C"/>
    <w:rsid w:val="000704F7"/>
    <w:rsid w:val="00070768"/>
    <w:rsid w:val="00070FBC"/>
    <w:rsid w:val="00071CD3"/>
    <w:rsid w:val="00071D57"/>
    <w:rsid w:val="00072188"/>
    <w:rsid w:val="000725ED"/>
    <w:rsid w:val="00072718"/>
    <w:rsid w:val="00072EC7"/>
    <w:rsid w:val="0007375D"/>
    <w:rsid w:val="00073E00"/>
    <w:rsid w:val="0007427D"/>
    <w:rsid w:val="00074520"/>
    <w:rsid w:val="00074E2F"/>
    <w:rsid w:val="00074FB7"/>
    <w:rsid w:val="00075651"/>
    <w:rsid w:val="00075CFB"/>
    <w:rsid w:val="000762EF"/>
    <w:rsid w:val="0007653E"/>
    <w:rsid w:val="00076AA1"/>
    <w:rsid w:val="00076ADC"/>
    <w:rsid w:val="00076B9B"/>
    <w:rsid w:val="00076E8F"/>
    <w:rsid w:val="00077063"/>
    <w:rsid w:val="00077182"/>
    <w:rsid w:val="00077279"/>
    <w:rsid w:val="0007749F"/>
    <w:rsid w:val="00077BB7"/>
    <w:rsid w:val="00077D19"/>
    <w:rsid w:val="00080235"/>
    <w:rsid w:val="000807C7"/>
    <w:rsid w:val="000809B5"/>
    <w:rsid w:val="00080AFC"/>
    <w:rsid w:val="00080B2B"/>
    <w:rsid w:val="00081309"/>
    <w:rsid w:val="00081638"/>
    <w:rsid w:val="00081691"/>
    <w:rsid w:val="00081ACE"/>
    <w:rsid w:val="00081DB7"/>
    <w:rsid w:val="00082272"/>
    <w:rsid w:val="000824AC"/>
    <w:rsid w:val="00082C3E"/>
    <w:rsid w:val="00083916"/>
    <w:rsid w:val="00084391"/>
    <w:rsid w:val="00084454"/>
    <w:rsid w:val="000849C2"/>
    <w:rsid w:val="000858BA"/>
    <w:rsid w:val="00085B16"/>
    <w:rsid w:val="000868F4"/>
    <w:rsid w:val="00086A63"/>
    <w:rsid w:val="00086FA9"/>
    <w:rsid w:val="00086FE7"/>
    <w:rsid w:val="000876B0"/>
    <w:rsid w:val="00087BF4"/>
    <w:rsid w:val="0009092B"/>
    <w:rsid w:val="00090E30"/>
    <w:rsid w:val="00091523"/>
    <w:rsid w:val="000916CE"/>
    <w:rsid w:val="00091F56"/>
    <w:rsid w:val="00092CFC"/>
    <w:rsid w:val="000930DA"/>
    <w:rsid w:val="000935C3"/>
    <w:rsid w:val="00093640"/>
    <w:rsid w:val="00093D43"/>
    <w:rsid w:val="00093F5B"/>
    <w:rsid w:val="00094A16"/>
    <w:rsid w:val="00094F7E"/>
    <w:rsid w:val="00094F9E"/>
    <w:rsid w:val="000954FE"/>
    <w:rsid w:val="00095742"/>
    <w:rsid w:val="0009623E"/>
    <w:rsid w:val="00096928"/>
    <w:rsid w:val="00096EF4"/>
    <w:rsid w:val="00097094"/>
    <w:rsid w:val="0009788F"/>
    <w:rsid w:val="000979CF"/>
    <w:rsid w:val="000A0421"/>
    <w:rsid w:val="000A0641"/>
    <w:rsid w:val="000A0CC3"/>
    <w:rsid w:val="000A0E28"/>
    <w:rsid w:val="000A1376"/>
    <w:rsid w:val="000A1D6E"/>
    <w:rsid w:val="000A23CD"/>
    <w:rsid w:val="000A26A6"/>
    <w:rsid w:val="000A296F"/>
    <w:rsid w:val="000A2ACF"/>
    <w:rsid w:val="000A2BD1"/>
    <w:rsid w:val="000A2D46"/>
    <w:rsid w:val="000A3045"/>
    <w:rsid w:val="000A31B5"/>
    <w:rsid w:val="000A3400"/>
    <w:rsid w:val="000A3823"/>
    <w:rsid w:val="000A41C2"/>
    <w:rsid w:val="000A4284"/>
    <w:rsid w:val="000A465B"/>
    <w:rsid w:val="000A4B13"/>
    <w:rsid w:val="000A4D31"/>
    <w:rsid w:val="000A5086"/>
    <w:rsid w:val="000A6153"/>
    <w:rsid w:val="000A63FB"/>
    <w:rsid w:val="000A6703"/>
    <w:rsid w:val="000A6957"/>
    <w:rsid w:val="000A6C8E"/>
    <w:rsid w:val="000A711D"/>
    <w:rsid w:val="000A74AF"/>
    <w:rsid w:val="000B052E"/>
    <w:rsid w:val="000B0618"/>
    <w:rsid w:val="000B061C"/>
    <w:rsid w:val="000B0A3D"/>
    <w:rsid w:val="000B0AB3"/>
    <w:rsid w:val="000B0C1E"/>
    <w:rsid w:val="000B1545"/>
    <w:rsid w:val="000B1650"/>
    <w:rsid w:val="000B18C8"/>
    <w:rsid w:val="000B191F"/>
    <w:rsid w:val="000B29F0"/>
    <w:rsid w:val="000B2B8A"/>
    <w:rsid w:val="000B3282"/>
    <w:rsid w:val="000B37F1"/>
    <w:rsid w:val="000B4009"/>
    <w:rsid w:val="000B485C"/>
    <w:rsid w:val="000B5281"/>
    <w:rsid w:val="000B5848"/>
    <w:rsid w:val="000B5C7E"/>
    <w:rsid w:val="000B5EEF"/>
    <w:rsid w:val="000B6040"/>
    <w:rsid w:val="000B6432"/>
    <w:rsid w:val="000B6751"/>
    <w:rsid w:val="000B6863"/>
    <w:rsid w:val="000B6B8E"/>
    <w:rsid w:val="000B719A"/>
    <w:rsid w:val="000B71FF"/>
    <w:rsid w:val="000C026F"/>
    <w:rsid w:val="000C0BA2"/>
    <w:rsid w:val="000C0C60"/>
    <w:rsid w:val="000C0FC5"/>
    <w:rsid w:val="000C18D9"/>
    <w:rsid w:val="000C1ADA"/>
    <w:rsid w:val="000C1B70"/>
    <w:rsid w:val="000C20C6"/>
    <w:rsid w:val="000C20F5"/>
    <w:rsid w:val="000C2B4E"/>
    <w:rsid w:val="000C384B"/>
    <w:rsid w:val="000C3CAA"/>
    <w:rsid w:val="000C3EF6"/>
    <w:rsid w:val="000C4378"/>
    <w:rsid w:val="000C4CFD"/>
    <w:rsid w:val="000C51EE"/>
    <w:rsid w:val="000C5A9B"/>
    <w:rsid w:val="000C5FD8"/>
    <w:rsid w:val="000C62AA"/>
    <w:rsid w:val="000C63A9"/>
    <w:rsid w:val="000C6D46"/>
    <w:rsid w:val="000C767B"/>
    <w:rsid w:val="000C79AA"/>
    <w:rsid w:val="000C79B8"/>
    <w:rsid w:val="000D00A0"/>
    <w:rsid w:val="000D00E1"/>
    <w:rsid w:val="000D0E5F"/>
    <w:rsid w:val="000D0F3A"/>
    <w:rsid w:val="000D1585"/>
    <w:rsid w:val="000D1ADA"/>
    <w:rsid w:val="000D1C5C"/>
    <w:rsid w:val="000D23AC"/>
    <w:rsid w:val="000D292E"/>
    <w:rsid w:val="000D3343"/>
    <w:rsid w:val="000D33BF"/>
    <w:rsid w:val="000D3878"/>
    <w:rsid w:val="000D3E5A"/>
    <w:rsid w:val="000D4741"/>
    <w:rsid w:val="000D4844"/>
    <w:rsid w:val="000D48B2"/>
    <w:rsid w:val="000D4D13"/>
    <w:rsid w:val="000D54F6"/>
    <w:rsid w:val="000D578B"/>
    <w:rsid w:val="000D59FD"/>
    <w:rsid w:val="000D6240"/>
    <w:rsid w:val="000D67C3"/>
    <w:rsid w:val="000D6C7B"/>
    <w:rsid w:val="000D723F"/>
    <w:rsid w:val="000D7311"/>
    <w:rsid w:val="000D7313"/>
    <w:rsid w:val="000D7789"/>
    <w:rsid w:val="000D7BFD"/>
    <w:rsid w:val="000E01C2"/>
    <w:rsid w:val="000E077F"/>
    <w:rsid w:val="000E16BD"/>
    <w:rsid w:val="000E1904"/>
    <w:rsid w:val="000E202C"/>
    <w:rsid w:val="000E2239"/>
    <w:rsid w:val="000E255F"/>
    <w:rsid w:val="000E30B8"/>
    <w:rsid w:val="000E3173"/>
    <w:rsid w:val="000E3F22"/>
    <w:rsid w:val="000E440F"/>
    <w:rsid w:val="000E4621"/>
    <w:rsid w:val="000E481B"/>
    <w:rsid w:val="000E4899"/>
    <w:rsid w:val="000E493B"/>
    <w:rsid w:val="000E4F56"/>
    <w:rsid w:val="000E51DA"/>
    <w:rsid w:val="000E6489"/>
    <w:rsid w:val="000E67D5"/>
    <w:rsid w:val="000E6ABF"/>
    <w:rsid w:val="000E6AE0"/>
    <w:rsid w:val="000E6C16"/>
    <w:rsid w:val="000E747E"/>
    <w:rsid w:val="000E7B34"/>
    <w:rsid w:val="000F019A"/>
    <w:rsid w:val="000F0931"/>
    <w:rsid w:val="000F0D48"/>
    <w:rsid w:val="000F0D64"/>
    <w:rsid w:val="000F0F91"/>
    <w:rsid w:val="000F1898"/>
    <w:rsid w:val="000F1BD6"/>
    <w:rsid w:val="000F1C00"/>
    <w:rsid w:val="000F21DE"/>
    <w:rsid w:val="000F269E"/>
    <w:rsid w:val="000F2778"/>
    <w:rsid w:val="000F2ACB"/>
    <w:rsid w:val="000F2BC2"/>
    <w:rsid w:val="000F2E0A"/>
    <w:rsid w:val="000F4226"/>
    <w:rsid w:val="000F42A7"/>
    <w:rsid w:val="000F4826"/>
    <w:rsid w:val="000F4F3F"/>
    <w:rsid w:val="000F5361"/>
    <w:rsid w:val="000F54A5"/>
    <w:rsid w:val="000F55EC"/>
    <w:rsid w:val="000F5D79"/>
    <w:rsid w:val="000F634E"/>
    <w:rsid w:val="000F6491"/>
    <w:rsid w:val="000F67EB"/>
    <w:rsid w:val="000F6852"/>
    <w:rsid w:val="000F6F20"/>
    <w:rsid w:val="000F72D2"/>
    <w:rsid w:val="000F72F4"/>
    <w:rsid w:val="00100108"/>
    <w:rsid w:val="00100257"/>
    <w:rsid w:val="00100467"/>
    <w:rsid w:val="00100592"/>
    <w:rsid w:val="00100662"/>
    <w:rsid w:val="00100BC5"/>
    <w:rsid w:val="00101BE8"/>
    <w:rsid w:val="00101D26"/>
    <w:rsid w:val="00101D3D"/>
    <w:rsid w:val="001027A8"/>
    <w:rsid w:val="00102ACA"/>
    <w:rsid w:val="00103B95"/>
    <w:rsid w:val="00104793"/>
    <w:rsid w:val="00104FB8"/>
    <w:rsid w:val="001057A0"/>
    <w:rsid w:val="00105A12"/>
    <w:rsid w:val="001066D7"/>
    <w:rsid w:val="0010678C"/>
    <w:rsid w:val="0010748B"/>
    <w:rsid w:val="001075BC"/>
    <w:rsid w:val="0011009B"/>
    <w:rsid w:val="001106AE"/>
    <w:rsid w:val="001113AD"/>
    <w:rsid w:val="0011172F"/>
    <w:rsid w:val="00111956"/>
    <w:rsid w:val="00112054"/>
    <w:rsid w:val="0011205A"/>
    <w:rsid w:val="00112280"/>
    <w:rsid w:val="001125B1"/>
    <w:rsid w:val="001126B6"/>
    <w:rsid w:val="00112858"/>
    <w:rsid w:val="00112D0D"/>
    <w:rsid w:val="001134C1"/>
    <w:rsid w:val="00113743"/>
    <w:rsid w:val="00113824"/>
    <w:rsid w:val="00113B51"/>
    <w:rsid w:val="00113EFA"/>
    <w:rsid w:val="0011425A"/>
    <w:rsid w:val="00114509"/>
    <w:rsid w:val="0011487A"/>
    <w:rsid w:val="00114975"/>
    <w:rsid w:val="0011523C"/>
    <w:rsid w:val="00115DE7"/>
    <w:rsid w:val="00115EFA"/>
    <w:rsid w:val="00116138"/>
    <w:rsid w:val="001167BF"/>
    <w:rsid w:val="00116817"/>
    <w:rsid w:val="00116C3A"/>
    <w:rsid w:val="00116FFB"/>
    <w:rsid w:val="001170BD"/>
    <w:rsid w:val="001171C2"/>
    <w:rsid w:val="00117992"/>
    <w:rsid w:val="00117AFF"/>
    <w:rsid w:val="00117E4B"/>
    <w:rsid w:val="001203CE"/>
    <w:rsid w:val="0012085E"/>
    <w:rsid w:val="00120B3E"/>
    <w:rsid w:val="00120F52"/>
    <w:rsid w:val="001211BC"/>
    <w:rsid w:val="001216ED"/>
    <w:rsid w:val="00121DC3"/>
    <w:rsid w:val="00123787"/>
    <w:rsid w:val="00124162"/>
    <w:rsid w:val="0012440F"/>
    <w:rsid w:val="001245BC"/>
    <w:rsid w:val="00124E04"/>
    <w:rsid w:val="00125148"/>
    <w:rsid w:val="00126525"/>
    <w:rsid w:val="00126653"/>
    <w:rsid w:val="00127461"/>
    <w:rsid w:val="00127687"/>
    <w:rsid w:val="00127A46"/>
    <w:rsid w:val="00127E43"/>
    <w:rsid w:val="001309D8"/>
    <w:rsid w:val="0013125A"/>
    <w:rsid w:val="001327D6"/>
    <w:rsid w:val="00132E51"/>
    <w:rsid w:val="00132E6D"/>
    <w:rsid w:val="001337E9"/>
    <w:rsid w:val="00133B15"/>
    <w:rsid w:val="00134494"/>
    <w:rsid w:val="00134518"/>
    <w:rsid w:val="00134655"/>
    <w:rsid w:val="001348B9"/>
    <w:rsid w:val="00134FBE"/>
    <w:rsid w:val="0013534D"/>
    <w:rsid w:val="0013546D"/>
    <w:rsid w:val="0013559B"/>
    <w:rsid w:val="00135F99"/>
    <w:rsid w:val="00137118"/>
    <w:rsid w:val="00137662"/>
    <w:rsid w:val="0014053C"/>
    <w:rsid w:val="00140574"/>
    <w:rsid w:val="00140858"/>
    <w:rsid w:val="00140A1B"/>
    <w:rsid w:val="00140C74"/>
    <w:rsid w:val="0014113F"/>
    <w:rsid w:val="00141BBF"/>
    <w:rsid w:val="00141BF7"/>
    <w:rsid w:val="00141DEC"/>
    <w:rsid w:val="001420C0"/>
    <w:rsid w:val="0014279E"/>
    <w:rsid w:val="00142D42"/>
    <w:rsid w:val="00142E77"/>
    <w:rsid w:val="0014331B"/>
    <w:rsid w:val="00143B3F"/>
    <w:rsid w:val="00144427"/>
    <w:rsid w:val="00144606"/>
    <w:rsid w:val="00144BEF"/>
    <w:rsid w:val="0014513D"/>
    <w:rsid w:val="00145843"/>
    <w:rsid w:val="001459C2"/>
    <w:rsid w:val="00145A0D"/>
    <w:rsid w:val="00145A8F"/>
    <w:rsid w:val="00145DF0"/>
    <w:rsid w:val="00145FF8"/>
    <w:rsid w:val="0014637E"/>
    <w:rsid w:val="00146CD7"/>
    <w:rsid w:val="00146EAE"/>
    <w:rsid w:val="0014705A"/>
    <w:rsid w:val="00147431"/>
    <w:rsid w:val="00147565"/>
    <w:rsid w:val="00147917"/>
    <w:rsid w:val="00147FBA"/>
    <w:rsid w:val="001503D3"/>
    <w:rsid w:val="00150680"/>
    <w:rsid w:val="0015091B"/>
    <w:rsid w:val="00150D38"/>
    <w:rsid w:val="0015103C"/>
    <w:rsid w:val="00151086"/>
    <w:rsid w:val="00151996"/>
    <w:rsid w:val="00151A52"/>
    <w:rsid w:val="00151EF7"/>
    <w:rsid w:val="0015269F"/>
    <w:rsid w:val="0015292A"/>
    <w:rsid w:val="00152BFA"/>
    <w:rsid w:val="00152DDB"/>
    <w:rsid w:val="00152DF4"/>
    <w:rsid w:val="00152F00"/>
    <w:rsid w:val="00152FCB"/>
    <w:rsid w:val="00153052"/>
    <w:rsid w:val="001533DC"/>
    <w:rsid w:val="0015396D"/>
    <w:rsid w:val="001539D5"/>
    <w:rsid w:val="00153AEB"/>
    <w:rsid w:val="00153E1C"/>
    <w:rsid w:val="0015471E"/>
    <w:rsid w:val="001547FA"/>
    <w:rsid w:val="00154D55"/>
    <w:rsid w:val="00154FAD"/>
    <w:rsid w:val="00155016"/>
    <w:rsid w:val="00155107"/>
    <w:rsid w:val="0015513F"/>
    <w:rsid w:val="001559DE"/>
    <w:rsid w:val="00155BDA"/>
    <w:rsid w:val="00155C29"/>
    <w:rsid w:val="00156724"/>
    <w:rsid w:val="00156DFC"/>
    <w:rsid w:val="00157979"/>
    <w:rsid w:val="00157AC8"/>
    <w:rsid w:val="00157BE1"/>
    <w:rsid w:val="00157C72"/>
    <w:rsid w:val="0016047D"/>
    <w:rsid w:val="0016058C"/>
    <w:rsid w:val="00160692"/>
    <w:rsid w:val="00160867"/>
    <w:rsid w:val="00160CBB"/>
    <w:rsid w:val="00160DAF"/>
    <w:rsid w:val="0016116F"/>
    <w:rsid w:val="00161F82"/>
    <w:rsid w:val="00162251"/>
    <w:rsid w:val="00162273"/>
    <w:rsid w:val="00162C7C"/>
    <w:rsid w:val="00162CFF"/>
    <w:rsid w:val="00163909"/>
    <w:rsid w:val="00163DEC"/>
    <w:rsid w:val="00163F7C"/>
    <w:rsid w:val="0016412C"/>
    <w:rsid w:val="001643F4"/>
    <w:rsid w:val="00164A8A"/>
    <w:rsid w:val="00165B31"/>
    <w:rsid w:val="001701DF"/>
    <w:rsid w:val="00170999"/>
    <w:rsid w:val="00170A4C"/>
    <w:rsid w:val="00171362"/>
    <w:rsid w:val="0017170E"/>
    <w:rsid w:val="00171FA6"/>
    <w:rsid w:val="0017276B"/>
    <w:rsid w:val="00172896"/>
    <w:rsid w:val="00172F5B"/>
    <w:rsid w:val="00173301"/>
    <w:rsid w:val="001739EA"/>
    <w:rsid w:val="00174473"/>
    <w:rsid w:val="001744DC"/>
    <w:rsid w:val="00174794"/>
    <w:rsid w:val="00174A47"/>
    <w:rsid w:val="001752FD"/>
    <w:rsid w:val="00175F0E"/>
    <w:rsid w:val="0017625E"/>
    <w:rsid w:val="0017632C"/>
    <w:rsid w:val="00176603"/>
    <w:rsid w:val="00176656"/>
    <w:rsid w:val="00176AE7"/>
    <w:rsid w:val="00176D97"/>
    <w:rsid w:val="00177096"/>
    <w:rsid w:val="00177B44"/>
    <w:rsid w:val="00177FC7"/>
    <w:rsid w:val="001803A9"/>
    <w:rsid w:val="0018097E"/>
    <w:rsid w:val="00180AF9"/>
    <w:rsid w:val="0018148E"/>
    <w:rsid w:val="00181744"/>
    <w:rsid w:val="001818C8"/>
    <w:rsid w:val="00181E41"/>
    <w:rsid w:val="00181FA6"/>
    <w:rsid w:val="001820CE"/>
    <w:rsid w:val="0018255F"/>
    <w:rsid w:val="001825B6"/>
    <w:rsid w:val="00182739"/>
    <w:rsid w:val="00182ADA"/>
    <w:rsid w:val="00182F7B"/>
    <w:rsid w:val="0018318A"/>
    <w:rsid w:val="00183634"/>
    <w:rsid w:val="001837DE"/>
    <w:rsid w:val="00183931"/>
    <w:rsid w:val="00184866"/>
    <w:rsid w:val="00184CB5"/>
    <w:rsid w:val="00184D90"/>
    <w:rsid w:val="00184D9D"/>
    <w:rsid w:val="00185A42"/>
    <w:rsid w:val="00185AA7"/>
    <w:rsid w:val="00185B0C"/>
    <w:rsid w:val="00185CD2"/>
    <w:rsid w:val="00185D04"/>
    <w:rsid w:val="0018624B"/>
    <w:rsid w:val="001869B6"/>
    <w:rsid w:val="00186DF0"/>
    <w:rsid w:val="00186F4F"/>
    <w:rsid w:val="00186F93"/>
    <w:rsid w:val="001876DF"/>
    <w:rsid w:val="001879DA"/>
    <w:rsid w:val="00190838"/>
    <w:rsid w:val="0019087D"/>
    <w:rsid w:val="0019101C"/>
    <w:rsid w:val="001914BB"/>
    <w:rsid w:val="001914D7"/>
    <w:rsid w:val="00191E75"/>
    <w:rsid w:val="00192F31"/>
    <w:rsid w:val="001937AA"/>
    <w:rsid w:val="00193A33"/>
    <w:rsid w:val="00193BFD"/>
    <w:rsid w:val="001945BB"/>
    <w:rsid w:val="0019509E"/>
    <w:rsid w:val="00195817"/>
    <w:rsid w:val="00195ED3"/>
    <w:rsid w:val="0019617C"/>
    <w:rsid w:val="001962C5"/>
    <w:rsid w:val="00196454"/>
    <w:rsid w:val="00196581"/>
    <w:rsid w:val="00196E3E"/>
    <w:rsid w:val="00196FCB"/>
    <w:rsid w:val="001972AF"/>
    <w:rsid w:val="001977FE"/>
    <w:rsid w:val="00197D0C"/>
    <w:rsid w:val="00197F89"/>
    <w:rsid w:val="001A084A"/>
    <w:rsid w:val="001A08FA"/>
    <w:rsid w:val="001A11EF"/>
    <w:rsid w:val="001A1DE7"/>
    <w:rsid w:val="001A1E22"/>
    <w:rsid w:val="001A22A4"/>
    <w:rsid w:val="001A28C6"/>
    <w:rsid w:val="001A2AB3"/>
    <w:rsid w:val="001A2B0B"/>
    <w:rsid w:val="001A2ECA"/>
    <w:rsid w:val="001A31DF"/>
    <w:rsid w:val="001A3395"/>
    <w:rsid w:val="001A37C4"/>
    <w:rsid w:val="001A3E12"/>
    <w:rsid w:val="001A3F1E"/>
    <w:rsid w:val="001A4E15"/>
    <w:rsid w:val="001A532C"/>
    <w:rsid w:val="001A58CD"/>
    <w:rsid w:val="001A5F4D"/>
    <w:rsid w:val="001A5F8C"/>
    <w:rsid w:val="001A6C27"/>
    <w:rsid w:val="001A6C75"/>
    <w:rsid w:val="001A6ECF"/>
    <w:rsid w:val="001A7559"/>
    <w:rsid w:val="001A7DF8"/>
    <w:rsid w:val="001A7F65"/>
    <w:rsid w:val="001B046D"/>
    <w:rsid w:val="001B0B19"/>
    <w:rsid w:val="001B0B26"/>
    <w:rsid w:val="001B1189"/>
    <w:rsid w:val="001B131E"/>
    <w:rsid w:val="001B185C"/>
    <w:rsid w:val="001B1FB7"/>
    <w:rsid w:val="001B2037"/>
    <w:rsid w:val="001B29BA"/>
    <w:rsid w:val="001B2D8D"/>
    <w:rsid w:val="001B313B"/>
    <w:rsid w:val="001B32A0"/>
    <w:rsid w:val="001B339E"/>
    <w:rsid w:val="001B3912"/>
    <w:rsid w:val="001B3DD2"/>
    <w:rsid w:val="001B412E"/>
    <w:rsid w:val="001B4602"/>
    <w:rsid w:val="001B4844"/>
    <w:rsid w:val="001B4D68"/>
    <w:rsid w:val="001B4F3D"/>
    <w:rsid w:val="001B5665"/>
    <w:rsid w:val="001B59DE"/>
    <w:rsid w:val="001B6579"/>
    <w:rsid w:val="001B6A8A"/>
    <w:rsid w:val="001B70E1"/>
    <w:rsid w:val="001B7447"/>
    <w:rsid w:val="001B7630"/>
    <w:rsid w:val="001B7CC4"/>
    <w:rsid w:val="001C00A0"/>
    <w:rsid w:val="001C0C67"/>
    <w:rsid w:val="001C0D3C"/>
    <w:rsid w:val="001C0D9D"/>
    <w:rsid w:val="001C0DF8"/>
    <w:rsid w:val="001C0E6A"/>
    <w:rsid w:val="001C1128"/>
    <w:rsid w:val="001C147F"/>
    <w:rsid w:val="001C1646"/>
    <w:rsid w:val="001C18CA"/>
    <w:rsid w:val="001C192A"/>
    <w:rsid w:val="001C2AA0"/>
    <w:rsid w:val="001C2BAE"/>
    <w:rsid w:val="001C2DA5"/>
    <w:rsid w:val="001C353C"/>
    <w:rsid w:val="001C367E"/>
    <w:rsid w:val="001C3D60"/>
    <w:rsid w:val="001C3EDA"/>
    <w:rsid w:val="001C40D8"/>
    <w:rsid w:val="001C413B"/>
    <w:rsid w:val="001C454C"/>
    <w:rsid w:val="001C476F"/>
    <w:rsid w:val="001C4A5F"/>
    <w:rsid w:val="001C56EF"/>
    <w:rsid w:val="001C5778"/>
    <w:rsid w:val="001C5AC3"/>
    <w:rsid w:val="001C6615"/>
    <w:rsid w:val="001C6AAC"/>
    <w:rsid w:val="001C710D"/>
    <w:rsid w:val="001C7A2E"/>
    <w:rsid w:val="001C7EA6"/>
    <w:rsid w:val="001D034A"/>
    <w:rsid w:val="001D0B13"/>
    <w:rsid w:val="001D0C65"/>
    <w:rsid w:val="001D0E5F"/>
    <w:rsid w:val="001D155E"/>
    <w:rsid w:val="001D18E7"/>
    <w:rsid w:val="001D294B"/>
    <w:rsid w:val="001D3714"/>
    <w:rsid w:val="001D3861"/>
    <w:rsid w:val="001D3B86"/>
    <w:rsid w:val="001D428D"/>
    <w:rsid w:val="001D4532"/>
    <w:rsid w:val="001D4629"/>
    <w:rsid w:val="001D4A76"/>
    <w:rsid w:val="001D4B2E"/>
    <w:rsid w:val="001D521B"/>
    <w:rsid w:val="001D5671"/>
    <w:rsid w:val="001D5B7E"/>
    <w:rsid w:val="001D5BE0"/>
    <w:rsid w:val="001D5BF6"/>
    <w:rsid w:val="001D6517"/>
    <w:rsid w:val="001D694B"/>
    <w:rsid w:val="001D71E8"/>
    <w:rsid w:val="001D73B8"/>
    <w:rsid w:val="001D7BBC"/>
    <w:rsid w:val="001D7FCA"/>
    <w:rsid w:val="001E0AA8"/>
    <w:rsid w:val="001E1319"/>
    <w:rsid w:val="001E15D9"/>
    <w:rsid w:val="001E18DA"/>
    <w:rsid w:val="001E20FE"/>
    <w:rsid w:val="001E21BF"/>
    <w:rsid w:val="001E242D"/>
    <w:rsid w:val="001E2CD7"/>
    <w:rsid w:val="001E2EBF"/>
    <w:rsid w:val="001E3EC9"/>
    <w:rsid w:val="001E421F"/>
    <w:rsid w:val="001E48B7"/>
    <w:rsid w:val="001E5349"/>
    <w:rsid w:val="001E635C"/>
    <w:rsid w:val="001E7080"/>
    <w:rsid w:val="001E7557"/>
    <w:rsid w:val="001E76A6"/>
    <w:rsid w:val="001E7F8F"/>
    <w:rsid w:val="001F0345"/>
    <w:rsid w:val="001F0474"/>
    <w:rsid w:val="001F0D4D"/>
    <w:rsid w:val="001F13DC"/>
    <w:rsid w:val="001F13FE"/>
    <w:rsid w:val="001F1DDA"/>
    <w:rsid w:val="001F20B5"/>
    <w:rsid w:val="001F2116"/>
    <w:rsid w:val="001F2DC4"/>
    <w:rsid w:val="001F3596"/>
    <w:rsid w:val="001F37E7"/>
    <w:rsid w:val="001F389A"/>
    <w:rsid w:val="001F3BBD"/>
    <w:rsid w:val="001F3CA2"/>
    <w:rsid w:val="001F42A8"/>
    <w:rsid w:val="001F4A36"/>
    <w:rsid w:val="001F4C2E"/>
    <w:rsid w:val="001F4D54"/>
    <w:rsid w:val="001F4FB7"/>
    <w:rsid w:val="001F5037"/>
    <w:rsid w:val="001F5617"/>
    <w:rsid w:val="001F5DAC"/>
    <w:rsid w:val="001F668D"/>
    <w:rsid w:val="001F69CB"/>
    <w:rsid w:val="001F6CD0"/>
    <w:rsid w:val="001F6CFF"/>
    <w:rsid w:val="001F74FD"/>
    <w:rsid w:val="002007ED"/>
    <w:rsid w:val="00200BC2"/>
    <w:rsid w:val="002016C5"/>
    <w:rsid w:val="002024BF"/>
    <w:rsid w:val="00202560"/>
    <w:rsid w:val="00203785"/>
    <w:rsid w:val="002038B0"/>
    <w:rsid w:val="00203EB7"/>
    <w:rsid w:val="002049EB"/>
    <w:rsid w:val="00204B71"/>
    <w:rsid w:val="00204ED0"/>
    <w:rsid w:val="00205994"/>
    <w:rsid w:val="002064F7"/>
    <w:rsid w:val="002067F8"/>
    <w:rsid w:val="00206AFC"/>
    <w:rsid w:val="00206B2F"/>
    <w:rsid w:val="00206BA5"/>
    <w:rsid w:val="00206E10"/>
    <w:rsid w:val="00206EC3"/>
    <w:rsid w:val="00206F2D"/>
    <w:rsid w:val="0020708C"/>
    <w:rsid w:val="00207319"/>
    <w:rsid w:val="00207461"/>
    <w:rsid w:val="00207AB3"/>
    <w:rsid w:val="00207CF9"/>
    <w:rsid w:val="00210322"/>
    <w:rsid w:val="00210C8D"/>
    <w:rsid w:val="00211033"/>
    <w:rsid w:val="002117FF"/>
    <w:rsid w:val="002118EC"/>
    <w:rsid w:val="00211A76"/>
    <w:rsid w:val="002125C7"/>
    <w:rsid w:val="00212AEC"/>
    <w:rsid w:val="00212B73"/>
    <w:rsid w:val="00213284"/>
    <w:rsid w:val="00213A2C"/>
    <w:rsid w:val="00213B20"/>
    <w:rsid w:val="00213E8F"/>
    <w:rsid w:val="00214969"/>
    <w:rsid w:val="00214C16"/>
    <w:rsid w:val="0021655A"/>
    <w:rsid w:val="0021696F"/>
    <w:rsid w:val="00216A17"/>
    <w:rsid w:val="00216D24"/>
    <w:rsid w:val="0021748B"/>
    <w:rsid w:val="00217949"/>
    <w:rsid w:val="0022000F"/>
    <w:rsid w:val="0022003B"/>
    <w:rsid w:val="002207A6"/>
    <w:rsid w:val="0022091F"/>
    <w:rsid w:val="00221195"/>
    <w:rsid w:val="002214AF"/>
    <w:rsid w:val="00221575"/>
    <w:rsid w:val="0022226D"/>
    <w:rsid w:val="00222726"/>
    <w:rsid w:val="00222E9E"/>
    <w:rsid w:val="00222EF4"/>
    <w:rsid w:val="0022301B"/>
    <w:rsid w:val="002235E3"/>
    <w:rsid w:val="00223639"/>
    <w:rsid w:val="00223C5C"/>
    <w:rsid w:val="00224771"/>
    <w:rsid w:val="00224811"/>
    <w:rsid w:val="002248F8"/>
    <w:rsid w:val="00224BE6"/>
    <w:rsid w:val="00224D0B"/>
    <w:rsid w:val="00224E0F"/>
    <w:rsid w:val="00224E87"/>
    <w:rsid w:val="0022505B"/>
    <w:rsid w:val="002257DC"/>
    <w:rsid w:val="002258D2"/>
    <w:rsid w:val="00225C85"/>
    <w:rsid w:val="00225C95"/>
    <w:rsid w:val="00225E99"/>
    <w:rsid w:val="002262FB"/>
    <w:rsid w:val="00226406"/>
    <w:rsid w:val="00226CFC"/>
    <w:rsid w:val="002272CE"/>
    <w:rsid w:val="00227587"/>
    <w:rsid w:val="002277F9"/>
    <w:rsid w:val="002300A6"/>
    <w:rsid w:val="00230A79"/>
    <w:rsid w:val="00230BDB"/>
    <w:rsid w:val="00230F4A"/>
    <w:rsid w:val="00231318"/>
    <w:rsid w:val="00231875"/>
    <w:rsid w:val="0023198E"/>
    <w:rsid w:val="00231BFC"/>
    <w:rsid w:val="00231E0C"/>
    <w:rsid w:val="00231FA7"/>
    <w:rsid w:val="0023231C"/>
    <w:rsid w:val="00232364"/>
    <w:rsid w:val="0023241C"/>
    <w:rsid w:val="00232426"/>
    <w:rsid w:val="002328B1"/>
    <w:rsid w:val="00232A73"/>
    <w:rsid w:val="002331E5"/>
    <w:rsid w:val="00233376"/>
    <w:rsid w:val="00233826"/>
    <w:rsid w:val="00233AC9"/>
    <w:rsid w:val="0023472C"/>
    <w:rsid w:val="00235165"/>
    <w:rsid w:val="00235320"/>
    <w:rsid w:val="00235BE4"/>
    <w:rsid w:val="00235E40"/>
    <w:rsid w:val="00235FD6"/>
    <w:rsid w:val="00236335"/>
    <w:rsid w:val="00236CE5"/>
    <w:rsid w:val="00236E2C"/>
    <w:rsid w:val="00237327"/>
    <w:rsid w:val="0024038A"/>
    <w:rsid w:val="0024141F"/>
    <w:rsid w:val="002414BD"/>
    <w:rsid w:val="00241C14"/>
    <w:rsid w:val="0024353C"/>
    <w:rsid w:val="002446EF"/>
    <w:rsid w:val="00244794"/>
    <w:rsid w:val="00244F2D"/>
    <w:rsid w:val="00245259"/>
    <w:rsid w:val="002452B6"/>
    <w:rsid w:val="00245485"/>
    <w:rsid w:val="0024559E"/>
    <w:rsid w:val="002456C4"/>
    <w:rsid w:val="00245D02"/>
    <w:rsid w:val="00246135"/>
    <w:rsid w:val="002464E8"/>
    <w:rsid w:val="00246689"/>
    <w:rsid w:val="00246796"/>
    <w:rsid w:val="002473A8"/>
    <w:rsid w:val="00247A8D"/>
    <w:rsid w:val="00247DA7"/>
    <w:rsid w:val="00247DDE"/>
    <w:rsid w:val="002507BC"/>
    <w:rsid w:val="002508F9"/>
    <w:rsid w:val="0025092F"/>
    <w:rsid w:val="00250B30"/>
    <w:rsid w:val="00250C48"/>
    <w:rsid w:val="00250F22"/>
    <w:rsid w:val="002517E4"/>
    <w:rsid w:val="0025185F"/>
    <w:rsid w:val="00252562"/>
    <w:rsid w:val="00252A6C"/>
    <w:rsid w:val="00252CA7"/>
    <w:rsid w:val="00253327"/>
    <w:rsid w:val="002537C7"/>
    <w:rsid w:val="00253B61"/>
    <w:rsid w:val="00253F46"/>
    <w:rsid w:val="002550F7"/>
    <w:rsid w:val="00255226"/>
    <w:rsid w:val="002554D4"/>
    <w:rsid w:val="002554FA"/>
    <w:rsid w:val="002558E7"/>
    <w:rsid w:val="00256978"/>
    <w:rsid w:val="00256B0A"/>
    <w:rsid w:val="00257778"/>
    <w:rsid w:val="00257D7D"/>
    <w:rsid w:val="002600C9"/>
    <w:rsid w:val="0026035C"/>
    <w:rsid w:val="002604E4"/>
    <w:rsid w:val="00260503"/>
    <w:rsid w:val="00260BB9"/>
    <w:rsid w:val="00260D1B"/>
    <w:rsid w:val="0026128F"/>
    <w:rsid w:val="0026136B"/>
    <w:rsid w:val="002616F0"/>
    <w:rsid w:val="00261D56"/>
    <w:rsid w:val="00261D9F"/>
    <w:rsid w:val="00261EE6"/>
    <w:rsid w:val="00262210"/>
    <w:rsid w:val="00262242"/>
    <w:rsid w:val="00262500"/>
    <w:rsid w:val="00262865"/>
    <w:rsid w:val="00262B5D"/>
    <w:rsid w:val="00262F3C"/>
    <w:rsid w:val="00263275"/>
    <w:rsid w:val="00263B05"/>
    <w:rsid w:val="00263ECC"/>
    <w:rsid w:val="00263ED1"/>
    <w:rsid w:val="00263F0C"/>
    <w:rsid w:val="00264237"/>
    <w:rsid w:val="0026424B"/>
    <w:rsid w:val="0026467C"/>
    <w:rsid w:val="00264BE9"/>
    <w:rsid w:val="002650CB"/>
    <w:rsid w:val="00265298"/>
    <w:rsid w:val="00265562"/>
    <w:rsid w:val="00265C82"/>
    <w:rsid w:val="00265EB0"/>
    <w:rsid w:val="0026625E"/>
    <w:rsid w:val="0026648A"/>
    <w:rsid w:val="00266A1E"/>
    <w:rsid w:val="00266DF3"/>
    <w:rsid w:val="002675B2"/>
    <w:rsid w:val="00267921"/>
    <w:rsid w:val="00267F79"/>
    <w:rsid w:val="00270280"/>
    <w:rsid w:val="002705C8"/>
    <w:rsid w:val="002709BD"/>
    <w:rsid w:val="00270D7C"/>
    <w:rsid w:val="002712BC"/>
    <w:rsid w:val="002714C2"/>
    <w:rsid w:val="002716F7"/>
    <w:rsid w:val="002718CB"/>
    <w:rsid w:val="002720B4"/>
    <w:rsid w:val="002722D8"/>
    <w:rsid w:val="0027292B"/>
    <w:rsid w:val="00272BE2"/>
    <w:rsid w:val="00272E9B"/>
    <w:rsid w:val="0027342B"/>
    <w:rsid w:val="00274094"/>
    <w:rsid w:val="00274C4C"/>
    <w:rsid w:val="002752B5"/>
    <w:rsid w:val="002755FF"/>
    <w:rsid w:val="00275771"/>
    <w:rsid w:val="00276143"/>
    <w:rsid w:val="002766B2"/>
    <w:rsid w:val="0027686E"/>
    <w:rsid w:val="00276C39"/>
    <w:rsid w:val="0027757E"/>
    <w:rsid w:val="00277678"/>
    <w:rsid w:val="00277D4C"/>
    <w:rsid w:val="00280768"/>
    <w:rsid w:val="00281149"/>
    <w:rsid w:val="00281BD2"/>
    <w:rsid w:val="00281F72"/>
    <w:rsid w:val="0028252A"/>
    <w:rsid w:val="00282647"/>
    <w:rsid w:val="00283734"/>
    <w:rsid w:val="00283E9B"/>
    <w:rsid w:val="0028444E"/>
    <w:rsid w:val="002846D9"/>
    <w:rsid w:val="0028492E"/>
    <w:rsid w:val="00284DBC"/>
    <w:rsid w:val="00285454"/>
    <w:rsid w:val="00285A66"/>
    <w:rsid w:val="002866EF"/>
    <w:rsid w:val="00286927"/>
    <w:rsid w:val="0028698C"/>
    <w:rsid w:val="00286A37"/>
    <w:rsid w:val="0028769C"/>
    <w:rsid w:val="00287CFD"/>
    <w:rsid w:val="00287E38"/>
    <w:rsid w:val="00287E6E"/>
    <w:rsid w:val="00290075"/>
    <w:rsid w:val="0029008E"/>
    <w:rsid w:val="0029041B"/>
    <w:rsid w:val="002906C9"/>
    <w:rsid w:val="00290973"/>
    <w:rsid w:val="00291074"/>
    <w:rsid w:val="00291318"/>
    <w:rsid w:val="00291B16"/>
    <w:rsid w:val="00292168"/>
    <w:rsid w:val="00292D57"/>
    <w:rsid w:val="00293D8C"/>
    <w:rsid w:val="002943A8"/>
    <w:rsid w:val="00294449"/>
    <w:rsid w:val="002945A7"/>
    <w:rsid w:val="00294C41"/>
    <w:rsid w:val="002954D7"/>
    <w:rsid w:val="0029598C"/>
    <w:rsid w:val="00296109"/>
    <w:rsid w:val="0029624D"/>
    <w:rsid w:val="002967E1"/>
    <w:rsid w:val="002969A1"/>
    <w:rsid w:val="00296C95"/>
    <w:rsid w:val="00296E53"/>
    <w:rsid w:val="0029749C"/>
    <w:rsid w:val="002975D8"/>
    <w:rsid w:val="002A06B2"/>
    <w:rsid w:val="002A0DC3"/>
    <w:rsid w:val="002A1DE5"/>
    <w:rsid w:val="002A2040"/>
    <w:rsid w:val="002A2050"/>
    <w:rsid w:val="002A2730"/>
    <w:rsid w:val="002A2E97"/>
    <w:rsid w:val="002A2FF2"/>
    <w:rsid w:val="002A33D0"/>
    <w:rsid w:val="002A3825"/>
    <w:rsid w:val="002A3A10"/>
    <w:rsid w:val="002A3B01"/>
    <w:rsid w:val="002A3FBC"/>
    <w:rsid w:val="002A4787"/>
    <w:rsid w:val="002A47D3"/>
    <w:rsid w:val="002A4A95"/>
    <w:rsid w:val="002A5528"/>
    <w:rsid w:val="002A575E"/>
    <w:rsid w:val="002A5CF8"/>
    <w:rsid w:val="002A607D"/>
    <w:rsid w:val="002A61BC"/>
    <w:rsid w:val="002A6213"/>
    <w:rsid w:val="002A6725"/>
    <w:rsid w:val="002A69C8"/>
    <w:rsid w:val="002A6A5D"/>
    <w:rsid w:val="002A6B37"/>
    <w:rsid w:val="002A70D3"/>
    <w:rsid w:val="002A740A"/>
    <w:rsid w:val="002A777C"/>
    <w:rsid w:val="002A7D7E"/>
    <w:rsid w:val="002A7EEA"/>
    <w:rsid w:val="002B035B"/>
    <w:rsid w:val="002B09C6"/>
    <w:rsid w:val="002B0E3E"/>
    <w:rsid w:val="002B0F4D"/>
    <w:rsid w:val="002B13C8"/>
    <w:rsid w:val="002B1D4E"/>
    <w:rsid w:val="002B21D7"/>
    <w:rsid w:val="002B24AE"/>
    <w:rsid w:val="002B2C11"/>
    <w:rsid w:val="002B2C88"/>
    <w:rsid w:val="002B3365"/>
    <w:rsid w:val="002B36AC"/>
    <w:rsid w:val="002B383E"/>
    <w:rsid w:val="002B3C3B"/>
    <w:rsid w:val="002B44E4"/>
    <w:rsid w:val="002B4A7F"/>
    <w:rsid w:val="002B4FC3"/>
    <w:rsid w:val="002B5156"/>
    <w:rsid w:val="002B548F"/>
    <w:rsid w:val="002B551A"/>
    <w:rsid w:val="002B629C"/>
    <w:rsid w:val="002B70CB"/>
    <w:rsid w:val="002B70D5"/>
    <w:rsid w:val="002B72CD"/>
    <w:rsid w:val="002B7E31"/>
    <w:rsid w:val="002C0B0A"/>
    <w:rsid w:val="002C0F78"/>
    <w:rsid w:val="002C15EA"/>
    <w:rsid w:val="002C15F6"/>
    <w:rsid w:val="002C2062"/>
    <w:rsid w:val="002C2141"/>
    <w:rsid w:val="002C34F0"/>
    <w:rsid w:val="002C37C6"/>
    <w:rsid w:val="002C481B"/>
    <w:rsid w:val="002C5399"/>
    <w:rsid w:val="002C55D5"/>
    <w:rsid w:val="002C59E3"/>
    <w:rsid w:val="002C5E03"/>
    <w:rsid w:val="002C6F6F"/>
    <w:rsid w:val="002C708D"/>
    <w:rsid w:val="002C7385"/>
    <w:rsid w:val="002C7B78"/>
    <w:rsid w:val="002C7F4F"/>
    <w:rsid w:val="002D0786"/>
    <w:rsid w:val="002D0BD1"/>
    <w:rsid w:val="002D12FE"/>
    <w:rsid w:val="002D1715"/>
    <w:rsid w:val="002D1CBE"/>
    <w:rsid w:val="002D2B34"/>
    <w:rsid w:val="002D2BE5"/>
    <w:rsid w:val="002D2D20"/>
    <w:rsid w:val="002D2E17"/>
    <w:rsid w:val="002D30D2"/>
    <w:rsid w:val="002D3316"/>
    <w:rsid w:val="002D3887"/>
    <w:rsid w:val="002D38CD"/>
    <w:rsid w:val="002D3A4E"/>
    <w:rsid w:val="002D3AC4"/>
    <w:rsid w:val="002D3AEC"/>
    <w:rsid w:val="002D4462"/>
    <w:rsid w:val="002D4B6C"/>
    <w:rsid w:val="002D5030"/>
    <w:rsid w:val="002D53F8"/>
    <w:rsid w:val="002D5CD2"/>
    <w:rsid w:val="002D5DCF"/>
    <w:rsid w:val="002D5F43"/>
    <w:rsid w:val="002D60C9"/>
    <w:rsid w:val="002D6114"/>
    <w:rsid w:val="002D625C"/>
    <w:rsid w:val="002D704C"/>
    <w:rsid w:val="002D7571"/>
    <w:rsid w:val="002D797E"/>
    <w:rsid w:val="002E05AA"/>
    <w:rsid w:val="002E05DA"/>
    <w:rsid w:val="002E06BE"/>
    <w:rsid w:val="002E09ED"/>
    <w:rsid w:val="002E0DC0"/>
    <w:rsid w:val="002E14B1"/>
    <w:rsid w:val="002E1592"/>
    <w:rsid w:val="002E1DA3"/>
    <w:rsid w:val="002E27DA"/>
    <w:rsid w:val="002E2AD3"/>
    <w:rsid w:val="002E2BA5"/>
    <w:rsid w:val="002E3505"/>
    <w:rsid w:val="002E4AA4"/>
    <w:rsid w:val="002E4D71"/>
    <w:rsid w:val="002E4DA1"/>
    <w:rsid w:val="002E5BBD"/>
    <w:rsid w:val="002E612C"/>
    <w:rsid w:val="002E69D5"/>
    <w:rsid w:val="002E6DBA"/>
    <w:rsid w:val="002E7043"/>
    <w:rsid w:val="002E7081"/>
    <w:rsid w:val="002E7472"/>
    <w:rsid w:val="002E7748"/>
    <w:rsid w:val="002E7AF4"/>
    <w:rsid w:val="002E7FF3"/>
    <w:rsid w:val="002F0062"/>
    <w:rsid w:val="002F0907"/>
    <w:rsid w:val="002F0E79"/>
    <w:rsid w:val="002F1217"/>
    <w:rsid w:val="002F15B3"/>
    <w:rsid w:val="002F2928"/>
    <w:rsid w:val="002F2AD3"/>
    <w:rsid w:val="002F2E89"/>
    <w:rsid w:val="002F3295"/>
    <w:rsid w:val="002F344E"/>
    <w:rsid w:val="002F3641"/>
    <w:rsid w:val="002F3655"/>
    <w:rsid w:val="002F36CD"/>
    <w:rsid w:val="002F3A0F"/>
    <w:rsid w:val="002F3DF1"/>
    <w:rsid w:val="002F5416"/>
    <w:rsid w:val="002F5D72"/>
    <w:rsid w:val="002F6128"/>
    <w:rsid w:val="002F66E5"/>
    <w:rsid w:val="002F67BD"/>
    <w:rsid w:val="002F6B4C"/>
    <w:rsid w:val="002F6ED3"/>
    <w:rsid w:val="002F72EE"/>
    <w:rsid w:val="002F7C2B"/>
    <w:rsid w:val="0030053C"/>
    <w:rsid w:val="003015C4"/>
    <w:rsid w:val="003018C5"/>
    <w:rsid w:val="003018D4"/>
    <w:rsid w:val="00301F0C"/>
    <w:rsid w:val="00301FDA"/>
    <w:rsid w:val="003022B8"/>
    <w:rsid w:val="003028A1"/>
    <w:rsid w:val="003029A5"/>
    <w:rsid w:val="00302A44"/>
    <w:rsid w:val="0030359D"/>
    <w:rsid w:val="003036AF"/>
    <w:rsid w:val="00303CBE"/>
    <w:rsid w:val="003040F8"/>
    <w:rsid w:val="0030444D"/>
    <w:rsid w:val="00304AE9"/>
    <w:rsid w:val="00304B7B"/>
    <w:rsid w:val="00305295"/>
    <w:rsid w:val="003055E4"/>
    <w:rsid w:val="00305985"/>
    <w:rsid w:val="00305E88"/>
    <w:rsid w:val="00305FD7"/>
    <w:rsid w:val="0030668B"/>
    <w:rsid w:val="00306962"/>
    <w:rsid w:val="003069EF"/>
    <w:rsid w:val="00306DDE"/>
    <w:rsid w:val="00307323"/>
    <w:rsid w:val="003073AF"/>
    <w:rsid w:val="00307858"/>
    <w:rsid w:val="00310251"/>
    <w:rsid w:val="00310596"/>
    <w:rsid w:val="0031135D"/>
    <w:rsid w:val="00311A58"/>
    <w:rsid w:val="00311C9F"/>
    <w:rsid w:val="00311D47"/>
    <w:rsid w:val="00312042"/>
    <w:rsid w:val="003120B6"/>
    <w:rsid w:val="003128CD"/>
    <w:rsid w:val="00312E68"/>
    <w:rsid w:val="0031360D"/>
    <w:rsid w:val="003149A2"/>
    <w:rsid w:val="00314BEF"/>
    <w:rsid w:val="00314EA5"/>
    <w:rsid w:val="00314F3F"/>
    <w:rsid w:val="0031576C"/>
    <w:rsid w:val="00315C36"/>
    <w:rsid w:val="00316015"/>
    <w:rsid w:val="003165D1"/>
    <w:rsid w:val="0031667F"/>
    <w:rsid w:val="00316762"/>
    <w:rsid w:val="003167FE"/>
    <w:rsid w:val="003169D4"/>
    <w:rsid w:val="00316F82"/>
    <w:rsid w:val="00317157"/>
    <w:rsid w:val="00317605"/>
    <w:rsid w:val="0031763E"/>
    <w:rsid w:val="00317772"/>
    <w:rsid w:val="00317B68"/>
    <w:rsid w:val="00317CDD"/>
    <w:rsid w:val="00320580"/>
    <w:rsid w:val="00321C51"/>
    <w:rsid w:val="00321D32"/>
    <w:rsid w:val="00322543"/>
    <w:rsid w:val="00322818"/>
    <w:rsid w:val="003229B0"/>
    <w:rsid w:val="0032347E"/>
    <w:rsid w:val="00323937"/>
    <w:rsid w:val="00323D91"/>
    <w:rsid w:val="00323EA8"/>
    <w:rsid w:val="00324534"/>
    <w:rsid w:val="003252DA"/>
    <w:rsid w:val="00325817"/>
    <w:rsid w:val="00325853"/>
    <w:rsid w:val="00325942"/>
    <w:rsid w:val="003265F8"/>
    <w:rsid w:val="00326AA2"/>
    <w:rsid w:val="00327281"/>
    <w:rsid w:val="003275A1"/>
    <w:rsid w:val="00327A42"/>
    <w:rsid w:val="00330EBD"/>
    <w:rsid w:val="00331863"/>
    <w:rsid w:val="003319CF"/>
    <w:rsid w:val="00331C0A"/>
    <w:rsid w:val="00332130"/>
    <w:rsid w:val="00332A36"/>
    <w:rsid w:val="00333299"/>
    <w:rsid w:val="0033411A"/>
    <w:rsid w:val="00334496"/>
    <w:rsid w:val="003345C3"/>
    <w:rsid w:val="003348F5"/>
    <w:rsid w:val="00334962"/>
    <w:rsid w:val="00334CC9"/>
    <w:rsid w:val="003350A2"/>
    <w:rsid w:val="0033515C"/>
    <w:rsid w:val="0033534C"/>
    <w:rsid w:val="003353B7"/>
    <w:rsid w:val="00335E61"/>
    <w:rsid w:val="003364C2"/>
    <w:rsid w:val="00336850"/>
    <w:rsid w:val="00336900"/>
    <w:rsid w:val="0033698A"/>
    <w:rsid w:val="00337C98"/>
    <w:rsid w:val="00337CB8"/>
    <w:rsid w:val="00337F45"/>
    <w:rsid w:val="0034008E"/>
    <w:rsid w:val="0034018C"/>
    <w:rsid w:val="00340F5B"/>
    <w:rsid w:val="00341A1C"/>
    <w:rsid w:val="00341BD0"/>
    <w:rsid w:val="0034224F"/>
    <w:rsid w:val="00342F24"/>
    <w:rsid w:val="00343542"/>
    <w:rsid w:val="003437CB"/>
    <w:rsid w:val="003446EB"/>
    <w:rsid w:val="0034483D"/>
    <w:rsid w:val="0034487F"/>
    <w:rsid w:val="003453C7"/>
    <w:rsid w:val="003460EE"/>
    <w:rsid w:val="003463AC"/>
    <w:rsid w:val="003466A8"/>
    <w:rsid w:val="00346799"/>
    <w:rsid w:val="0034691C"/>
    <w:rsid w:val="00347176"/>
    <w:rsid w:val="0034767E"/>
    <w:rsid w:val="00347C3C"/>
    <w:rsid w:val="00350840"/>
    <w:rsid w:val="0035115E"/>
    <w:rsid w:val="003511B6"/>
    <w:rsid w:val="00351510"/>
    <w:rsid w:val="00351905"/>
    <w:rsid w:val="00351CB9"/>
    <w:rsid w:val="0035267E"/>
    <w:rsid w:val="00352725"/>
    <w:rsid w:val="00352992"/>
    <w:rsid w:val="00352D43"/>
    <w:rsid w:val="00353142"/>
    <w:rsid w:val="003532FC"/>
    <w:rsid w:val="00353D09"/>
    <w:rsid w:val="00353F6A"/>
    <w:rsid w:val="00354C45"/>
    <w:rsid w:val="0035509B"/>
    <w:rsid w:val="003556C1"/>
    <w:rsid w:val="00355B39"/>
    <w:rsid w:val="003564C5"/>
    <w:rsid w:val="0035665C"/>
    <w:rsid w:val="00356896"/>
    <w:rsid w:val="00357000"/>
    <w:rsid w:val="003575F3"/>
    <w:rsid w:val="003576FB"/>
    <w:rsid w:val="0035782E"/>
    <w:rsid w:val="00357E0C"/>
    <w:rsid w:val="00357E1C"/>
    <w:rsid w:val="003605AE"/>
    <w:rsid w:val="00361561"/>
    <w:rsid w:val="00361920"/>
    <w:rsid w:val="0036195F"/>
    <w:rsid w:val="00361B6A"/>
    <w:rsid w:val="0036229C"/>
    <w:rsid w:val="003625EA"/>
    <w:rsid w:val="003626DF"/>
    <w:rsid w:val="00362720"/>
    <w:rsid w:val="00362B20"/>
    <w:rsid w:val="0036309D"/>
    <w:rsid w:val="00363889"/>
    <w:rsid w:val="00364DEA"/>
    <w:rsid w:val="00365183"/>
    <w:rsid w:val="00365597"/>
    <w:rsid w:val="00365B93"/>
    <w:rsid w:val="00365C0A"/>
    <w:rsid w:val="00365D05"/>
    <w:rsid w:val="003662A9"/>
    <w:rsid w:val="00366D38"/>
    <w:rsid w:val="00367481"/>
    <w:rsid w:val="003675DE"/>
    <w:rsid w:val="003678D0"/>
    <w:rsid w:val="003700C7"/>
    <w:rsid w:val="003704AF"/>
    <w:rsid w:val="00370A5D"/>
    <w:rsid w:val="00370C88"/>
    <w:rsid w:val="00370D52"/>
    <w:rsid w:val="00370E6E"/>
    <w:rsid w:val="00370E9F"/>
    <w:rsid w:val="00371325"/>
    <w:rsid w:val="00371374"/>
    <w:rsid w:val="003718F2"/>
    <w:rsid w:val="00371C92"/>
    <w:rsid w:val="00371D9D"/>
    <w:rsid w:val="00371DD2"/>
    <w:rsid w:val="00371F07"/>
    <w:rsid w:val="00371FA0"/>
    <w:rsid w:val="00371FC4"/>
    <w:rsid w:val="00372C8F"/>
    <w:rsid w:val="00372F7B"/>
    <w:rsid w:val="003730B3"/>
    <w:rsid w:val="00373A3D"/>
    <w:rsid w:val="00373F4B"/>
    <w:rsid w:val="0037402C"/>
    <w:rsid w:val="0037472F"/>
    <w:rsid w:val="00374B48"/>
    <w:rsid w:val="00374BCB"/>
    <w:rsid w:val="00374D7E"/>
    <w:rsid w:val="00375293"/>
    <w:rsid w:val="003755B1"/>
    <w:rsid w:val="00375AB1"/>
    <w:rsid w:val="00375E44"/>
    <w:rsid w:val="003763E3"/>
    <w:rsid w:val="0037703C"/>
    <w:rsid w:val="003772AF"/>
    <w:rsid w:val="00377D82"/>
    <w:rsid w:val="00380204"/>
    <w:rsid w:val="00380284"/>
    <w:rsid w:val="00381433"/>
    <w:rsid w:val="003814FF"/>
    <w:rsid w:val="00381675"/>
    <w:rsid w:val="0038175E"/>
    <w:rsid w:val="00381AA2"/>
    <w:rsid w:val="00381B7F"/>
    <w:rsid w:val="00381E5D"/>
    <w:rsid w:val="00382213"/>
    <w:rsid w:val="00382339"/>
    <w:rsid w:val="0038327E"/>
    <w:rsid w:val="00383393"/>
    <w:rsid w:val="00383F4C"/>
    <w:rsid w:val="00383F8A"/>
    <w:rsid w:val="00383FCD"/>
    <w:rsid w:val="0038557B"/>
    <w:rsid w:val="003855D5"/>
    <w:rsid w:val="0038614F"/>
    <w:rsid w:val="0038626F"/>
    <w:rsid w:val="00386984"/>
    <w:rsid w:val="003869C2"/>
    <w:rsid w:val="003869DC"/>
    <w:rsid w:val="00386A78"/>
    <w:rsid w:val="00386B80"/>
    <w:rsid w:val="00386EAC"/>
    <w:rsid w:val="00386F6C"/>
    <w:rsid w:val="00391344"/>
    <w:rsid w:val="00391FD0"/>
    <w:rsid w:val="0039279C"/>
    <w:rsid w:val="00392B6E"/>
    <w:rsid w:val="00392F76"/>
    <w:rsid w:val="003933FD"/>
    <w:rsid w:val="00393AD2"/>
    <w:rsid w:val="00393BA1"/>
    <w:rsid w:val="00393FA9"/>
    <w:rsid w:val="0039417B"/>
    <w:rsid w:val="00394B1C"/>
    <w:rsid w:val="00394B7B"/>
    <w:rsid w:val="00395A1F"/>
    <w:rsid w:val="00395B47"/>
    <w:rsid w:val="003962F2"/>
    <w:rsid w:val="0039699B"/>
    <w:rsid w:val="00396A28"/>
    <w:rsid w:val="00396AE2"/>
    <w:rsid w:val="00396DE2"/>
    <w:rsid w:val="0039763F"/>
    <w:rsid w:val="00397FA5"/>
    <w:rsid w:val="003A0610"/>
    <w:rsid w:val="003A0986"/>
    <w:rsid w:val="003A0B62"/>
    <w:rsid w:val="003A0E4F"/>
    <w:rsid w:val="003A133D"/>
    <w:rsid w:val="003A19D5"/>
    <w:rsid w:val="003A2134"/>
    <w:rsid w:val="003A2538"/>
    <w:rsid w:val="003A2AE5"/>
    <w:rsid w:val="003A30D8"/>
    <w:rsid w:val="003A322D"/>
    <w:rsid w:val="003A3CEE"/>
    <w:rsid w:val="003A3FA0"/>
    <w:rsid w:val="003A4FEB"/>
    <w:rsid w:val="003A51CE"/>
    <w:rsid w:val="003A5AF2"/>
    <w:rsid w:val="003A5D04"/>
    <w:rsid w:val="003A5DC7"/>
    <w:rsid w:val="003A69CA"/>
    <w:rsid w:val="003A6BC3"/>
    <w:rsid w:val="003A75EB"/>
    <w:rsid w:val="003A7838"/>
    <w:rsid w:val="003A7E33"/>
    <w:rsid w:val="003B0582"/>
    <w:rsid w:val="003B0877"/>
    <w:rsid w:val="003B129A"/>
    <w:rsid w:val="003B192E"/>
    <w:rsid w:val="003B2159"/>
    <w:rsid w:val="003B2AB3"/>
    <w:rsid w:val="003B2D8F"/>
    <w:rsid w:val="003B319B"/>
    <w:rsid w:val="003B3D60"/>
    <w:rsid w:val="003B488E"/>
    <w:rsid w:val="003B48BF"/>
    <w:rsid w:val="003B4C84"/>
    <w:rsid w:val="003B550C"/>
    <w:rsid w:val="003B5B61"/>
    <w:rsid w:val="003B60A1"/>
    <w:rsid w:val="003B62C4"/>
    <w:rsid w:val="003B63B4"/>
    <w:rsid w:val="003B6501"/>
    <w:rsid w:val="003B652E"/>
    <w:rsid w:val="003B6941"/>
    <w:rsid w:val="003B7080"/>
    <w:rsid w:val="003B72E6"/>
    <w:rsid w:val="003B7925"/>
    <w:rsid w:val="003B7C4A"/>
    <w:rsid w:val="003C0026"/>
    <w:rsid w:val="003C075B"/>
    <w:rsid w:val="003C08B7"/>
    <w:rsid w:val="003C0B99"/>
    <w:rsid w:val="003C1445"/>
    <w:rsid w:val="003C1619"/>
    <w:rsid w:val="003C242D"/>
    <w:rsid w:val="003C2CBE"/>
    <w:rsid w:val="003C2D38"/>
    <w:rsid w:val="003C3FDA"/>
    <w:rsid w:val="003C53C4"/>
    <w:rsid w:val="003C5640"/>
    <w:rsid w:val="003C569F"/>
    <w:rsid w:val="003C5E5A"/>
    <w:rsid w:val="003C6502"/>
    <w:rsid w:val="003C6D25"/>
    <w:rsid w:val="003C6EDE"/>
    <w:rsid w:val="003C73FB"/>
    <w:rsid w:val="003C7487"/>
    <w:rsid w:val="003C7A07"/>
    <w:rsid w:val="003C7C14"/>
    <w:rsid w:val="003C7D78"/>
    <w:rsid w:val="003D021C"/>
    <w:rsid w:val="003D0350"/>
    <w:rsid w:val="003D039E"/>
    <w:rsid w:val="003D10D7"/>
    <w:rsid w:val="003D1229"/>
    <w:rsid w:val="003D17B3"/>
    <w:rsid w:val="003D1911"/>
    <w:rsid w:val="003D1F99"/>
    <w:rsid w:val="003D2608"/>
    <w:rsid w:val="003D31F6"/>
    <w:rsid w:val="003D33F2"/>
    <w:rsid w:val="003D3CBF"/>
    <w:rsid w:val="003D3CFE"/>
    <w:rsid w:val="003D3E47"/>
    <w:rsid w:val="003D4184"/>
    <w:rsid w:val="003D4307"/>
    <w:rsid w:val="003D462C"/>
    <w:rsid w:val="003D4647"/>
    <w:rsid w:val="003D471D"/>
    <w:rsid w:val="003D5717"/>
    <w:rsid w:val="003D57E4"/>
    <w:rsid w:val="003D5FD8"/>
    <w:rsid w:val="003D6000"/>
    <w:rsid w:val="003D63F3"/>
    <w:rsid w:val="003D6645"/>
    <w:rsid w:val="003D75EA"/>
    <w:rsid w:val="003E03B8"/>
    <w:rsid w:val="003E043B"/>
    <w:rsid w:val="003E0D4E"/>
    <w:rsid w:val="003E1639"/>
    <w:rsid w:val="003E1B2F"/>
    <w:rsid w:val="003E1DAD"/>
    <w:rsid w:val="003E1E20"/>
    <w:rsid w:val="003E2736"/>
    <w:rsid w:val="003E2CA6"/>
    <w:rsid w:val="003E3497"/>
    <w:rsid w:val="003E3620"/>
    <w:rsid w:val="003E3E39"/>
    <w:rsid w:val="003E5239"/>
    <w:rsid w:val="003E5293"/>
    <w:rsid w:val="003E54FB"/>
    <w:rsid w:val="003E5BBE"/>
    <w:rsid w:val="003E5C24"/>
    <w:rsid w:val="003E6003"/>
    <w:rsid w:val="003E62E2"/>
    <w:rsid w:val="003E6520"/>
    <w:rsid w:val="003E67C6"/>
    <w:rsid w:val="003E68F2"/>
    <w:rsid w:val="003E70CE"/>
    <w:rsid w:val="003F0015"/>
    <w:rsid w:val="003F02D5"/>
    <w:rsid w:val="003F068E"/>
    <w:rsid w:val="003F119D"/>
    <w:rsid w:val="003F12D7"/>
    <w:rsid w:val="003F1400"/>
    <w:rsid w:val="003F17C4"/>
    <w:rsid w:val="003F2341"/>
    <w:rsid w:val="003F23FD"/>
    <w:rsid w:val="003F321D"/>
    <w:rsid w:val="003F38D0"/>
    <w:rsid w:val="003F38ED"/>
    <w:rsid w:val="003F3BAB"/>
    <w:rsid w:val="003F3CF4"/>
    <w:rsid w:val="003F4035"/>
    <w:rsid w:val="003F42FB"/>
    <w:rsid w:val="003F4603"/>
    <w:rsid w:val="003F46C8"/>
    <w:rsid w:val="003F4D43"/>
    <w:rsid w:val="003F6178"/>
    <w:rsid w:val="003F67B5"/>
    <w:rsid w:val="003F7285"/>
    <w:rsid w:val="003F735E"/>
    <w:rsid w:val="003F793F"/>
    <w:rsid w:val="003F7B39"/>
    <w:rsid w:val="0040064D"/>
    <w:rsid w:val="004009C4"/>
    <w:rsid w:val="00400D30"/>
    <w:rsid w:val="00400E4A"/>
    <w:rsid w:val="00400F45"/>
    <w:rsid w:val="00401335"/>
    <w:rsid w:val="004016C3"/>
    <w:rsid w:val="004017D3"/>
    <w:rsid w:val="00401CF8"/>
    <w:rsid w:val="0040230A"/>
    <w:rsid w:val="004023E9"/>
    <w:rsid w:val="00402443"/>
    <w:rsid w:val="00402A51"/>
    <w:rsid w:val="00402B7F"/>
    <w:rsid w:val="00402D6F"/>
    <w:rsid w:val="00403CBA"/>
    <w:rsid w:val="004044B4"/>
    <w:rsid w:val="004047D9"/>
    <w:rsid w:val="00404852"/>
    <w:rsid w:val="00404A28"/>
    <w:rsid w:val="00405425"/>
    <w:rsid w:val="004056A6"/>
    <w:rsid w:val="00405D92"/>
    <w:rsid w:val="00405D96"/>
    <w:rsid w:val="00406352"/>
    <w:rsid w:val="004078A5"/>
    <w:rsid w:val="00407DF5"/>
    <w:rsid w:val="00407E55"/>
    <w:rsid w:val="00407F4E"/>
    <w:rsid w:val="00410030"/>
    <w:rsid w:val="004107FB"/>
    <w:rsid w:val="00410907"/>
    <w:rsid w:val="00410B38"/>
    <w:rsid w:val="004117AA"/>
    <w:rsid w:val="00411B8C"/>
    <w:rsid w:val="0041205B"/>
    <w:rsid w:val="00412090"/>
    <w:rsid w:val="004126AB"/>
    <w:rsid w:val="00412993"/>
    <w:rsid w:val="00412CC0"/>
    <w:rsid w:val="004131E7"/>
    <w:rsid w:val="004132B5"/>
    <w:rsid w:val="00413468"/>
    <w:rsid w:val="00413FA4"/>
    <w:rsid w:val="00414151"/>
    <w:rsid w:val="00414A1B"/>
    <w:rsid w:val="00415559"/>
    <w:rsid w:val="0041578D"/>
    <w:rsid w:val="004157D6"/>
    <w:rsid w:val="004158B7"/>
    <w:rsid w:val="0041603D"/>
    <w:rsid w:val="0041737A"/>
    <w:rsid w:val="0041791C"/>
    <w:rsid w:val="004179DB"/>
    <w:rsid w:val="00417E31"/>
    <w:rsid w:val="00420191"/>
    <w:rsid w:val="00420320"/>
    <w:rsid w:val="00420351"/>
    <w:rsid w:val="00421109"/>
    <w:rsid w:val="004212CF"/>
    <w:rsid w:val="00421356"/>
    <w:rsid w:val="00421478"/>
    <w:rsid w:val="004215AB"/>
    <w:rsid w:val="0042216C"/>
    <w:rsid w:val="004227EC"/>
    <w:rsid w:val="00422BDC"/>
    <w:rsid w:val="004231B9"/>
    <w:rsid w:val="004231BB"/>
    <w:rsid w:val="00423255"/>
    <w:rsid w:val="00423666"/>
    <w:rsid w:val="00423938"/>
    <w:rsid w:val="00423A1D"/>
    <w:rsid w:val="00423B2F"/>
    <w:rsid w:val="00423C2E"/>
    <w:rsid w:val="004242CA"/>
    <w:rsid w:val="004244F0"/>
    <w:rsid w:val="004245A9"/>
    <w:rsid w:val="00424C2D"/>
    <w:rsid w:val="0042522F"/>
    <w:rsid w:val="00425852"/>
    <w:rsid w:val="004258D8"/>
    <w:rsid w:val="00425C02"/>
    <w:rsid w:val="004266B9"/>
    <w:rsid w:val="00426FF6"/>
    <w:rsid w:val="004277BD"/>
    <w:rsid w:val="00427964"/>
    <w:rsid w:val="00427998"/>
    <w:rsid w:val="00430420"/>
    <w:rsid w:val="004307C5"/>
    <w:rsid w:val="00430CA3"/>
    <w:rsid w:val="004314F1"/>
    <w:rsid w:val="004314FB"/>
    <w:rsid w:val="00431CA5"/>
    <w:rsid w:val="00431D67"/>
    <w:rsid w:val="00431FE7"/>
    <w:rsid w:val="00432A69"/>
    <w:rsid w:val="00434711"/>
    <w:rsid w:val="00434A20"/>
    <w:rsid w:val="00434F8E"/>
    <w:rsid w:val="004350A5"/>
    <w:rsid w:val="00435CB3"/>
    <w:rsid w:val="00435D24"/>
    <w:rsid w:val="00436183"/>
    <w:rsid w:val="00436DC1"/>
    <w:rsid w:val="0043742F"/>
    <w:rsid w:val="00437EA5"/>
    <w:rsid w:val="00437EAF"/>
    <w:rsid w:val="00440800"/>
    <w:rsid w:val="00440959"/>
    <w:rsid w:val="00440D4B"/>
    <w:rsid w:val="0044129B"/>
    <w:rsid w:val="0044145A"/>
    <w:rsid w:val="00441730"/>
    <w:rsid w:val="00441A22"/>
    <w:rsid w:val="00441EEF"/>
    <w:rsid w:val="00441F66"/>
    <w:rsid w:val="0044217D"/>
    <w:rsid w:val="00442809"/>
    <w:rsid w:val="0044296F"/>
    <w:rsid w:val="00442B0E"/>
    <w:rsid w:val="00442FF8"/>
    <w:rsid w:val="004433A7"/>
    <w:rsid w:val="00444D28"/>
    <w:rsid w:val="00444F3F"/>
    <w:rsid w:val="00444FBA"/>
    <w:rsid w:val="0044509B"/>
    <w:rsid w:val="004451B2"/>
    <w:rsid w:val="004453BA"/>
    <w:rsid w:val="00445540"/>
    <w:rsid w:val="00445BB8"/>
    <w:rsid w:val="00445EC7"/>
    <w:rsid w:val="00445F28"/>
    <w:rsid w:val="00447323"/>
    <w:rsid w:val="0044776E"/>
    <w:rsid w:val="0045059A"/>
    <w:rsid w:val="00450680"/>
    <w:rsid w:val="00450C04"/>
    <w:rsid w:val="0045173F"/>
    <w:rsid w:val="0045223B"/>
    <w:rsid w:val="00452964"/>
    <w:rsid w:val="0045389A"/>
    <w:rsid w:val="00453C4F"/>
    <w:rsid w:val="0045491B"/>
    <w:rsid w:val="00454DFA"/>
    <w:rsid w:val="0045500C"/>
    <w:rsid w:val="004550E2"/>
    <w:rsid w:val="00455E6E"/>
    <w:rsid w:val="00455F6C"/>
    <w:rsid w:val="004568BF"/>
    <w:rsid w:val="00456C94"/>
    <w:rsid w:val="00457183"/>
    <w:rsid w:val="0045771B"/>
    <w:rsid w:val="00457793"/>
    <w:rsid w:val="00460BCB"/>
    <w:rsid w:val="00460EC4"/>
    <w:rsid w:val="00461009"/>
    <w:rsid w:val="004613DB"/>
    <w:rsid w:val="004615B7"/>
    <w:rsid w:val="00461661"/>
    <w:rsid w:val="00461720"/>
    <w:rsid w:val="00461829"/>
    <w:rsid w:val="004634D7"/>
    <w:rsid w:val="00463D25"/>
    <w:rsid w:val="0046427A"/>
    <w:rsid w:val="0046467E"/>
    <w:rsid w:val="00464E12"/>
    <w:rsid w:val="00465183"/>
    <w:rsid w:val="004659BB"/>
    <w:rsid w:val="00465A8D"/>
    <w:rsid w:val="00465FA1"/>
    <w:rsid w:val="00465FF1"/>
    <w:rsid w:val="004660B9"/>
    <w:rsid w:val="00466ED1"/>
    <w:rsid w:val="004670B6"/>
    <w:rsid w:val="0046726A"/>
    <w:rsid w:val="0046735D"/>
    <w:rsid w:val="0047014B"/>
    <w:rsid w:val="004704B5"/>
    <w:rsid w:val="004706EA"/>
    <w:rsid w:val="00470838"/>
    <w:rsid w:val="00470B73"/>
    <w:rsid w:val="00471701"/>
    <w:rsid w:val="0047186B"/>
    <w:rsid w:val="0047206A"/>
    <w:rsid w:val="00472924"/>
    <w:rsid w:val="00473099"/>
    <w:rsid w:val="00473518"/>
    <w:rsid w:val="004736DE"/>
    <w:rsid w:val="00474240"/>
    <w:rsid w:val="0047493C"/>
    <w:rsid w:val="00474A6E"/>
    <w:rsid w:val="00474DDC"/>
    <w:rsid w:val="004765B0"/>
    <w:rsid w:val="00476CC7"/>
    <w:rsid w:val="0047766B"/>
    <w:rsid w:val="004778E6"/>
    <w:rsid w:val="0048031E"/>
    <w:rsid w:val="0048048E"/>
    <w:rsid w:val="004817F0"/>
    <w:rsid w:val="004818BD"/>
    <w:rsid w:val="00481C71"/>
    <w:rsid w:val="00482402"/>
    <w:rsid w:val="00482FC7"/>
    <w:rsid w:val="004838D4"/>
    <w:rsid w:val="00483A78"/>
    <w:rsid w:val="00483BC2"/>
    <w:rsid w:val="00483E03"/>
    <w:rsid w:val="004840F2"/>
    <w:rsid w:val="0048464C"/>
    <w:rsid w:val="00484A3F"/>
    <w:rsid w:val="00484BAC"/>
    <w:rsid w:val="00484BB7"/>
    <w:rsid w:val="0048554B"/>
    <w:rsid w:val="00485ADD"/>
    <w:rsid w:val="00485E6E"/>
    <w:rsid w:val="00485EA2"/>
    <w:rsid w:val="0048624C"/>
    <w:rsid w:val="004865C2"/>
    <w:rsid w:val="00486F82"/>
    <w:rsid w:val="004871C2"/>
    <w:rsid w:val="004871E7"/>
    <w:rsid w:val="0048745D"/>
    <w:rsid w:val="004877F8"/>
    <w:rsid w:val="00487E70"/>
    <w:rsid w:val="004903C2"/>
    <w:rsid w:val="004917C6"/>
    <w:rsid w:val="00491B16"/>
    <w:rsid w:val="00491E0C"/>
    <w:rsid w:val="00491F28"/>
    <w:rsid w:val="00491F82"/>
    <w:rsid w:val="004920C9"/>
    <w:rsid w:val="00492403"/>
    <w:rsid w:val="00492CC8"/>
    <w:rsid w:val="00492FAD"/>
    <w:rsid w:val="00493283"/>
    <w:rsid w:val="0049374D"/>
    <w:rsid w:val="004939A0"/>
    <w:rsid w:val="00493B0C"/>
    <w:rsid w:val="00493F80"/>
    <w:rsid w:val="00494D81"/>
    <w:rsid w:val="004956D1"/>
    <w:rsid w:val="0049578B"/>
    <w:rsid w:val="004958EF"/>
    <w:rsid w:val="00495D3C"/>
    <w:rsid w:val="00496D96"/>
    <w:rsid w:val="00497209"/>
    <w:rsid w:val="004974EF"/>
    <w:rsid w:val="004976CB"/>
    <w:rsid w:val="004A058F"/>
    <w:rsid w:val="004A0794"/>
    <w:rsid w:val="004A0E4D"/>
    <w:rsid w:val="004A1D7E"/>
    <w:rsid w:val="004A1E12"/>
    <w:rsid w:val="004A2DCC"/>
    <w:rsid w:val="004A3402"/>
    <w:rsid w:val="004A34DF"/>
    <w:rsid w:val="004A37DB"/>
    <w:rsid w:val="004A3B1F"/>
    <w:rsid w:val="004A3E5D"/>
    <w:rsid w:val="004A43CC"/>
    <w:rsid w:val="004A448E"/>
    <w:rsid w:val="004A4E73"/>
    <w:rsid w:val="004A585B"/>
    <w:rsid w:val="004A6561"/>
    <w:rsid w:val="004A69D7"/>
    <w:rsid w:val="004A6D3E"/>
    <w:rsid w:val="004A6F86"/>
    <w:rsid w:val="004A7662"/>
    <w:rsid w:val="004A7698"/>
    <w:rsid w:val="004A7A77"/>
    <w:rsid w:val="004A7B38"/>
    <w:rsid w:val="004B0298"/>
    <w:rsid w:val="004B0812"/>
    <w:rsid w:val="004B098B"/>
    <w:rsid w:val="004B0B70"/>
    <w:rsid w:val="004B0EEA"/>
    <w:rsid w:val="004B1053"/>
    <w:rsid w:val="004B21CE"/>
    <w:rsid w:val="004B3460"/>
    <w:rsid w:val="004B4506"/>
    <w:rsid w:val="004B47BE"/>
    <w:rsid w:val="004B4D08"/>
    <w:rsid w:val="004B4E9D"/>
    <w:rsid w:val="004B500A"/>
    <w:rsid w:val="004B594A"/>
    <w:rsid w:val="004B59C8"/>
    <w:rsid w:val="004B628B"/>
    <w:rsid w:val="004B6905"/>
    <w:rsid w:val="004B699C"/>
    <w:rsid w:val="004B6DD3"/>
    <w:rsid w:val="004B76C5"/>
    <w:rsid w:val="004C0113"/>
    <w:rsid w:val="004C0178"/>
    <w:rsid w:val="004C01BD"/>
    <w:rsid w:val="004C065F"/>
    <w:rsid w:val="004C07A2"/>
    <w:rsid w:val="004C0D98"/>
    <w:rsid w:val="004C0FD0"/>
    <w:rsid w:val="004C2495"/>
    <w:rsid w:val="004C250A"/>
    <w:rsid w:val="004C273E"/>
    <w:rsid w:val="004C29F1"/>
    <w:rsid w:val="004C2A3D"/>
    <w:rsid w:val="004C2C1D"/>
    <w:rsid w:val="004C2E53"/>
    <w:rsid w:val="004C32BF"/>
    <w:rsid w:val="004C3737"/>
    <w:rsid w:val="004C4471"/>
    <w:rsid w:val="004C450A"/>
    <w:rsid w:val="004C4583"/>
    <w:rsid w:val="004C4C0F"/>
    <w:rsid w:val="004C4E1C"/>
    <w:rsid w:val="004C4EC4"/>
    <w:rsid w:val="004C51CD"/>
    <w:rsid w:val="004C5C3B"/>
    <w:rsid w:val="004C67A4"/>
    <w:rsid w:val="004C6B8A"/>
    <w:rsid w:val="004C6F49"/>
    <w:rsid w:val="004C726D"/>
    <w:rsid w:val="004C7825"/>
    <w:rsid w:val="004D023A"/>
    <w:rsid w:val="004D0431"/>
    <w:rsid w:val="004D054A"/>
    <w:rsid w:val="004D07A9"/>
    <w:rsid w:val="004D07F2"/>
    <w:rsid w:val="004D0E8F"/>
    <w:rsid w:val="004D1F3D"/>
    <w:rsid w:val="004D2520"/>
    <w:rsid w:val="004D27CC"/>
    <w:rsid w:val="004D2EC3"/>
    <w:rsid w:val="004D352F"/>
    <w:rsid w:val="004D396D"/>
    <w:rsid w:val="004D3A8B"/>
    <w:rsid w:val="004D3B24"/>
    <w:rsid w:val="004D3E83"/>
    <w:rsid w:val="004D4658"/>
    <w:rsid w:val="004D4CBC"/>
    <w:rsid w:val="004D5134"/>
    <w:rsid w:val="004D51CC"/>
    <w:rsid w:val="004D59AC"/>
    <w:rsid w:val="004D5C38"/>
    <w:rsid w:val="004D61E8"/>
    <w:rsid w:val="004D6536"/>
    <w:rsid w:val="004D691C"/>
    <w:rsid w:val="004D6A92"/>
    <w:rsid w:val="004D7539"/>
    <w:rsid w:val="004D7727"/>
    <w:rsid w:val="004D78E9"/>
    <w:rsid w:val="004D7A3A"/>
    <w:rsid w:val="004D7E94"/>
    <w:rsid w:val="004E0513"/>
    <w:rsid w:val="004E0F69"/>
    <w:rsid w:val="004E13AA"/>
    <w:rsid w:val="004E1A3E"/>
    <w:rsid w:val="004E1A82"/>
    <w:rsid w:val="004E1DC1"/>
    <w:rsid w:val="004E27C4"/>
    <w:rsid w:val="004E2DAC"/>
    <w:rsid w:val="004E2E70"/>
    <w:rsid w:val="004E382C"/>
    <w:rsid w:val="004E3A78"/>
    <w:rsid w:val="004E3FC3"/>
    <w:rsid w:val="004E4051"/>
    <w:rsid w:val="004E46CC"/>
    <w:rsid w:val="004E49D4"/>
    <w:rsid w:val="004E4EB2"/>
    <w:rsid w:val="004E4F71"/>
    <w:rsid w:val="004E50B4"/>
    <w:rsid w:val="004E5159"/>
    <w:rsid w:val="004E5537"/>
    <w:rsid w:val="004E568A"/>
    <w:rsid w:val="004E57E1"/>
    <w:rsid w:val="004E58D9"/>
    <w:rsid w:val="004E6051"/>
    <w:rsid w:val="004E60B9"/>
    <w:rsid w:val="004E644C"/>
    <w:rsid w:val="004E65A9"/>
    <w:rsid w:val="004E68E0"/>
    <w:rsid w:val="004E69F7"/>
    <w:rsid w:val="004E6F68"/>
    <w:rsid w:val="004E7BD3"/>
    <w:rsid w:val="004E7C59"/>
    <w:rsid w:val="004F08D1"/>
    <w:rsid w:val="004F13D7"/>
    <w:rsid w:val="004F15BD"/>
    <w:rsid w:val="004F178C"/>
    <w:rsid w:val="004F1955"/>
    <w:rsid w:val="004F20C2"/>
    <w:rsid w:val="004F2A52"/>
    <w:rsid w:val="004F2DF4"/>
    <w:rsid w:val="004F31A7"/>
    <w:rsid w:val="004F370C"/>
    <w:rsid w:val="004F3A9B"/>
    <w:rsid w:val="004F3ADE"/>
    <w:rsid w:val="004F488F"/>
    <w:rsid w:val="004F4A19"/>
    <w:rsid w:val="004F535F"/>
    <w:rsid w:val="004F5AB0"/>
    <w:rsid w:val="004F624F"/>
    <w:rsid w:val="004F69FC"/>
    <w:rsid w:val="004F6A88"/>
    <w:rsid w:val="004F7035"/>
    <w:rsid w:val="004F7210"/>
    <w:rsid w:val="004F7A18"/>
    <w:rsid w:val="004F7C7E"/>
    <w:rsid w:val="004F7ECE"/>
    <w:rsid w:val="0050012C"/>
    <w:rsid w:val="00500FF0"/>
    <w:rsid w:val="005016C1"/>
    <w:rsid w:val="0050182A"/>
    <w:rsid w:val="00501861"/>
    <w:rsid w:val="00501BE7"/>
    <w:rsid w:val="00501D41"/>
    <w:rsid w:val="005026B7"/>
    <w:rsid w:val="005029E0"/>
    <w:rsid w:val="00502BED"/>
    <w:rsid w:val="00503084"/>
    <w:rsid w:val="00503278"/>
    <w:rsid w:val="005039A7"/>
    <w:rsid w:val="00503FD6"/>
    <w:rsid w:val="005045B4"/>
    <w:rsid w:val="005047C9"/>
    <w:rsid w:val="0050487D"/>
    <w:rsid w:val="00504BDB"/>
    <w:rsid w:val="005059CF"/>
    <w:rsid w:val="0050622E"/>
    <w:rsid w:val="005066F8"/>
    <w:rsid w:val="00506F54"/>
    <w:rsid w:val="00507D6E"/>
    <w:rsid w:val="00510781"/>
    <w:rsid w:val="005107E9"/>
    <w:rsid w:val="00510928"/>
    <w:rsid w:val="00510EEF"/>
    <w:rsid w:val="0051167B"/>
    <w:rsid w:val="005116BA"/>
    <w:rsid w:val="00511C2C"/>
    <w:rsid w:val="00512726"/>
    <w:rsid w:val="00513067"/>
    <w:rsid w:val="005133C8"/>
    <w:rsid w:val="005137F8"/>
    <w:rsid w:val="005138D5"/>
    <w:rsid w:val="00513CD4"/>
    <w:rsid w:val="00514062"/>
    <w:rsid w:val="0051423B"/>
    <w:rsid w:val="00514E11"/>
    <w:rsid w:val="005152F9"/>
    <w:rsid w:val="00515AA1"/>
    <w:rsid w:val="00515C76"/>
    <w:rsid w:val="00515DE6"/>
    <w:rsid w:val="00516A9C"/>
    <w:rsid w:val="00517DCC"/>
    <w:rsid w:val="00517E8F"/>
    <w:rsid w:val="005200CB"/>
    <w:rsid w:val="00520F9D"/>
    <w:rsid w:val="005223D0"/>
    <w:rsid w:val="0052250F"/>
    <w:rsid w:val="0052352E"/>
    <w:rsid w:val="00525097"/>
    <w:rsid w:val="00525539"/>
    <w:rsid w:val="005257E7"/>
    <w:rsid w:val="00526344"/>
    <w:rsid w:val="00526370"/>
    <w:rsid w:val="0052671F"/>
    <w:rsid w:val="0052713E"/>
    <w:rsid w:val="00527C6A"/>
    <w:rsid w:val="00530114"/>
    <w:rsid w:val="00530593"/>
    <w:rsid w:val="00530757"/>
    <w:rsid w:val="005317E8"/>
    <w:rsid w:val="00531B54"/>
    <w:rsid w:val="00532AC9"/>
    <w:rsid w:val="005331F2"/>
    <w:rsid w:val="00533299"/>
    <w:rsid w:val="005335E5"/>
    <w:rsid w:val="00533854"/>
    <w:rsid w:val="005340F6"/>
    <w:rsid w:val="0053481A"/>
    <w:rsid w:val="00534C12"/>
    <w:rsid w:val="005352A6"/>
    <w:rsid w:val="00535866"/>
    <w:rsid w:val="00535BDC"/>
    <w:rsid w:val="00535E04"/>
    <w:rsid w:val="0053627A"/>
    <w:rsid w:val="005367D4"/>
    <w:rsid w:val="005367E9"/>
    <w:rsid w:val="00536D96"/>
    <w:rsid w:val="0053746D"/>
    <w:rsid w:val="00537594"/>
    <w:rsid w:val="00537D09"/>
    <w:rsid w:val="00540764"/>
    <w:rsid w:val="005410D6"/>
    <w:rsid w:val="00541CA0"/>
    <w:rsid w:val="005423C0"/>
    <w:rsid w:val="00542E3B"/>
    <w:rsid w:val="0054330F"/>
    <w:rsid w:val="00543BD1"/>
    <w:rsid w:val="00543BF8"/>
    <w:rsid w:val="0054572C"/>
    <w:rsid w:val="00545832"/>
    <w:rsid w:val="00545D77"/>
    <w:rsid w:val="00546145"/>
    <w:rsid w:val="0054614E"/>
    <w:rsid w:val="00546277"/>
    <w:rsid w:val="005467E2"/>
    <w:rsid w:val="005468ED"/>
    <w:rsid w:val="00547FF2"/>
    <w:rsid w:val="005507FC"/>
    <w:rsid w:val="00551135"/>
    <w:rsid w:val="005516CF"/>
    <w:rsid w:val="00551A11"/>
    <w:rsid w:val="00551F65"/>
    <w:rsid w:val="00552918"/>
    <w:rsid w:val="00552B1F"/>
    <w:rsid w:val="005533A4"/>
    <w:rsid w:val="0055377A"/>
    <w:rsid w:val="00553BE0"/>
    <w:rsid w:val="00553D52"/>
    <w:rsid w:val="00554392"/>
    <w:rsid w:val="005543D2"/>
    <w:rsid w:val="0055470F"/>
    <w:rsid w:val="00554A34"/>
    <w:rsid w:val="00554CC9"/>
    <w:rsid w:val="0055540A"/>
    <w:rsid w:val="00555CB3"/>
    <w:rsid w:val="00555D21"/>
    <w:rsid w:val="00555FCD"/>
    <w:rsid w:val="0055650D"/>
    <w:rsid w:val="00556ABB"/>
    <w:rsid w:val="0055703F"/>
    <w:rsid w:val="005577F0"/>
    <w:rsid w:val="005600C4"/>
    <w:rsid w:val="00560CEF"/>
    <w:rsid w:val="0056136C"/>
    <w:rsid w:val="00561C81"/>
    <w:rsid w:val="0056285F"/>
    <w:rsid w:val="00562CD1"/>
    <w:rsid w:val="00562EEE"/>
    <w:rsid w:val="00563207"/>
    <w:rsid w:val="00563857"/>
    <w:rsid w:val="005654C4"/>
    <w:rsid w:val="00565781"/>
    <w:rsid w:val="00565A87"/>
    <w:rsid w:val="00565BA2"/>
    <w:rsid w:val="00565D8D"/>
    <w:rsid w:val="00566436"/>
    <w:rsid w:val="00566AA0"/>
    <w:rsid w:val="00567187"/>
    <w:rsid w:val="0057079C"/>
    <w:rsid w:val="005710CD"/>
    <w:rsid w:val="00571E62"/>
    <w:rsid w:val="00572ECB"/>
    <w:rsid w:val="00572FA5"/>
    <w:rsid w:val="00573A1E"/>
    <w:rsid w:val="00573D5A"/>
    <w:rsid w:val="005747C6"/>
    <w:rsid w:val="00574E16"/>
    <w:rsid w:val="00575034"/>
    <w:rsid w:val="0057583B"/>
    <w:rsid w:val="00575DE0"/>
    <w:rsid w:val="00576509"/>
    <w:rsid w:val="0058005B"/>
    <w:rsid w:val="005801BB"/>
    <w:rsid w:val="005807DA"/>
    <w:rsid w:val="00580B27"/>
    <w:rsid w:val="00580CBB"/>
    <w:rsid w:val="00580F51"/>
    <w:rsid w:val="005810EC"/>
    <w:rsid w:val="005823E5"/>
    <w:rsid w:val="00582B8E"/>
    <w:rsid w:val="005838A7"/>
    <w:rsid w:val="005838DC"/>
    <w:rsid w:val="00583B5C"/>
    <w:rsid w:val="00583F28"/>
    <w:rsid w:val="00584C84"/>
    <w:rsid w:val="00584CB4"/>
    <w:rsid w:val="005850AC"/>
    <w:rsid w:val="005853B3"/>
    <w:rsid w:val="00585446"/>
    <w:rsid w:val="00585E56"/>
    <w:rsid w:val="00586056"/>
    <w:rsid w:val="00586995"/>
    <w:rsid w:val="00586E16"/>
    <w:rsid w:val="005877AB"/>
    <w:rsid w:val="005902BD"/>
    <w:rsid w:val="005905DD"/>
    <w:rsid w:val="0059131B"/>
    <w:rsid w:val="005919AD"/>
    <w:rsid w:val="00592925"/>
    <w:rsid w:val="005931FF"/>
    <w:rsid w:val="0059357B"/>
    <w:rsid w:val="00593BA9"/>
    <w:rsid w:val="00594629"/>
    <w:rsid w:val="00594DA6"/>
    <w:rsid w:val="00594FE1"/>
    <w:rsid w:val="00595B97"/>
    <w:rsid w:val="005961E0"/>
    <w:rsid w:val="005964DE"/>
    <w:rsid w:val="005965F3"/>
    <w:rsid w:val="00596D2B"/>
    <w:rsid w:val="00596FC5"/>
    <w:rsid w:val="005972C0"/>
    <w:rsid w:val="00597334"/>
    <w:rsid w:val="00597C60"/>
    <w:rsid w:val="005A002D"/>
    <w:rsid w:val="005A050B"/>
    <w:rsid w:val="005A085F"/>
    <w:rsid w:val="005A0E2D"/>
    <w:rsid w:val="005A0EDA"/>
    <w:rsid w:val="005A11C0"/>
    <w:rsid w:val="005A129B"/>
    <w:rsid w:val="005A1399"/>
    <w:rsid w:val="005A1469"/>
    <w:rsid w:val="005A1992"/>
    <w:rsid w:val="005A1B6D"/>
    <w:rsid w:val="005A1B86"/>
    <w:rsid w:val="005A1D02"/>
    <w:rsid w:val="005A1FF2"/>
    <w:rsid w:val="005A2561"/>
    <w:rsid w:val="005A2E1D"/>
    <w:rsid w:val="005A3047"/>
    <w:rsid w:val="005A3BE6"/>
    <w:rsid w:val="005A478C"/>
    <w:rsid w:val="005A4FF2"/>
    <w:rsid w:val="005A526D"/>
    <w:rsid w:val="005A53C8"/>
    <w:rsid w:val="005A55E5"/>
    <w:rsid w:val="005A56E1"/>
    <w:rsid w:val="005A68FF"/>
    <w:rsid w:val="005A6B7C"/>
    <w:rsid w:val="005A6C20"/>
    <w:rsid w:val="005A7214"/>
    <w:rsid w:val="005A73E5"/>
    <w:rsid w:val="005A7718"/>
    <w:rsid w:val="005A77EE"/>
    <w:rsid w:val="005A7C44"/>
    <w:rsid w:val="005B064A"/>
    <w:rsid w:val="005B131D"/>
    <w:rsid w:val="005B1694"/>
    <w:rsid w:val="005B1696"/>
    <w:rsid w:val="005B1B19"/>
    <w:rsid w:val="005B2931"/>
    <w:rsid w:val="005B2E98"/>
    <w:rsid w:val="005B3619"/>
    <w:rsid w:val="005B4E81"/>
    <w:rsid w:val="005B50AF"/>
    <w:rsid w:val="005B594E"/>
    <w:rsid w:val="005B6518"/>
    <w:rsid w:val="005B6872"/>
    <w:rsid w:val="005B6CED"/>
    <w:rsid w:val="005B7807"/>
    <w:rsid w:val="005B7D5E"/>
    <w:rsid w:val="005C06D3"/>
    <w:rsid w:val="005C1317"/>
    <w:rsid w:val="005C2104"/>
    <w:rsid w:val="005C28DD"/>
    <w:rsid w:val="005C37D1"/>
    <w:rsid w:val="005C3E97"/>
    <w:rsid w:val="005C44B6"/>
    <w:rsid w:val="005C4701"/>
    <w:rsid w:val="005C47C1"/>
    <w:rsid w:val="005C49E6"/>
    <w:rsid w:val="005C4BD1"/>
    <w:rsid w:val="005C4E42"/>
    <w:rsid w:val="005C51EA"/>
    <w:rsid w:val="005C542C"/>
    <w:rsid w:val="005C551D"/>
    <w:rsid w:val="005C559E"/>
    <w:rsid w:val="005C58BC"/>
    <w:rsid w:val="005C6187"/>
    <w:rsid w:val="005C664C"/>
    <w:rsid w:val="005C6970"/>
    <w:rsid w:val="005C6A8F"/>
    <w:rsid w:val="005C6E2A"/>
    <w:rsid w:val="005C784F"/>
    <w:rsid w:val="005D0560"/>
    <w:rsid w:val="005D06E6"/>
    <w:rsid w:val="005D0EA5"/>
    <w:rsid w:val="005D160B"/>
    <w:rsid w:val="005D17F5"/>
    <w:rsid w:val="005D2498"/>
    <w:rsid w:val="005D2E4E"/>
    <w:rsid w:val="005D3141"/>
    <w:rsid w:val="005D3591"/>
    <w:rsid w:val="005D47A7"/>
    <w:rsid w:val="005D4829"/>
    <w:rsid w:val="005D4A52"/>
    <w:rsid w:val="005D4C7E"/>
    <w:rsid w:val="005D4E51"/>
    <w:rsid w:val="005D53A2"/>
    <w:rsid w:val="005D5426"/>
    <w:rsid w:val="005D54AC"/>
    <w:rsid w:val="005D552B"/>
    <w:rsid w:val="005D5C4F"/>
    <w:rsid w:val="005D6372"/>
    <w:rsid w:val="005D64F4"/>
    <w:rsid w:val="005D771D"/>
    <w:rsid w:val="005D7804"/>
    <w:rsid w:val="005D7931"/>
    <w:rsid w:val="005D7A81"/>
    <w:rsid w:val="005E0655"/>
    <w:rsid w:val="005E0AC8"/>
    <w:rsid w:val="005E0B90"/>
    <w:rsid w:val="005E1D47"/>
    <w:rsid w:val="005E1F60"/>
    <w:rsid w:val="005E20A5"/>
    <w:rsid w:val="005E27AF"/>
    <w:rsid w:val="005E2955"/>
    <w:rsid w:val="005E297E"/>
    <w:rsid w:val="005E2E4B"/>
    <w:rsid w:val="005E3D64"/>
    <w:rsid w:val="005E3F97"/>
    <w:rsid w:val="005E3FBF"/>
    <w:rsid w:val="005E46A2"/>
    <w:rsid w:val="005E486D"/>
    <w:rsid w:val="005E4B73"/>
    <w:rsid w:val="005E4D07"/>
    <w:rsid w:val="005E53CE"/>
    <w:rsid w:val="005E53D4"/>
    <w:rsid w:val="005E5FCD"/>
    <w:rsid w:val="005E6023"/>
    <w:rsid w:val="005E6160"/>
    <w:rsid w:val="005E61B3"/>
    <w:rsid w:val="005E72CC"/>
    <w:rsid w:val="005E7E0D"/>
    <w:rsid w:val="005F0418"/>
    <w:rsid w:val="005F0755"/>
    <w:rsid w:val="005F09EC"/>
    <w:rsid w:val="005F0C87"/>
    <w:rsid w:val="005F1229"/>
    <w:rsid w:val="005F142A"/>
    <w:rsid w:val="005F1516"/>
    <w:rsid w:val="005F1928"/>
    <w:rsid w:val="005F1B79"/>
    <w:rsid w:val="005F2A4C"/>
    <w:rsid w:val="005F32A0"/>
    <w:rsid w:val="005F3CE0"/>
    <w:rsid w:val="005F4642"/>
    <w:rsid w:val="005F4945"/>
    <w:rsid w:val="005F4DAA"/>
    <w:rsid w:val="005F4EDD"/>
    <w:rsid w:val="005F51D9"/>
    <w:rsid w:val="005F5219"/>
    <w:rsid w:val="005F5CEE"/>
    <w:rsid w:val="005F5F9B"/>
    <w:rsid w:val="005F6085"/>
    <w:rsid w:val="005F629A"/>
    <w:rsid w:val="005F66A6"/>
    <w:rsid w:val="005F6B27"/>
    <w:rsid w:val="005F6B2D"/>
    <w:rsid w:val="005F7167"/>
    <w:rsid w:val="00600051"/>
    <w:rsid w:val="00600416"/>
    <w:rsid w:val="00600987"/>
    <w:rsid w:val="00601045"/>
    <w:rsid w:val="00601108"/>
    <w:rsid w:val="006011E4"/>
    <w:rsid w:val="00601F64"/>
    <w:rsid w:val="006020C6"/>
    <w:rsid w:val="00602624"/>
    <w:rsid w:val="00602B98"/>
    <w:rsid w:val="00602D81"/>
    <w:rsid w:val="00602FB6"/>
    <w:rsid w:val="00602FCC"/>
    <w:rsid w:val="006031D0"/>
    <w:rsid w:val="006031FD"/>
    <w:rsid w:val="00603234"/>
    <w:rsid w:val="0060326C"/>
    <w:rsid w:val="00603913"/>
    <w:rsid w:val="00603BE8"/>
    <w:rsid w:val="0060405D"/>
    <w:rsid w:val="00604B36"/>
    <w:rsid w:val="00604DC8"/>
    <w:rsid w:val="00605051"/>
    <w:rsid w:val="00605234"/>
    <w:rsid w:val="00605B29"/>
    <w:rsid w:val="006060C8"/>
    <w:rsid w:val="00606930"/>
    <w:rsid w:val="00606A1A"/>
    <w:rsid w:val="00607251"/>
    <w:rsid w:val="006072E1"/>
    <w:rsid w:val="00610088"/>
    <w:rsid w:val="00611065"/>
    <w:rsid w:val="006117E6"/>
    <w:rsid w:val="00611E30"/>
    <w:rsid w:val="00612193"/>
    <w:rsid w:val="00612257"/>
    <w:rsid w:val="00612327"/>
    <w:rsid w:val="00612459"/>
    <w:rsid w:val="00612475"/>
    <w:rsid w:val="00612A67"/>
    <w:rsid w:val="00612E2B"/>
    <w:rsid w:val="006137B1"/>
    <w:rsid w:val="00613A77"/>
    <w:rsid w:val="00613B04"/>
    <w:rsid w:val="00613B5E"/>
    <w:rsid w:val="00613C02"/>
    <w:rsid w:val="006143D8"/>
    <w:rsid w:val="00614928"/>
    <w:rsid w:val="00614A59"/>
    <w:rsid w:val="00614D0B"/>
    <w:rsid w:val="00614F18"/>
    <w:rsid w:val="00615282"/>
    <w:rsid w:val="00615357"/>
    <w:rsid w:val="006156C0"/>
    <w:rsid w:val="006163B4"/>
    <w:rsid w:val="0061666A"/>
    <w:rsid w:val="006167E9"/>
    <w:rsid w:val="00616D0F"/>
    <w:rsid w:val="00617C71"/>
    <w:rsid w:val="00617E4B"/>
    <w:rsid w:val="006204A4"/>
    <w:rsid w:val="006206EA"/>
    <w:rsid w:val="006207E6"/>
    <w:rsid w:val="0062085C"/>
    <w:rsid w:val="006208AE"/>
    <w:rsid w:val="00620911"/>
    <w:rsid w:val="00621261"/>
    <w:rsid w:val="0062146E"/>
    <w:rsid w:val="00621702"/>
    <w:rsid w:val="00621B36"/>
    <w:rsid w:val="00621F6E"/>
    <w:rsid w:val="00622F98"/>
    <w:rsid w:val="0062482A"/>
    <w:rsid w:val="00624C93"/>
    <w:rsid w:val="00624FA0"/>
    <w:rsid w:val="0062523A"/>
    <w:rsid w:val="006257D8"/>
    <w:rsid w:val="00625B3C"/>
    <w:rsid w:val="00625E04"/>
    <w:rsid w:val="00626A50"/>
    <w:rsid w:val="00627C2B"/>
    <w:rsid w:val="00627E19"/>
    <w:rsid w:val="00627F32"/>
    <w:rsid w:val="006301E7"/>
    <w:rsid w:val="00630270"/>
    <w:rsid w:val="006305E1"/>
    <w:rsid w:val="006306D0"/>
    <w:rsid w:val="006308C1"/>
    <w:rsid w:val="0063092C"/>
    <w:rsid w:val="00630EDF"/>
    <w:rsid w:val="00630FEA"/>
    <w:rsid w:val="0063138A"/>
    <w:rsid w:val="00631790"/>
    <w:rsid w:val="006322B9"/>
    <w:rsid w:val="006328EF"/>
    <w:rsid w:val="00632A6E"/>
    <w:rsid w:val="00632F73"/>
    <w:rsid w:val="0063383E"/>
    <w:rsid w:val="00633DF5"/>
    <w:rsid w:val="00634269"/>
    <w:rsid w:val="0063478D"/>
    <w:rsid w:val="00635439"/>
    <w:rsid w:val="0063568E"/>
    <w:rsid w:val="00635EE2"/>
    <w:rsid w:val="0063670F"/>
    <w:rsid w:val="00637D20"/>
    <w:rsid w:val="00637F80"/>
    <w:rsid w:val="00640472"/>
    <w:rsid w:val="00640EA7"/>
    <w:rsid w:val="00641A67"/>
    <w:rsid w:val="00642089"/>
    <w:rsid w:val="00642640"/>
    <w:rsid w:val="0064300D"/>
    <w:rsid w:val="00643837"/>
    <w:rsid w:val="006439A1"/>
    <w:rsid w:val="00643B9B"/>
    <w:rsid w:val="00643C64"/>
    <w:rsid w:val="00643CBC"/>
    <w:rsid w:val="00643D60"/>
    <w:rsid w:val="00643EBD"/>
    <w:rsid w:val="00644910"/>
    <w:rsid w:val="00644A55"/>
    <w:rsid w:val="00644C34"/>
    <w:rsid w:val="00644EEF"/>
    <w:rsid w:val="00646A7B"/>
    <w:rsid w:val="00646F7D"/>
    <w:rsid w:val="00647282"/>
    <w:rsid w:val="00647660"/>
    <w:rsid w:val="0064788E"/>
    <w:rsid w:val="00647963"/>
    <w:rsid w:val="00647A75"/>
    <w:rsid w:val="00647D99"/>
    <w:rsid w:val="00647E7B"/>
    <w:rsid w:val="00650152"/>
    <w:rsid w:val="006502B7"/>
    <w:rsid w:val="0065033E"/>
    <w:rsid w:val="00651836"/>
    <w:rsid w:val="0065256A"/>
    <w:rsid w:val="00652583"/>
    <w:rsid w:val="00652973"/>
    <w:rsid w:val="00652993"/>
    <w:rsid w:val="006529B9"/>
    <w:rsid w:val="006533C4"/>
    <w:rsid w:val="0065423F"/>
    <w:rsid w:val="00656DDC"/>
    <w:rsid w:val="00657524"/>
    <w:rsid w:val="00657B06"/>
    <w:rsid w:val="006603B9"/>
    <w:rsid w:val="0066047C"/>
    <w:rsid w:val="0066049C"/>
    <w:rsid w:val="00660813"/>
    <w:rsid w:val="00660B0A"/>
    <w:rsid w:val="00660C22"/>
    <w:rsid w:val="00660DBF"/>
    <w:rsid w:val="00661A43"/>
    <w:rsid w:val="00661B19"/>
    <w:rsid w:val="00661BD0"/>
    <w:rsid w:val="00661D1B"/>
    <w:rsid w:val="00662111"/>
    <w:rsid w:val="006621CE"/>
    <w:rsid w:val="006624BE"/>
    <w:rsid w:val="006625AA"/>
    <w:rsid w:val="00662611"/>
    <w:rsid w:val="00662DBC"/>
    <w:rsid w:val="00662FCE"/>
    <w:rsid w:val="006630C5"/>
    <w:rsid w:val="0066367B"/>
    <w:rsid w:val="00663C76"/>
    <w:rsid w:val="00663FCE"/>
    <w:rsid w:val="0066401E"/>
    <w:rsid w:val="00664A1D"/>
    <w:rsid w:val="00664ED3"/>
    <w:rsid w:val="00665809"/>
    <w:rsid w:val="00665928"/>
    <w:rsid w:val="00666208"/>
    <w:rsid w:val="0066624E"/>
    <w:rsid w:val="0066760B"/>
    <w:rsid w:val="00667B2C"/>
    <w:rsid w:val="00667F43"/>
    <w:rsid w:val="006704AD"/>
    <w:rsid w:val="00670D1A"/>
    <w:rsid w:val="00670EF8"/>
    <w:rsid w:val="00670F7B"/>
    <w:rsid w:val="006711A7"/>
    <w:rsid w:val="0067170D"/>
    <w:rsid w:val="0067173D"/>
    <w:rsid w:val="00671A93"/>
    <w:rsid w:val="00671DFF"/>
    <w:rsid w:val="00672104"/>
    <w:rsid w:val="00672F96"/>
    <w:rsid w:val="00673069"/>
    <w:rsid w:val="006738C8"/>
    <w:rsid w:val="006739C5"/>
    <w:rsid w:val="00673C2A"/>
    <w:rsid w:val="00674208"/>
    <w:rsid w:val="006742BF"/>
    <w:rsid w:val="00674CCC"/>
    <w:rsid w:val="006751BB"/>
    <w:rsid w:val="0067662B"/>
    <w:rsid w:val="006766F0"/>
    <w:rsid w:val="006778A3"/>
    <w:rsid w:val="00681162"/>
    <w:rsid w:val="00681771"/>
    <w:rsid w:val="006817E3"/>
    <w:rsid w:val="00682016"/>
    <w:rsid w:val="00682415"/>
    <w:rsid w:val="006825BD"/>
    <w:rsid w:val="0068270F"/>
    <w:rsid w:val="00682919"/>
    <w:rsid w:val="006834B0"/>
    <w:rsid w:val="006835D9"/>
    <w:rsid w:val="00683C71"/>
    <w:rsid w:val="00684077"/>
    <w:rsid w:val="006841FA"/>
    <w:rsid w:val="00684329"/>
    <w:rsid w:val="00684C4B"/>
    <w:rsid w:val="00684DBE"/>
    <w:rsid w:val="006855D9"/>
    <w:rsid w:val="00685E95"/>
    <w:rsid w:val="00685F77"/>
    <w:rsid w:val="006862A9"/>
    <w:rsid w:val="006863FD"/>
    <w:rsid w:val="00686544"/>
    <w:rsid w:val="00686B3A"/>
    <w:rsid w:val="00686D30"/>
    <w:rsid w:val="006871B8"/>
    <w:rsid w:val="00687A92"/>
    <w:rsid w:val="00687B96"/>
    <w:rsid w:val="0069079B"/>
    <w:rsid w:val="00691135"/>
    <w:rsid w:val="0069165C"/>
    <w:rsid w:val="00691872"/>
    <w:rsid w:val="00691B74"/>
    <w:rsid w:val="00691C90"/>
    <w:rsid w:val="00691CD7"/>
    <w:rsid w:val="00692204"/>
    <w:rsid w:val="00692630"/>
    <w:rsid w:val="006927F2"/>
    <w:rsid w:val="00692A05"/>
    <w:rsid w:val="00692A17"/>
    <w:rsid w:val="00692E12"/>
    <w:rsid w:val="0069309E"/>
    <w:rsid w:val="006937C1"/>
    <w:rsid w:val="00693C6E"/>
    <w:rsid w:val="00694C83"/>
    <w:rsid w:val="006959A7"/>
    <w:rsid w:val="00695FEC"/>
    <w:rsid w:val="0069608A"/>
    <w:rsid w:val="006962A7"/>
    <w:rsid w:val="006962D0"/>
    <w:rsid w:val="00696C78"/>
    <w:rsid w:val="006972AF"/>
    <w:rsid w:val="006972D0"/>
    <w:rsid w:val="006977D1"/>
    <w:rsid w:val="00697995"/>
    <w:rsid w:val="006A0E37"/>
    <w:rsid w:val="006A164F"/>
    <w:rsid w:val="006A1E6E"/>
    <w:rsid w:val="006A2004"/>
    <w:rsid w:val="006A2FE1"/>
    <w:rsid w:val="006A30BC"/>
    <w:rsid w:val="006A3172"/>
    <w:rsid w:val="006A38E2"/>
    <w:rsid w:val="006A3D46"/>
    <w:rsid w:val="006A428A"/>
    <w:rsid w:val="006A4347"/>
    <w:rsid w:val="006A4514"/>
    <w:rsid w:val="006A486D"/>
    <w:rsid w:val="006A4A9C"/>
    <w:rsid w:val="006A5783"/>
    <w:rsid w:val="006A5AC5"/>
    <w:rsid w:val="006A66C2"/>
    <w:rsid w:val="006A6B9E"/>
    <w:rsid w:val="006A74B8"/>
    <w:rsid w:val="006A7ED4"/>
    <w:rsid w:val="006B0212"/>
    <w:rsid w:val="006B0ADD"/>
    <w:rsid w:val="006B0B6C"/>
    <w:rsid w:val="006B0E6F"/>
    <w:rsid w:val="006B1199"/>
    <w:rsid w:val="006B122B"/>
    <w:rsid w:val="006B14E5"/>
    <w:rsid w:val="006B1567"/>
    <w:rsid w:val="006B1A9B"/>
    <w:rsid w:val="006B2305"/>
    <w:rsid w:val="006B26CD"/>
    <w:rsid w:val="006B2CFF"/>
    <w:rsid w:val="006B3030"/>
    <w:rsid w:val="006B3260"/>
    <w:rsid w:val="006B36F1"/>
    <w:rsid w:val="006B3824"/>
    <w:rsid w:val="006B38AB"/>
    <w:rsid w:val="006B3BEC"/>
    <w:rsid w:val="006B40E7"/>
    <w:rsid w:val="006B4184"/>
    <w:rsid w:val="006B448E"/>
    <w:rsid w:val="006B4842"/>
    <w:rsid w:val="006B53D6"/>
    <w:rsid w:val="006B6580"/>
    <w:rsid w:val="006B75BB"/>
    <w:rsid w:val="006B7ADC"/>
    <w:rsid w:val="006B7EE2"/>
    <w:rsid w:val="006C062B"/>
    <w:rsid w:val="006C0E98"/>
    <w:rsid w:val="006C10CC"/>
    <w:rsid w:val="006C1589"/>
    <w:rsid w:val="006C23D6"/>
    <w:rsid w:val="006C24D6"/>
    <w:rsid w:val="006C332E"/>
    <w:rsid w:val="006C33BD"/>
    <w:rsid w:val="006C3700"/>
    <w:rsid w:val="006C3E27"/>
    <w:rsid w:val="006C49EF"/>
    <w:rsid w:val="006C4C42"/>
    <w:rsid w:val="006C57AE"/>
    <w:rsid w:val="006C5831"/>
    <w:rsid w:val="006C5BA3"/>
    <w:rsid w:val="006C5F9D"/>
    <w:rsid w:val="006C633F"/>
    <w:rsid w:val="006C675F"/>
    <w:rsid w:val="006C6FA7"/>
    <w:rsid w:val="006C70A0"/>
    <w:rsid w:val="006C71D1"/>
    <w:rsid w:val="006C76E6"/>
    <w:rsid w:val="006C7D50"/>
    <w:rsid w:val="006D00CB"/>
    <w:rsid w:val="006D0B64"/>
    <w:rsid w:val="006D1623"/>
    <w:rsid w:val="006D19E9"/>
    <w:rsid w:val="006D1D05"/>
    <w:rsid w:val="006D267A"/>
    <w:rsid w:val="006D26B8"/>
    <w:rsid w:val="006D2A90"/>
    <w:rsid w:val="006D2B06"/>
    <w:rsid w:val="006D2C67"/>
    <w:rsid w:val="006D2D4F"/>
    <w:rsid w:val="006D2DF3"/>
    <w:rsid w:val="006D30BA"/>
    <w:rsid w:val="006D3681"/>
    <w:rsid w:val="006D4626"/>
    <w:rsid w:val="006D4F25"/>
    <w:rsid w:val="006D4F52"/>
    <w:rsid w:val="006D504A"/>
    <w:rsid w:val="006D68A4"/>
    <w:rsid w:val="006D6A40"/>
    <w:rsid w:val="006D6A5D"/>
    <w:rsid w:val="006D6AB6"/>
    <w:rsid w:val="006D7001"/>
    <w:rsid w:val="006D71B7"/>
    <w:rsid w:val="006D7758"/>
    <w:rsid w:val="006D7BC5"/>
    <w:rsid w:val="006D7E64"/>
    <w:rsid w:val="006E0025"/>
    <w:rsid w:val="006E020C"/>
    <w:rsid w:val="006E066F"/>
    <w:rsid w:val="006E08A0"/>
    <w:rsid w:val="006E0ED1"/>
    <w:rsid w:val="006E1564"/>
    <w:rsid w:val="006E1AB0"/>
    <w:rsid w:val="006E1B77"/>
    <w:rsid w:val="006E1C62"/>
    <w:rsid w:val="006E1C96"/>
    <w:rsid w:val="006E1E8F"/>
    <w:rsid w:val="006E2339"/>
    <w:rsid w:val="006E2658"/>
    <w:rsid w:val="006E2A56"/>
    <w:rsid w:val="006E2A85"/>
    <w:rsid w:val="006E2A8D"/>
    <w:rsid w:val="006E2C19"/>
    <w:rsid w:val="006E2CC9"/>
    <w:rsid w:val="006E3831"/>
    <w:rsid w:val="006E38FF"/>
    <w:rsid w:val="006E3A68"/>
    <w:rsid w:val="006E40EB"/>
    <w:rsid w:val="006E4A30"/>
    <w:rsid w:val="006E4CAF"/>
    <w:rsid w:val="006E5005"/>
    <w:rsid w:val="006E516C"/>
    <w:rsid w:val="006E539F"/>
    <w:rsid w:val="006E549D"/>
    <w:rsid w:val="006E5980"/>
    <w:rsid w:val="006E60B4"/>
    <w:rsid w:val="006E6851"/>
    <w:rsid w:val="006E6A41"/>
    <w:rsid w:val="006E722D"/>
    <w:rsid w:val="006E7BF0"/>
    <w:rsid w:val="006E7D60"/>
    <w:rsid w:val="006E7E9A"/>
    <w:rsid w:val="006F0668"/>
    <w:rsid w:val="006F0AE1"/>
    <w:rsid w:val="006F0B73"/>
    <w:rsid w:val="006F1CDF"/>
    <w:rsid w:val="006F1DB6"/>
    <w:rsid w:val="006F248A"/>
    <w:rsid w:val="006F2494"/>
    <w:rsid w:val="006F2728"/>
    <w:rsid w:val="006F28BF"/>
    <w:rsid w:val="006F31E0"/>
    <w:rsid w:val="006F36C1"/>
    <w:rsid w:val="006F37E6"/>
    <w:rsid w:val="006F3A2F"/>
    <w:rsid w:val="006F4103"/>
    <w:rsid w:val="006F505B"/>
    <w:rsid w:val="006F5175"/>
    <w:rsid w:val="006F528E"/>
    <w:rsid w:val="006F5BC6"/>
    <w:rsid w:val="006F5D75"/>
    <w:rsid w:val="006F5DA9"/>
    <w:rsid w:val="006F675A"/>
    <w:rsid w:val="006F684E"/>
    <w:rsid w:val="006F68CB"/>
    <w:rsid w:val="006F690A"/>
    <w:rsid w:val="006F7B35"/>
    <w:rsid w:val="007001E5"/>
    <w:rsid w:val="007006D1"/>
    <w:rsid w:val="007008B6"/>
    <w:rsid w:val="00701316"/>
    <w:rsid w:val="0070241C"/>
    <w:rsid w:val="0070312D"/>
    <w:rsid w:val="00703BE5"/>
    <w:rsid w:val="00704337"/>
    <w:rsid w:val="0070451D"/>
    <w:rsid w:val="007045BE"/>
    <w:rsid w:val="00704F4F"/>
    <w:rsid w:val="00704FF6"/>
    <w:rsid w:val="00705372"/>
    <w:rsid w:val="00705955"/>
    <w:rsid w:val="00706396"/>
    <w:rsid w:val="007068A8"/>
    <w:rsid w:val="00706F7F"/>
    <w:rsid w:val="00707511"/>
    <w:rsid w:val="0070789D"/>
    <w:rsid w:val="00707A26"/>
    <w:rsid w:val="00707E0D"/>
    <w:rsid w:val="0071035E"/>
    <w:rsid w:val="0071085C"/>
    <w:rsid w:val="00710B31"/>
    <w:rsid w:val="00711E4E"/>
    <w:rsid w:val="007120F6"/>
    <w:rsid w:val="007124C6"/>
    <w:rsid w:val="0071278E"/>
    <w:rsid w:val="0071291F"/>
    <w:rsid w:val="007129AB"/>
    <w:rsid w:val="00712B6B"/>
    <w:rsid w:val="00712D91"/>
    <w:rsid w:val="0071311E"/>
    <w:rsid w:val="00713C85"/>
    <w:rsid w:val="00714407"/>
    <w:rsid w:val="00714434"/>
    <w:rsid w:val="00714614"/>
    <w:rsid w:val="00714B82"/>
    <w:rsid w:val="00715249"/>
    <w:rsid w:val="00715AB9"/>
    <w:rsid w:val="007166E7"/>
    <w:rsid w:val="00716715"/>
    <w:rsid w:val="0071679D"/>
    <w:rsid w:val="00716C3D"/>
    <w:rsid w:val="00716EC4"/>
    <w:rsid w:val="007170FB"/>
    <w:rsid w:val="00717392"/>
    <w:rsid w:val="007201B6"/>
    <w:rsid w:val="0072036C"/>
    <w:rsid w:val="007209F6"/>
    <w:rsid w:val="00720AA9"/>
    <w:rsid w:val="00720C2D"/>
    <w:rsid w:val="007210C6"/>
    <w:rsid w:val="00721273"/>
    <w:rsid w:val="007212E1"/>
    <w:rsid w:val="00721C42"/>
    <w:rsid w:val="0072266C"/>
    <w:rsid w:val="00722A87"/>
    <w:rsid w:val="0072318B"/>
    <w:rsid w:val="00723252"/>
    <w:rsid w:val="00723568"/>
    <w:rsid w:val="00723639"/>
    <w:rsid w:val="00723DE9"/>
    <w:rsid w:val="00724B5A"/>
    <w:rsid w:val="007250DC"/>
    <w:rsid w:val="00726614"/>
    <w:rsid w:val="00726C6D"/>
    <w:rsid w:val="00726E9D"/>
    <w:rsid w:val="00727375"/>
    <w:rsid w:val="00730A8F"/>
    <w:rsid w:val="00730D23"/>
    <w:rsid w:val="00730F35"/>
    <w:rsid w:val="00730FDD"/>
    <w:rsid w:val="007311AD"/>
    <w:rsid w:val="0073152F"/>
    <w:rsid w:val="00731616"/>
    <w:rsid w:val="0073227F"/>
    <w:rsid w:val="00732387"/>
    <w:rsid w:val="00732B9B"/>
    <w:rsid w:val="00732CF9"/>
    <w:rsid w:val="00732D19"/>
    <w:rsid w:val="00732E06"/>
    <w:rsid w:val="00732F32"/>
    <w:rsid w:val="0073340A"/>
    <w:rsid w:val="00733522"/>
    <w:rsid w:val="00734130"/>
    <w:rsid w:val="0073474C"/>
    <w:rsid w:val="007348E6"/>
    <w:rsid w:val="00734903"/>
    <w:rsid w:val="00734CA9"/>
    <w:rsid w:val="007351BF"/>
    <w:rsid w:val="00735231"/>
    <w:rsid w:val="0073537A"/>
    <w:rsid w:val="00735CB0"/>
    <w:rsid w:val="0073602D"/>
    <w:rsid w:val="00736050"/>
    <w:rsid w:val="00736BB1"/>
    <w:rsid w:val="00736E5F"/>
    <w:rsid w:val="00737013"/>
    <w:rsid w:val="007371B3"/>
    <w:rsid w:val="00737738"/>
    <w:rsid w:val="00737B64"/>
    <w:rsid w:val="00740442"/>
    <w:rsid w:val="00740621"/>
    <w:rsid w:val="0074108C"/>
    <w:rsid w:val="007412F4"/>
    <w:rsid w:val="00741680"/>
    <w:rsid w:val="00741A60"/>
    <w:rsid w:val="00741B7D"/>
    <w:rsid w:val="00741CD7"/>
    <w:rsid w:val="00743035"/>
    <w:rsid w:val="0074313C"/>
    <w:rsid w:val="00743189"/>
    <w:rsid w:val="00743BFC"/>
    <w:rsid w:val="00744B3B"/>
    <w:rsid w:val="00744EFA"/>
    <w:rsid w:val="007453FA"/>
    <w:rsid w:val="0074556B"/>
    <w:rsid w:val="007456A7"/>
    <w:rsid w:val="00745AD7"/>
    <w:rsid w:val="00745FAA"/>
    <w:rsid w:val="00746013"/>
    <w:rsid w:val="007471CA"/>
    <w:rsid w:val="0074739F"/>
    <w:rsid w:val="0074768A"/>
    <w:rsid w:val="00747EF1"/>
    <w:rsid w:val="00747F71"/>
    <w:rsid w:val="007500D2"/>
    <w:rsid w:val="007503A8"/>
    <w:rsid w:val="0075067B"/>
    <w:rsid w:val="0075095B"/>
    <w:rsid w:val="00750F7F"/>
    <w:rsid w:val="007512D4"/>
    <w:rsid w:val="00751C86"/>
    <w:rsid w:val="00751EE9"/>
    <w:rsid w:val="00752166"/>
    <w:rsid w:val="007530C1"/>
    <w:rsid w:val="00753131"/>
    <w:rsid w:val="00753783"/>
    <w:rsid w:val="00753978"/>
    <w:rsid w:val="00753AE1"/>
    <w:rsid w:val="00753C2A"/>
    <w:rsid w:val="007545A4"/>
    <w:rsid w:val="00754829"/>
    <w:rsid w:val="00754B7E"/>
    <w:rsid w:val="00754C34"/>
    <w:rsid w:val="00754C99"/>
    <w:rsid w:val="0075507C"/>
    <w:rsid w:val="00755204"/>
    <w:rsid w:val="00755CB2"/>
    <w:rsid w:val="00755F4C"/>
    <w:rsid w:val="00756471"/>
    <w:rsid w:val="00756965"/>
    <w:rsid w:val="00756AD0"/>
    <w:rsid w:val="00756BED"/>
    <w:rsid w:val="00756E48"/>
    <w:rsid w:val="0075703B"/>
    <w:rsid w:val="00757EE4"/>
    <w:rsid w:val="0076114C"/>
    <w:rsid w:val="007614CA"/>
    <w:rsid w:val="00761DD7"/>
    <w:rsid w:val="007620D6"/>
    <w:rsid w:val="00762C77"/>
    <w:rsid w:val="0076337C"/>
    <w:rsid w:val="0076369F"/>
    <w:rsid w:val="00763DA0"/>
    <w:rsid w:val="00764082"/>
    <w:rsid w:val="00764280"/>
    <w:rsid w:val="00764698"/>
    <w:rsid w:val="00764A71"/>
    <w:rsid w:val="00764A82"/>
    <w:rsid w:val="00765407"/>
    <w:rsid w:val="0076557A"/>
    <w:rsid w:val="00766D90"/>
    <w:rsid w:val="00766FC0"/>
    <w:rsid w:val="00767042"/>
    <w:rsid w:val="00767423"/>
    <w:rsid w:val="007679A6"/>
    <w:rsid w:val="00767D2F"/>
    <w:rsid w:val="00767EA7"/>
    <w:rsid w:val="00770899"/>
    <w:rsid w:val="00770A27"/>
    <w:rsid w:val="007715E5"/>
    <w:rsid w:val="00772313"/>
    <w:rsid w:val="0077377D"/>
    <w:rsid w:val="0077386D"/>
    <w:rsid w:val="00773ECD"/>
    <w:rsid w:val="00774203"/>
    <w:rsid w:val="0077422F"/>
    <w:rsid w:val="00774425"/>
    <w:rsid w:val="007746A4"/>
    <w:rsid w:val="00774BC6"/>
    <w:rsid w:val="00774CAC"/>
    <w:rsid w:val="00774F62"/>
    <w:rsid w:val="007750BC"/>
    <w:rsid w:val="007756B5"/>
    <w:rsid w:val="007758B5"/>
    <w:rsid w:val="00775FB4"/>
    <w:rsid w:val="0077613A"/>
    <w:rsid w:val="00776508"/>
    <w:rsid w:val="0077655C"/>
    <w:rsid w:val="0077686E"/>
    <w:rsid w:val="0077699A"/>
    <w:rsid w:val="00776DB4"/>
    <w:rsid w:val="00776F62"/>
    <w:rsid w:val="00777844"/>
    <w:rsid w:val="00777B4E"/>
    <w:rsid w:val="00777F2C"/>
    <w:rsid w:val="0078063B"/>
    <w:rsid w:val="00780835"/>
    <w:rsid w:val="00780A96"/>
    <w:rsid w:val="00780E36"/>
    <w:rsid w:val="007811BA"/>
    <w:rsid w:val="00781395"/>
    <w:rsid w:val="00781442"/>
    <w:rsid w:val="007816A9"/>
    <w:rsid w:val="007817E7"/>
    <w:rsid w:val="00782576"/>
    <w:rsid w:val="007825C1"/>
    <w:rsid w:val="00782693"/>
    <w:rsid w:val="0078281A"/>
    <w:rsid w:val="00782A01"/>
    <w:rsid w:val="00782D67"/>
    <w:rsid w:val="00782EFC"/>
    <w:rsid w:val="00782FB1"/>
    <w:rsid w:val="007832BF"/>
    <w:rsid w:val="007836A8"/>
    <w:rsid w:val="00783F80"/>
    <w:rsid w:val="007842B8"/>
    <w:rsid w:val="0078437F"/>
    <w:rsid w:val="00784B64"/>
    <w:rsid w:val="00784E48"/>
    <w:rsid w:val="00785D0A"/>
    <w:rsid w:val="00785F20"/>
    <w:rsid w:val="00786020"/>
    <w:rsid w:val="007868D2"/>
    <w:rsid w:val="00786A74"/>
    <w:rsid w:val="00786DF3"/>
    <w:rsid w:val="0078764E"/>
    <w:rsid w:val="00790362"/>
    <w:rsid w:val="00790727"/>
    <w:rsid w:val="00791B96"/>
    <w:rsid w:val="00792689"/>
    <w:rsid w:val="00792CDB"/>
    <w:rsid w:val="00792F73"/>
    <w:rsid w:val="00793149"/>
    <w:rsid w:val="007934B8"/>
    <w:rsid w:val="00793C55"/>
    <w:rsid w:val="0079445E"/>
    <w:rsid w:val="00794579"/>
    <w:rsid w:val="0079485B"/>
    <w:rsid w:val="00794941"/>
    <w:rsid w:val="00794A69"/>
    <w:rsid w:val="007954CF"/>
    <w:rsid w:val="007955A3"/>
    <w:rsid w:val="00795B57"/>
    <w:rsid w:val="007961E9"/>
    <w:rsid w:val="00797776"/>
    <w:rsid w:val="007977D4"/>
    <w:rsid w:val="007A023B"/>
    <w:rsid w:val="007A054A"/>
    <w:rsid w:val="007A0AEA"/>
    <w:rsid w:val="007A135A"/>
    <w:rsid w:val="007A13FD"/>
    <w:rsid w:val="007A1543"/>
    <w:rsid w:val="007A1BC8"/>
    <w:rsid w:val="007A202B"/>
    <w:rsid w:val="007A206B"/>
    <w:rsid w:val="007A2A86"/>
    <w:rsid w:val="007A2C01"/>
    <w:rsid w:val="007A2C9D"/>
    <w:rsid w:val="007A2D27"/>
    <w:rsid w:val="007A3089"/>
    <w:rsid w:val="007A357E"/>
    <w:rsid w:val="007A3AEB"/>
    <w:rsid w:val="007A3DF7"/>
    <w:rsid w:val="007A46BB"/>
    <w:rsid w:val="007A4A8F"/>
    <w:rsid w:val="007A4B1D"/>
    <w:rsid w:val="007A4EAB"/>
    <w:rsid w:val="007A4F36"/>
    <w:rsid w:val="007A508F"/>
    <w:rsid w:val="007A523B"/>
    <w:rsid w:val="007A5598"/>
    <w:rsid w:val="007A584C"/>
    <w:rsid w:val="007A59E8"/>
    <w:rsid w:val="007A5B5D"/>
    <w:rsid w:val="007A72E1"/>
    <w:rsid w:val="007A794A"/>
    <w:rsid w:val="007A7C15"/>
    <w:rsid w:val="007B00AC"/>
    <w:rsid w:val="007B01CD"/>
    <w:rsid w:val="007B0640"/>
    <w:rsid w:val="007B0830"/>
    <w:rsid w:val="007B0BC8"/>
    <w:rsid w:val="007B2302"/>
    <w:rsid w:val="007B2370"/>
    <w:rsid w:val="007B2523"/>
    <w:rsid w:val="007B2731"/>
    <w:rsid w:val="007B2C9E"/>
    <w:rsid w:val="007B365C"/>
    <w:rsid w:val="007B36F6"/>
    <w:rsid w:val="007B3B60"/>
    <w:rsid w:val="007B4D08"/>
    <w:rsid w:val="007B511E"/>
    <w:rsid w:val="007B545B"/>
    <w:rsid w:val="007B5693"/>
    <w:rsid w:val="007B595B"/>
    <w:rsid w:val="007B5C00"/>
    <w:rsid w:val="007B6032"/>
    <w:rsid w:val="007B649D"/>
    <w:rsid w:val="007B66B7"/>
    <w:rsid w:val="007B68A1"/>
    <w:rsid w:val="007B694B"/>
    <w:rsid w:val="007B7171"/>
    <w:rsid w:val="007B7604"/>
    <w:rsid w:val="007B7629"/>
    <w:rsid w:val="007B7DAF"/>
    <w:rsid w:val="007B7E91"/>
    <w:rsid w:val="007C06CD"/>
    <w:rsid w:val="007C0B2C"/>
    <w:rsid w:val="007C0F83"/>
    <w:rsid w:val="007C11A8"/>
    <w:rsid w:val="007C1565"/>
    <w:rsid w:val="007C1B2B"/>
    <w:rsid w:val="007C1D0D"/>
    <w:rsid w:val="007C23AC"/>
    <w:rsid w:val="007C27B9"/>
    <w:rsid w:val="007C4176"/>
    <w:rsid w:val="007C44EE"/>
    <w:rsid w:val="007C4939"/>
    <w:rsid w:val="007C4D30"/>
    <w:rsid w:val="007C565A"/>
    <w:rsid w:val="007C5E58"/>
    <w:rsid w:val="007C6C84"/>
    <w:rsid w:val="007C6D96"/>
    <w:rsid w:val="007C6DDC"/>
    <w:rsid w:val="007C78FA"/>
    <w:rsid w:val="007C7B64"/>
    <w:rsid w:val="007C7FA3"/>
    <w:rsid w:val="007D03F2"/>
    <w:rsid w:val="007D04BB"/>
    <w:rsid w:val="007D051B"/>
    <w:rsid w:val="007D06A4"/>
    <w:rsid w:val="007D0E87"/>
    <w:rsid w:val="007D0F36"/>
    <w:rsid w:val="007D11DA"/>
    <w:rsid w:val="007D143B"/>
    <w:rsid w:val="007D14C2"/>
    <w:rsid w:val="007D1579"/>
    <w:rsid w:val="007D190C"/>
    <w:rsid w:val="007D2119"/>
    <w:rsid w:val="007D22AE"/>
    <w:rsid w:val="007D2794"/>
    <w:rsid w:val="007D299E"/>
    <w:rsid w:val="007D2B2F"/>
    <w:rsid w:val="007D2CE9"/>
    <w:rsid w:val="007D313B"/>
    <w:rsid w:val="007D3197"/>
    <w:rsid w:val="007D391D"/>
    <w:rsid w:val="007D411E"/>
    <w:rsid w:val="007D4849"/>
    <w:rsid w:val="007D4AAC"/>
    <w:rsid w:val="007D4F7D"/>
    <w:rsid w:val="007D5743"/>
    <w:rsid w:val="007D5DBA"/>
    <w:rsid w:val="007D63B3"/>
    <w:rsid w:val="007D6AB1"/>
    <w:rsid w:val="007D761D"/>
    <w:rsid w:val="007D7AFB"/>
    <w:rsid w:val="007E0441"/>
    <w:rsid w:val="007E0910"/>
    <w:rsid w:val="007E0CED"/>
    <w:rsid w:val="007E0FE1"/>
    <w:rsid w:val="007E1454"/>
    <w:rsid w:val="007E2505"/>
    <w:rsid w:val="007E260D"/>
    <w:rsid w:val="007E28A4"/>
    <w:rsid w:val="007E38E1"/>
    <w:rsid w:val="007E3C9F"/>
    <w:rsid w:val="007E3F8F"/>
    <w:rsid w:val="007E4334"/>
    <w:rsid w:val="007E43B7"/>
    <w:rsid w:val="007E4CCB"/>
    <w:rsid w:val="007E4D8F"/>
    <w:rsid w:val="007E4DC7"/>
    <w:rsid w:val="007E4DCA"/>
    <w:rsid w:val="007E545A"/>
    <w:rsid w:val="007E5549"/>
    <w:rsid w:val="007E572A"/>
    <w:rsid w:val="007E5898"/>
    <w:rsid w:val="007E5FFC"/>
    <w:rsid w:val="007E600F"/>
    <w:rsid w:val="007E6BAA"/>
    <w:rsid w:val="007E756A"/>
    <w:rsid w:val="007E772A"/>
    <w:rsid w:val="007E77B0"/>
    <w:rsid w:val="007E79DD"/>
    <w:rsid w:val="007E7B84"/>
    <w:rsid w:val="007F01D6"/>
    <w:rsid w:val="007F055B"/>
    <w:rsid w:val="007F0906"/>
    <w:rsid w:val="007F0FBE"/>
    <w:rsid w:val="007F1141"/>
    <w:rsid w:val="007F1684"/>
    <w:rsid w:val="007F21DB"/>
    <w:rsid w:val="007F2558"/>
    <w:rsid w:val="007F2B85"/>
    <w:rsid w:val="007F31ED"/>
    <w:rsid w:val="007F38B5"/>
    <w:rsid w:val="007F395F"/>
    <w:rsid w:val="007F3BD6"/>
    <w:rsid w:val="007F3F95"/>
    <w:rsid w:val="007F403A"/>
    <w:rsid w:val="007F4849"/>
    <w:rsid w:val="007F4C13"/>
    <w:rsid w:val="007F5320"/>
    <w:rsid w:val="007F5A42"/>
    <w:rsid w:val="007F5ADD"/>
    <w:rsid w:val="007F5B3F"/>
    <w:rsid w:val="007F5C1B"/>
    <w:rsid w:val="007F6183"/>
    <w:rsid w:val="007F638B"/>
    <w:rsid w:val="007F6691"/>
    <w:rsid w:val="007F66B8"/>
    <w:rsid w:val="007F6A6F"/>
    <w:rsid w:val="007F6AF1"/>
    <w:rsid w:val="007F6D4A"/>
    <w:rsid w:val="007F7012"/>
    <w:rsid w:val="007F73A2"/>
    <w:rsid w:val="007F7A3A"/>
    <w:rsid w:val="00800356"/>
    <w:rsid w:val="00800758"/>
    <w:rsid w:val="0080077B"/>
    <w:rsid w:val="00800A63"/>
    <w:rsid w:val="0080113B"/>
    <w:rsid w:val="00801BDF"/>
    <w:rsid w:val="00802372"/>
    <w:rsid w:val="008026E1"/>
    <w:rsid w:val="00802C58"/>
    <w:rsid w:val="008035F2"/>
    <w:rsid w:val="00803C2E"/>
    <w:rsid w:val="008049CA"/>
    <w:rsid w:val="00804AA9"/>
    <w:rsid w:val="00805617"/>
    <w:rsid w:val="0080620C"/>
    <w:rsid w:val="008063C6"/>
    <w:rsid w:val="008065EE"/>
    <w:rsid w:val="00806A50"/>
    <w:rsid w:val="00806C43"/>
    <w:rsid w:val="00807C34"/>
    <w:rsid w:val="008101BB"/>
    <w:rsid w:val="00810771"/>
    <w:rsid w:val="00810845"/>
    <w:rsid w:val="00810D20"/>
    <w:rsid w:val="00811B3C"/>
    <w:rsid w:val="00811CC5"/>
    <w:rsid w:val="0081282E"/>
    <w:rsid w:val="008128F8"/>
    <w:rsid w:val="00812DFB"/>
    <w:rsid w:val="00813107"/>
    <w:rsid w:val="00813184"/>
    <w:rsid w:val="00813191"/>
    <w:rsid w:val="008133B3"/>
    <w:rsid w:val="008134F6"/>
    <w:rsid w:val="0081353D"/>
    <w:rsid w:val="00813865"/>
    <w:rsid w:val="00813FDB"/>
    <w:rsid w:val="008142BB"/>
    <w:rsid w:val="00814AA2"/>
    <w:rsid w:val="00814D42"/>
    <w:rsid w:val="0081502B"/>
    <w:rsid w:val="008150C6"/>
    <w:rsid w:val="008150E2"/>
    <w:rsid w:val="0081546B"/>
    <w:rsid w:val="00816675"/>
    <w:rsid w:val="00816A25"/>
    <w:rsid w:val="00816B80"/>
    <w:rsid w:val="0081722E"/>
    <w:rsid w:val="00817951"/>
    <w:rsid w:val="0082019B"/>
    <w:rsid w:val="008201C8"/>
    <w:rsid w:val="0082021F"/>
    <w:rsid w:val="008209DB"/>
    <w:rsid w:val="00820E67"/>
    <w:rsid w:val="00820FF2"/>
    <w:rsid w:val="00821032"/>
    <w:rsid w:val="00821377"/>
    <w:rsid w:val="00821502"/>
    <w:rsid w:val="00821961"/>
    <w:rsid w:val="008219DB"/>
    <w:rsid w:val="00821BB3"/>
    <w:rsid w:val="00821DA4"/>
    <w:rsid w:val="00822006"/>
    <w:rsid w:val="008222D3"/>
    <w:rsid w:val="008228CA"/>
    <w:rsid w:val="00822C38"/>
    <w:rsid w:val="00822EA7"/>
    <w:rsid w:val="00823682"/>
    <w:rsid w:val="00823AB7"/>
    <w:rsid w:val="008246D7"/>
    <w:rsid w:val="00824BBD"/>
    <w:rsid w:val="0082507C"/>
    <w:rsid w:val="008254CF"/>
    <w:rsid w:val="00825843"/>
    <w:rsid w:val="008261E9"/>
    <w:rsid w:val="0082683A"/>
    <w:rsid w:val="008268FC"/>
    <w:rsid w:val="0082708D"/>
    <w:rsid w:val="00827091"/>
    <w:rsid w:val="008270F1"/>
    <w:rsid w:val="008270F9"/>
    <w:rsid w:val="0082721A"/>
    <w:rsid w:val="008272CC"/>
    <w:rsid w:val="00827E3B"/>
    <w:rsid w:val="008300D5"/>
    <w:rsid w:val="00830444"/>
    <w:rsid w:val="00830520"/>
    <w:rsid w:val="0083052F"/>
    <w:rsid w:val="008309A3"/>
    <w:rsid w:val="00830BE9"/>
    <w:rsid w:val="00830E4E"/>
    <w:rsid w:val="008312B6"/>
    <w:rsid w:val="00831941"/>
    <w:rsid w:val="008323A7"/>
    <w:rsid w:val="00832779"/>
    <w:rsid w:val="00832AF8"/>
    <w:rsid w:val="00832B9C"/>
    <w:rsid w:val="00832D61"/>
    <w:rsid w:val="00833124"/>
    <w:rsid w:val="00833B36"/>
    <w:rsid w:val="00834117"/>
    <w:rsid w:val="0083430B"/>
    <w:rsid w:val="00834E9F"/>
    <w:rsid w:val="008356C7"/>
    <w:rsid w:val="00835730"/>
    <w:rsid w:val="00835B17"/>
    <w:rsid w:val="00835DF9"/>
    <w:rsid w:val="0083673B"/>
    <w:rsid w:val="00836E10"/>
    <w:rsid w:val="008370A6"/>
    <w:rsid w:val="0083792A"/>
    <w:rsid w:val="00837A88"/>
    <w:rsid w:val="0084018C"/>
    <w:rsid w:val="0084073A"/>
    <w:rsid w:val="00840923"/>
    <w:rsid w:val="00840A53"/>
    <w:rsid w:val="00840EB4"/>
    <w:rsid w:val="008417A4"/>
    <w:rsid w:val="00841848"/>
    <w:rsid w:val="00841AD4"/>
    <w:rsid w:val="0084254E"/>
    <w:rsid w:val="00842CFD"/>
    <w:rsid w:val="00843062"/>
    <w:rsid w:val="008435BB"/>
    <w:rsid w:val="0084430F"/>
    <w:rsid w:val="00844497"/>
    <w:rsid w:val="0084454D"/>
    <w:rsid w:val="008445AD"/>
    <w:rsid w:val="00844F8E"/>
    <w:rsid w:val="008454ED"/>
    <w:rsid w:val="00845C1C"/>
    <w:rsid w:val="00845D4D"/>
    <w:rsid w:val="00846833"/>
    <w:rsid w:val="00846C83"/>
    <w:rsid w:val="00846EA4"/>
    <w:rsid w:val="00846EDB"/>
    <w:rsid w:val="0084735A"/>
    <w:rsid w:val="008476D0"/>
    <w:rsid w:val="00847C93"/>
    <w:rsid w:val="00847D90"/>
    <w:rsid w:val="00847DB9"/>
    <w:rsid w:val="00850483"/>
    <w:rsid w:val="00850593"/>
    <w:rsid w:val="0085075A"/>
    <w:rsid w:val="008507B0"/>
    <w:rsid w:val="00850A55"/>
    <w:rsid w:val="00850F74"/>
    <w:rsid w:val="0085107A"/>
    <w:rsid w:val="0085166B"/>
    <w:rsid w:val="00851D18"/>
    <w:rsid w:val="00852097"/>
    <w:rsid w:val="00852154"/>
    <w:rsid w:val="008521EF"/>
    <w:rsid w:val="0085290F"/>
    <w:rsid w:val="00852D13"/>
    <w:rsid w:val="00852E5C"/>
    <w:rsid w:val="008533A5"/>
    <w:rsid w:val="0085396A"/>
    <w:rsid w:val="0085461B"/>
    <w:rsid w:val="00854791"/>
    <w:rsid w:val="00854E8A"/>
    <w:rsid w:val="00855318"/>
    <w:rsid w:val="00855694"/>
    <w:rsid w:val="008556F8"/>
    <w:rsid w:val="008559D1"/>
    <w:rsid w:val="00855CE6"/>
    <w:rsid w:val="00855D6C"/>
    <w:rsid w:val="00857689"/>
    <w:rsid w:val="00857B9B"/>
    <w:rsid w:val="00860C55"/>
    <w:rsid w:val="00861527"/>
    <w:rsid w:val="008619F6"/>
    <w:rsid w:val="00861BD7"/>
    <w:rsid w:val="00861F35"/>
    <w:rsid w:val="00862511"/>
    <w:rsid w:val="00862C1F"/>
    <w:rsid w:val="00862D4B"/>
    <w:rsid w:val="00863227"/>
    <w:rsid w:val="0086376E"/>
    <w:rsid w:val="00863B35"/>
    <w:rsid w:val="00863CC5"/>
    <w:rsid w:val="0086425E"/>
    <w:rsid w:val="008644B3"/>
    <w:rsid w:val="00866B1A"/>
    <w:rsid w:val="00866E20"/>
    <w:rsid w:val="00867017"/>
    <w:rsid w:val="0086702A"/>
    <w:rsid w:val="008671C1"/>
    <w:rsid w:val="0086737A"/>
    <w:rsid w:val="00867496"/>
    <w:rsid w:val="008675AF"/>
    <w:rsid w:val="008700F6"/>
    <w:rsid w:val="00870D08"/>
    <w:rsid w:val="0087135C"/>
    <w:rsid w:val="00871E43"/>
    <w:rsid w:val="00871E62"/>
    <w:rsid w:val="008724F3"/>
    <w:rsid w:val="00872558"/>
    <w:rsid w:val="00872621"/>
    <w:rsid w:val="00872FE8"/>
    <w:rsid w:val="0087317A"/>
    <w:rsid w:val="00873214"/>
    <w:rsid w:val="00873539"/>
    <w:rsid w:val="00873762"/>
    <w:rsid w:val="008737A8"/>
    <w:rsid w:val="00873F14"/>
    <w:rsid w:val="00873F54"/>
    <w:rsid w:val="00874813"/>
    <w:rsid w:val="00875882"/>
    <w:rsid w:val="008763FD"/>
    <w:rsid w:val="008769D0"/>
    <w:rsid w:val="00876C12"/>
    <w:rsid w:val="0087711F"/>
    <w:rsid w:val="008772D7"/>
    <w:rsid w:val="008774A6"/>
    <w:rsid w:val="008803A6"/>
    <w:rsid w:val="00880596"/>
    <w:rsid w:val="008805E6"/>
    <w:rsid w:val="008807E2"/>
    <w:rsid w:val="00880DD5"/>
    <w:rsid w:val="008810A9"/>
    <w:rsid w:val="00881248"/>
    <w:rsid w:val="0088188C"/>
    <w:rsid w:val="00882081"/>
    <w:rsid w:val="0088373B"/>
    <w:rsid w:val="00883937"/>
    <w:rsid w:val="00883A0F"/>
    <w:rsid w:val="00883CB9"/>
    <w:rsid w:val="00883CCE"/>
    <w:rsid w:val="0088424A"/>
    <w:rsid w:val="00884743"/>
    <w:rsid w:val="008847A4"/>
    <w:rsid w:val="0088482F"/>
    <w:rsid w:val="00884D1D"/>
    <w:rsid w:val="00885B32"/>
    <w:rsid w:val="00885F55"/>
    <w:rsid w:val="00886500"/>
    <w:rsid w:val="00887038"/>
    <w:rsid w:val="00887050"/>
    <w:rsid w:val="008878E3"/>
    <w:rsid w:val="0088792B"/>
    <w:rsid w:val="00890AE3"/>
    <w:rsid w:val="00890FF8"/>
    <w:rsid w:val="008911D0"/>
    <w:rsid w:val="00891406"/>
    <w:rsid w:val="008915BC"/>
    <w:rsid w:val="008915EA"/>
    <w:rsid w:val="008922B8"/>
    <w:rsid w:val="008926AA"/>
    <w:rsid w:val="00892FD2"/>
    <w:rsid w:val="008934F0"/>
    <w:rsid w:val="008934FD"/>
    <w:rsid w:val="008936E9"/>
    <w:rsid w:val="00893702"/>
    <w:rsid w:val="00893989"/>
    <w:rsid w:val="0089481F"/>
    <w:rsid w:val="008949EB"/>
    <w:rsid w:val="00895A11"/>
    <w:rsid w:val="00895A20"/>
    <w:rsid w:val="008964E4"/>
    <w:rsid w:val="00896614"/>
    <w:rsid w:val="008969E4"/>
    <w:rsid w:val="00897195"/>
    <w:rsid w:val="008A0145"/>
    <w:rsid w:val="008A059D"/>
    <w:rsid w:val="008A0784"/>
    <w:rsid w:val="008A086C"/>
    <w:rsid w:val="008A0E31"/>
    <w:rsid w:val="008A0F61"/>
    <w:rsid w:val="008A10DF"/>
    <w:rsid w:val="008A14D2"/>
    <w:rsid w:val="008A17CC"/>
    <w:rsid w:val="008A1B38"/>
    <w:rsid w:val="008A1CC4"/>
    <w:rsid w:val="008A1F19"/>
    <w:rsid w:val="008A2161"/>
    <w:rsid w:val="008A27A1"/>
    <w:rsid w:val="008A28DC"/>
    <w:rsid w:val="008A2F6F"/>
    <w:rsid w:val="008A346C"/>
    <w:rsid w:val="008A3531"/>
    <w:rsid w:val="008A37AA"/>
    <w:rsid w:val="008A38E5"/>
    <w:rsid w:val="008A3916"/>
    <w:rsid w:val="008A3C75"/>
    <w:rsid w:val="008A3CA5"/>
    <w:rsid w:val="008A43C4"/>
    <w:rsid w:val="008A4854"/>
    <w:rsid w:val="008A4BC2"/>
    <w:rsid w:val="008A4CAC"/>
    <w:rsid w:val="008A4D7B"/>
    <w:rsid w:val="008A5779"/>
    <w:rsid w:val="008A590E"/>
    <w:rsid w:val="008A5ABC"/>
    <w:rsid w:val="008A6691"/>
    <w:rsid w:val="008A67A8"/>
    <w:rsid w:val="008A75B6"/>
    <w:rsid w:val="008A7887"/>
    <w:rsid w:val="008A79A1"/>
    <w:rsid w:val="008B03F3"/>
    <w:rsid w:val="008B0DBB"/>
    <w:rsid w:val="008B10FE"/>
    <w:rsid w:val="008B1319"/>
    <w:rsid w:val="008B14A1"/>
    <w:rsid w:val="008B1637"/>
    <w:rsid w:val="008B1864"/>
    <w:rsid w:val="008B1AC9"/>
    <w:rsid w:val="008B1D6D"/>
    <w:rsid w:val="008B1D9D"/>
    <w:rsid w:val="008B20BD"/>
    <w:rsid w:val="008B246B"/>
    <w:rsid w:val="008B2892"/>
    <w:rsid w:val="008B433C"/>
    <w:rsid w:val="008B446A"/>
    <w:rsid w:val="008B4478"/>
    <w:rsid w:val="008B45E2"/>
    <w:rsid w:val="008B4C3D"/>
    <w:rsid w:val="008B4E39"/>
    <w:rsid w:val="008B4F76"/>
    <w:rsid w:val="008B64F4"/>
    <w:rsid w:val="008B6949"/>
    <w:rsid w:val="008B6F0C"/>
    <w:rsid w:val="008B72AE"/>
    <w:rsid w:val="008C040E"/>
    <w:rsid w:val="008C1318"/>
    <w:rsid w:val="008C15BF"/>
    <w:rsid w:val="008C15F8"/>
    <w:rsid w:val="008C19BD"/>
    <w:rsid w:val="008C1C37"/>
    <w:rsid w:val="008C3142"/>
    <w:rsid w:val="008C3BE9"/>
    <w:rsid w:val="008C421D"/>
    <w:rsid w:val="008C46C7"/>
    <w:rsid w:val="008C4C91"/>
    <w:rsid w:val="008C5409"/>
    <w:rsid w:val="008C5423"/>
    <w:rsid w:val="008C58FD"/>
    <w:rsid w:val="008C5F57"/>
    <w:rsid w:val="008C5FCC"/>
    <w:rsid w:val="008C6059"/>
    <w:rsid w:val="008C61C7"/>
    <w:rsid w:val="008C6642"/>
    <w:rsid w:val="008C68A7"/>
    <w:rsid w:val="008C68F2"/>
    <w:rsid w:val="008C7AC8"/>
    <w:rsid w:val="008C7C73"/>
    <w:rsid w:val="008D0572"/>
    <w:rsid w:val="008D0B52"/>
    <w:rsid w:val="008D0ED0"/>
    <w:rsid w:val="008D11E0"/>
    <w:rsid w:val="008D14E0"/>
    <w:rsid w:val="008D15BD"/>
    <w:rsid w:val="008D1DC3"/>
    <w:rsid w:val="008D216B"/>
    <w:rsid w:val="008D24F1"/>
    <w:rsid w:val="008D25F1"/>
    <w:rsid w:val="008D30A2"/>
    <w:rsid w:val="008D372E"/>
    <w:rsid w:val="008D4663"/>
    <w:rsid w:val="008D4923"/>
    <w:rsid w:val="008D4E7E"/>
    <w:rsid w:val="008D59A2"/>
    <w:rsid w:val="008D5E48"/>
    <w:rsid w:val="008D5F8B"/>
    <w:rsid w:val="008D5FAD"/>
    <w:rsid w:val="008D6114"/>
    <w:rsid w:val="008D6327"/>
    <w:rsid w:val="008D6F6F"/>
    <w:rsid w:val="008D7B7C"/>
    <w:rsid w:val="008E00C6"/>
    <w:rsid w:val="008E0303"/>
    <w:rsid w:val="008E04D3"/>
    <w:rsid w:val="008E080E"/>
    <w:rsid w:val="008E0FAB"/>
    <w:rsid w:val="008E1EF6"/>
    <w:rsid w:val="008E1F49"/>
    <w:rsid w:val="008E2002"/>
    <w:rsid w:val="008E24BF"/>
    <w:rsid w:val="008E2D5D"/>
    <w:rsid w:val="008E34C7"/>
    <w:rsid w:val="008E3929"/>
    <w:rsid w:val="008E3DAF"/>
    <w:rsid w:val="008E4069"/>
    <w:rsid w:val="008E46CB"/>
    <w:rsid w:val="008E5C42"/>
    <w:rsid w:val="008E5E79"/>
    <w:rsid w:val="008E6011"/>
    <w:rsid w:val="008E62FE"/>
    <w:rsid w:val="008E6D62"/>
    <w:rsid w:val="008E787D"/>
    <w:rsid w:val="008F0556"/>
    <w:rsid w:val="008F0F40"/>
    <w:rsid w:val="008F13B9"/>
    <w:rsid w:val="008F1ECC"/>
    <w:rsid w:val="008F2BD0"/>
    <w:rsid w:val="008F2CFE"/>
    <w:rsid w:val="008F2EA3"/>
    <w:rsid w:val="008F346E"/>
    <w:rsid w:val="008F34EC"/>
    <w:rsid w:val="008F3A38"/>
    <w:rsid w:val="008F4CC5"/>
    <w:rsid w:val="008F5305"/>
    <w:rsid w:val="008F5A33"/>
    <w:rsid w:val="008F5F4D"/>
    <w:rsid w:val="008F6233"/>
    <w:rsid w:val="008F64B2"/>
    <w:rsid w:val="008F64F0"/>
    <w:rsid w:val="008F65A6"/>
    <w:rsid w:val="008F667D"/>
    <w:rsid w:val="008F6DB7"/>
    <w:rsid w:val="008F6DE0"/>
    <w:rsid w:val="008F7798"/>
    <w:rsid w:val="008F7811"/>
    <w:rsid w:val="008F7F0E"/>
    <w:rsid w:val="009004A3"/>
    <w:rsid w:val="0090052A"/>
    <w:rsid w:val="00900FC7"/>
    <w:rsid w:val="00901263"/>
    <w:rsid w:val="0090159D"/>
    <w:rsid w:val="009015B6"/>
    <w:rsid w:val="009019EF"/>
    <w:rsid w:val="00901CA1"/>
    <w:rsid w:val="00901CB5"/>
    <w:rsid w:val="00902054"/>
    <w:rsid w:val="00902512"/>
    <w:rsid w:val="00902CDA"/>
    <w:rsid w:val="00902EB8"/>
    <w:rsid w:val="0090314D"/>
    <w:rsid w:val="009037C5"/>
    <w:rsid w:val="009037E6"/>
    <w:rsid w:val="00903875"/>
    <w:rsid w:val="00903902"/>
    <w:rsid w:val="00903F6E"/>
    <w:rsid w:val="009042CF"/>
    <w:rsid w:val="00904947"/>
    <w:rsid w:val="00904BE6"/>
    <w:rsid w:val="009051A8"/>
    <w:rsid w:val="00905F46"/>
    <w:rsid w:val="009060D7"/>
    <w:rsid w:val="0090648F"/>
    <w:rsid w:val="0090696A"/>
    <w:rsid w:val="00907491"/>
    <w:rsid w:val="00907572"/>
    <w:rsid w:val="009075C3"/>
    <w:rsid w:val="009079C2"/>
    <w:rsid w:val="00910792"/>
    <w:rsid w:val="00910852"/>
    <w:rsid w:val="00910D2A"/>
    <w:rsid w:val="0091117B"/>
    <w:rsid w:val="00911182"/>
    <w:rsid w:val="00911358"/>
    <w:rsid w:val="0091198F"/>
    <w:rsid w:val="00911C27"/>
    <w:rsid w:val="00911DB4"/>
    <w:rsid w:val="009120C4"/>
    <w:rsid w:val="00912530"/>
    <w:rsid w:val="00912545"/>
    <w:rsid w:val="009125DB"/>
    <w:rsid w:val="0091377B"/>
    <w:rsid w:val="00914941"/>
    <w:rsid w:val="00915543"/>
    <w:rsid w:val="00915613"/>
    <w:rsid w:val="00915680"/>
    <w:rsid w:val="00915898"/>
    <w:rsid w:val="009159C8"/>
    <w:rsid w:val="00915A7A"/>
    <w:rsid w:val="00915E45"/>
    <w:rsid w:val="00916328"/>
    <w:rsid w:val="00916D1A"/>
    <w:rsid w:val="00916F34"/>
    <w:rsid w:val="00916F75"/>
    <w:rsid w:val="00917049"/>
    <w:rsid w:val="0091708F"/>
    <w:rsid w:val="009172A9"/>
    <w:rsid w:val="0091777B"/>
    <w:rsid w:val="0091780C"/>
    <w:rsid w:val="00917BC1"/>
    <w:rsid w:val="00917C74"/>
    <w:rsid w:val="009202DC"/>
    <w:rsid w:val="0092039F"/>
    <w:rsid w:val="009204B6"/>
    <w:rsid w:val="00920C9C"/>
    <w:rsid w:val="0092128E"/>
    <w:rsid w:val="009215C5"/>
    <w:rsid w:val="0092189F"/>
    <w:rsid w:val="00922996"/>
    <w:rsid w:val="00922A95"/>
    <w:rsid w:val="00922CD2"/>
    <w:rsid w:val="0092342C"/>
    <w:rsid w:val="00923442"/>
    <w:rsid w:val="00923866"/>
    <w:rsid w:val="009238AF"/>
    <w:rsid w:val="0092393E"/>
    <w:rsid w:val="00923A46"/>
    <w:rsid w:val="00923B98"/>
    <w:rsid w:val="00923BF2"/>
    <w:rsid w:val="0092459D"/>
    <w:rsid w:val="0092465B"/>
    <w:rsid w:val="00924C1A"/>
    <w:rsid w:val="00925879"/>
    <w:rsid w:val="00925F55"/>
    <w:rsid w:val="009261EA"/>
    <w:rsid w:val="00926767"/>
    <w:rsid w:val="00926954"/>
    <w:rsid w:val="0092696D"/>
    <w:rsid w:val="00926D04"/>
    <w:rsid w:val="00926FD4"/>
    <w:rsid w:val="009272B3"/>
    <w:rsid w:val="00927582"/>
    <w:rsid w:val="009278C2"/>
    <w:rsid w:val="009279A9"/>
    <w:rsid w:val="00927B8E"/>
    <w:rsid w:val="009302EA"/>
    <w:rsid w:val="00930379"/>
    <w:rsid w:val="009309E4"/>
    <w:rsid w:val="00931152"/>
    <w:rsid w:val="00931230"/>
    <w:rsid w:val="009321C7"/>
    <w:rsid w:val="00932521"/>
    <w:rsid w:val="009325C9"/>
    <w:rsid w:val="00932A06"/>
    <w:rsid w:val="00932B1E"/>
    <w:rsid w:val="00932E97"/>
    <w:rsid w:val="009338D7"/>
    <w:rsid w:val="00933C0B"/>
    <w:rsid w:val="009342A3"/>
    <w:rsid w:val="00934366"/>
    <w:rsid w:val="00934F68"/>
    <w:rsid w:val="009359BB"/>
    <w:rsid w:val="00935C2A"/>
    <w:rsid w:val="00935DE9"/>
    <w:rsid w:val="00936CB3"/>
    <w:rsid w:val="00936D8D"/>
    <w:rsid w:val="00937DC5"/>
    <w:rsid w:val="00937F0F"/>
    <w:rsid w:val="009406DF"/>
    <w:rsid w:val="00941A71"/>
    <w:rsid w:val="00941D19"/>
    <w:rsid w:val="00942998"/>
    <w:rsid w:val="00942D3D"/>
    <w:rsid w:val="00943352"/>
    <w:rsid w:val="0094336C"/>
    <w:rsid w:val="00943F16"/>
    <w:rsid w:val="00944055"/>
    <w:rsid w:val="009440C8"/>
    <w:rsid w:val="009444F1"/>
    <w:rsid w:val="00944684"/>
    <w:rsid w:val="009447EB"/>
    <w:rsid w:val="00945115"/>
    <w:rsid w:val="00945120"/>
    <w:rsid w:val="009452F0"/>
    <w:rsid w:val="00945326"/>
    <w:rsid w:val="00945543"/>
    <w:rsid w:val="00946138"/>
    <w:rsid w:val="00946175"/>
    <w:rsid w:val="009465A0"/>
    <w:rsid w:val="009466FD"/>
    <w:rsid w:val="009468CD"/>
    <w:rsid w:val="00947321"/>
    <w:rsid w:val="00947A2A"/>
    <w:rsid w:val="00947A88"/>
    <w:rsid w:val="0095093F"/>
    <w:rsid w:val="00950BC6"/>
    <w:rsid w:val="00950C32"/>
    <w:rsid w:val="00950C68"/>
    <w:rsid w:val="0095149B"/>
    <w:rsid w:val="00951728"/>
    <w:rsid w:val="0095211F"/>
    <w:rsid w:val="00952273"/>
    <w:rsid w:val="0095298B"/>
    <w:rsid w:val="00952D70"/>
    <w:rsid w:val="00953016"/>
    <w:rsid w:val="009532D8"/>
    <w:rsid w:val="00953F4B"/>
    <w:rsid w:val="00953FC2"/>
    <w:rsid w:val="00954230"/>
    <w:rsid w:val="00954EB1"/>
    <w:rsid w:val="00955404"/>
    <w:rsid w:val="0095575B"/>
    <w:rsid w:val="00955D3F"/>
    <w:rsid w:val="0095627D"/>
    <w:rsid w:val="00956347"/>
    <w:rsid w:val="00956480"/>
    <w:rsid w:val="0095690B"/>
    <w:rsid w:val="00956B1C"/>
    <w:rsid w:val="00956C39"/>
    <w:rsid w:val="00956D20"/>
    <w:rsid w:val="00957570"/>
    <w:rsid w:val="009579EB"/>
    <w:rsid w:val="00957A86"/>
    <w:rsid w:val="00957BC0"/>
    <w:rsid w:val="00960117"/>
    <w:rsid w:val="0096025E"/>
    <w:rsid w:val="009605E2"/>
    <w:rsid w:val="00960746"/>
    <w:rsid w:val="00960865"/>
    <w:rsid w:val="0096098C"/>
    <w:rsid w:val="00961C47"/>
    <w:rsid w:val="00962053"/>
    <w:rsid w:val="00962F6A"/>
    <w:rsid w:val="0096310D"/>
    <w:rsid w:val="00963FC2"/>
    <w:rsid w:val="00964A08"/>
    <w:rsid w:val="00964C4B"/>
    <w:rsid w:val="009656FC"/>
    <w:rsid w:val="00965EE5"/>
    <w:rsid w:val="009662C2"/>
    <w:rsid w:val="009664CF"/>
    <w:rsid w:val="0096661E"/>
    <w:rsid w:val="0096689D"/>
    <w:rsid w:val="009669C3"/>
    <w:rsid w:val="009669C8"/>
    <w:rsid w:val="00966F90"/>
    <w:rsid w:val="00967281"/>
    <w:rsid w:val="009674EE"/>
    <w:rsid w:val="00970D50"/>
    <w:rsid w:val="00970DF2"/>
    <w:rsid w:val="00971235"/>
    <w:rsid w:val="00971F6D"/>
    <w:rsid w:val="00971FC4"/>
    <w:rsid w:val="0097264B"/>
    <w:rsid w:val="00972E22"/>
    <w:rsid w:val="00973073"/>
    <w:rsid w:val="00973265"/>
    <w:rsid w:val="00973276"/>
    <w:rsid w:val="009736EB"/>
    <w:rsid w:val="00973715"/>
    <w:rsid w:val="0097391F"/>
    <w:rsid w:val="00973B15"/>
    <w:rsid w:val="00974449"/>
    <w:rsid w:val="009744F1"/>
    <w:rsid w:val="00974559"/>
    <w:rsid w:val="00975105"/>
    <w:rsid w:val="009757ED"/>
    <w:rsid w:val="00975A03"/>
    <w:rsid w:val="00975EEA"/>
    <w:rsid w:val="00976368"/>
    <w:rsid w:val="009773A3"/>
    <w:rsid w:val="00977CE4"/>
    <w:rsid w:val="009801ED"/>
    <w:rsid w:val="00980342"/>
    <w:rsid w:val="009803B1"/>
    <w:rsid w:val="00980ECD"/>
    <w:rsid w:val="00981592"/>
    <w:rsid w:val="00981B5F"/>
    <w:rsid w:val="0098200B"/>
    <w:rsid w:val="009823A5"/>
    <w:rsid w:val="0098337F"/>
    <w:rsid w:val="0098372F"/>
    <w:rsid w:val="00983B79"/>
    <w:rsid w:val="00984030"/>
    <w:rsid w:val="009842D0"/>
    <w:rsid w:val="00984776"/>
    <w:rsid w:val="00985113"/>
    <w:rsid w:val="009852CE"/>
    <w:rsid w:val="009857EA"/>
    <w:rsid w:val="0098581A"/>
    <w:rsid w:val="00985A3B"/>
    <w:rsid w:val="00986626"/>
    <w:rsid w:val="00986743"/>
    <w:rsid w:val="009875D5"/>
    <w:rsid w:val="00990156"/>
    <w:rsid w:val="00990160"/>
    <w:rsid w:val="009907C1"/>
    <w:rsid w:val="0099081C"/>
    <w:rsid w:val="00991C6B"/>
    <w:rsid w:val="00991C9A"/>
    <w:rsid w:val="00992683"/>
    <w:rsid w:val="00992EDE"/>
    <w:rsid w:val="00993DB4"/>
    <w:rsid w:val="0099435F"/>
    <w:rsid w:val="009946BE"/>
    <w:rsid w:val="00994CA8"/>
    <w:rsid w:val="00994ECF"/>
    <w:rsid w:val="00994F14"/>
    <w:rsid w:val="00995239"/>
    <w:rsid w:val="00995501"/>
    <w:rsid w:val="00995CBA"/>
    <w:rsid w:val="00995FDA"/>
    <w:rsid w:val="00996275"/>
    <w:rsid w:val="00996753"/>
    <w:rsid w:val="00996780"/>
    <w:rsid w:val="00996D2E"/>
    <w:rsid w:val="00996F7E"/>
    <w:rsid w:val="00997777"/>
    <w:rsid w:val="00997BBA"/>
    <w:rsid w:val="00997EB6"/>
    <w:rsid w:val="00997FA6"/>
    <w:rsid w:val="009A0F8A"/>
    <w:rsid w:val="009A1462"/>
    <w:rsid w:val="009A1CC8"/>
    <w:rsid w:val="009A2513"/>
    <w:rsid w:val="009A328A"/>
    <w:rsid w:val="009A3491"/>
    <w:rsid w:val="009A36A3"/>
    <w:rsid w:val="009A3DED"/>
    <w:rsid w:val="009A40B9"/>
    <w:rsid w:val="009A450C"/>
    <w:rsid w:val="009A4C9A"/>
    <w:rsid w:val="009A501D"/>
    <w:rsid w:val="009A511D"/>
    <w:rsid w:val="009A513C"/>
    <w:rsid w:val="009A67DC"/>
    <w:rsid w:val="009A742F"/>
    <w:rsid w:val="009A74A4"/>
    <w:rsid w:val="009A74C8"/>
    <w:rsid w:val="009A7849"/>
    <w:rsid w:val="009A7AB2"/>
    <w:rsid w:val="009A7B81"/>
    <w:rsid w:val="009A7C3B"/>
    <w:rsid w:val="009B06CF"/>
    <w:rsid w:val="009B1984"/>
    <w:rsid w:val="009B1F4A"/>
    <w:rsid w:val="009B217A"/>
    <w:rsid w:val="009B21D6"/>
    <w:rsid w:val="009B250B"/>
    <w:rsid w:val="009B27BB"/>
    <w:rsid w:val="009B2859"/>
    <w:rsid w:val="009B315A"/>
    <w:rsid w:val="009B353C"/>
    <w:rsid w:val="009B3920"/>
    <w:rsid w:val="009B3A15"/>
    <w:rsid w:val="009B3A86"/>
    <w:rsid w:val="009B41DF"/>
    <w:rsid w:val="009B4328"/>
    <w:rsid w:val="009B4730"/>
    <w:rsid w:val="009B506A"/>
    <w:rsid w:val="009B50D6"/>
    <w:rsid w:val="009B5180"/>
    <w:rsid w:val="009B520A"/>
    <w:rsid w:val="009B5767"/>
    <w:rsid w:val="009B594F"/>
    <w:rsid w:val="009B59F3"/>
    <w:rsid w:val="009B6A06"/>
    <w:rsid w:val="009B6A77"/>
    <w:rsid w:val="009B6E22"/>
    <w:rsid w:val="009C0051"/>
    <w:rsid w:val="009C040E"/>
    <w:rsid w:val="009C0AF8"/>
    <w:rsid w:val="009C0B2B"/>
    <w:rsid w:val="009C1A65"/>
    <w:rsid w:val="009C1EED"/>
    <w:rsid w:val="009C2139"/>
    <w:rsid w:val="009C21AD"/>
    <w:rsid w:val="009C2569"/>
    <w:rsid w:val="009C266C"/>
    <w:rsid w:val="009C2DCB"/>
    <w:rsid w:val="009C2F50"/>
    <w:rsid w:val="009C30F0"/>
    <w:rsid w:val="009C42EA"/>
    <w:rsid w:val="009C48B2"/>
    <w:rsid w:val="009C4A37"/>
    <w:rsid w:val="009C5202"/>
    <w:rsid w:val="009C5280"/>
    <w:rsid w:val="009C59D1"/>
    <w:rsid w:val="009C5BF5"/>
    <w:rsid w:val="009C640F"/>
    <w:rsid w:val="009C652C"/>
    <w:rsid w:val="009C6B5E"/>
    <w:rsid w:val="009C6E6D"/>
    <w:rsid w:val="009C7200"/>
    <w:rsid w:val="009C7433"/>
    <w:rsid w:val="009C7A27"/>
    <w:rsid w:val="009C7DBB"/>
    <w:rsid w:val="009D0161"/>
    <w:rsid w:val="009D02D7"/>
    <w:rsid w:val="009D0374"/>
    <w:rsid w:val="009D0AAE"/>
    <w:rsid w:val="009D1104"/>
    <w:rsid w:val="009D18B7"/>
    <w:rsid w:val="009D1B97"/>
    <w:rsid w:val="009D1E2B"/>
    <w:rsid w:val="009D203B"/>
    <w:rsid w:val="009D2615"/>
    <w:rsid w:val="009D2C13"/>
    <w:rsid w:val="009D2D2A"/>
    <w:rsid w:val="009D303E"/>
    <w:rsid w:val="009D3804"/>
    <w:rsid w:val="009D3821"/>
    <w:rsid w:val="009D3A48"/>
    <w:rsid w:val="009D3D05"/>
    <w:rsid w:val="009D4614"/>
    <w:rsid w:val="009D4B33"/>
    <w:rsid w:val="009D4C09"/>
    <w:rsid w:val="009D4D3B"/>
    <w:rsid w:val="009D4F0F"/>
    <w:rsid w:val="009D4F27"/>
    <w:rsid w:val="009D5165"/>
    <w:rsid w:val="009D557E"/>
    <w:rsid w:val="009D604A"/>
    <w:rsid w:val="009D60AF"/>
    <w:rsid w:val="009D62A2"/>
    <w:rsid w:val="009D642F"/>
    <w:rsid w:val="009D649B"/>
    <w:rsid w:val="009D67D3"/>
    <w:rsid w:val="009D71FF"/>
    <w:rsid w:val="009D7511"/>
    <w:rsid w:val="009D7886"/>
    <w:rsid w:val="009D7AAA"/>
    <w:rsid w:val="009E14FE"/>
    <w:rsid w:val="009E1F0D"/>
    <w:rsid w:val="009E26E3"/>
    <w:rsid w:val="009E2A0C"/>
    <w:rsid w:val="009E2CC9"/>
    <w:rsid w:val="009E344A"/>
    <w:rsid w:val="009E39AC"/>
    <w:rsid w:val="009E3DA4"/>
    <w:rsid w:val="009E41C0"/>
    <w:rsid w:val="009E44A7"/>
    <w:rsid w:val="009E4887"/>
    <w:rsid w:val="009E5258"/>
    <w:rsid w:val="009E578F"/>
    <w:rsid w:val="009E59F3"/>
    <w:rsid w:val="009E5AA4"/>
    <w:rsid w:val="009E5FB8"/>
    <w:rsid w:val="009E632C"/>
    <w:rsid w:val="009E638E"/>
    <w:rsid w:val="009E6532"/>
    <w:rsid w:val="009E6764"/>
    <w:rsid w:val="009E683E"/>
    <w:rsid w:val="009E7290"/>
    <w:rsid w:val="009E7761"/>
    <w:rsid w:val="009E79D5"/>
    <w:rsid w:val="009E7BF2"/>
    <w:rsid w:val="009F092B"/>
    <w:rsid w:val="009F1316"/>
    <w:rsid w:val="009F1D21"/>
    <w:rsid w:val="009F205D"/>
    <w:rsid w:val="009F2070"/>
    <w:rsid w:val="009F2266"/>
    <w:rsid w:val="009F26EA"/>
    <w:rsid w:val="009F2A85"/>
    <w:rsid w:val="009F2CED"/>
    <w:rsid w:val="009F3663"/>
    <w:rsid w:val="009F39B3"/>
    <w:rsid w:val="009F3A9C"/>
    <w:rsid w:val="009F3AB1"/>
    <w:rsid w:val="009F3C78"/>
    <w:rsid w:val="009F3DA8"/>
    <w:rsid w:val="009F3EBF"/>
    <w:rsid w:val="009F434A"/>
    <w:rsid w:val="009F4647"/>
    <w:rsid w:val="009F4CB3"/>
    <w:rsid w:val="009F52A3"/>
    <w:rsid w:val="009F5644"/>
    <w:rsid w:val="009F6519"/>
    <w:rsid w:val="009F6829"/>
    <w:rsid w:val="009F6EE5"/>
    <w:rsid w:val="009F7F0A"/>
    <w:rsid w:val="00A00294"/>
    <w:rsid w:val="00A0058F"/>
    <w:rsid w:val="00A012C8"/>
    <w:rsid w:val="00A016FE"/>
    <w:rsid w:val="00A01930"/>
    <w:rsid w:val="00A01C69"/>
    <w:rsid w:val="00A01D9A"/>
    <w:rsid w:val="00A0251F"/>
    <w:rsid w:val="00A02EC7"/>
    <w:rsid w:val="00A03119"/>
    <w:rsid w:val="00A03BDF"/>
    <w:rsid w:val="00A04113"/>
    <w:rsid w:val="00A044A1"/>
    <w:rsid w:val="00A048DF"/>
    <w:rsid w:val="00A048FB"/>
    <w:rsid w:val="00A05240"/>
    <w:rsid w:val="00A055AA"/>
    <w:rsid w:val="00A05744"/>
    <w:rsid w:val="00A05C19"/>
    <w:rsid w:val="00A05DCB"/>
    <w:rsid w:val="00A05E78"/>
    <w:rsid w:val="00A0602E"/>
    <w:rsid w:val="00A0673D"/>
    <w:rsid w:val="00A0695B"/>
    <w:rsid w:val="00A06D8C"/>
    <w:rsid w:val="00A06DBC"/>
    <w:rsid w:val="00A06F08"/>
    <w:rsid w:val="00A072B8"/>
    <w:rsid w:val="00A07531"/>
    <w:rsid w:val="00A0773E"/>
    <w:rsid w:val="00A0779E"/>
    <w:rsid w:val="00A07867"/>
    <w:rsid w:val="00A07A12"/>
    <w:rsid w:val="00A07E33"/>
    <w:rsid w:val="00A10278"/>
    <w:rsid w:val="00A10457"/>
    <w:rsid w:val="00A11978"/>
    <w:rsid w:val="00A12357"/>
    <w:rsid w:val="00A128D6"/>
    <w:rsid w:val="00A12A1D"/>
    <w:rsid w:val="00A13107"/>
    <w:rsid w:val="00A13330"/>
    <w:rsid w:val="00A1366A"/>
    <w:rsid w:val="00A1445B"/>
    <w:rsid w:val="00A144BD"/>
    <w:rsid w:val="00A14ED0"/>
    <w:rsid w:val="00A15292"/>
    <w:rsid w:val="00A1687D"/>
    <w:rsid w:val="00A16965"/>
    <w:rsid w:val="00A16E4B"/>
    <w:rsid w:val="00A16EF8"/>
    <w:rsid w:val="00A17147"/>
    <w:rsid w:val="00A17781"/>
    <w:rsid w:val="00A1780B"/>
    <w:rsid w:val="00A2008D"/>
    <w:rsid w:val="00A21A5A"/>
    <w:rsid w:val="00A21BCC"/>
    <w:rsid w:val="00A22204"/>
    <w:rsid w:val="00A2222A"/>
    <w:rsid w:val="00A233CF"/>
    <w:rsid w:val="00A234D4"/>
    <w:rsid w:val="00A238BE"/>
    <w:rsid w:val="00A23F42"/>
    <w:rsid w:val="00A243E8"/>
    <w:rsid w:val="00A24966"/>
    <w:rsid w:val="00A249F4"/>
    <w:rsid w:val="00A24B10"/>
    <w:rsid w:val="00A25994"/>
    <w:rsid w:val="00A25CC7"/>
    <w:rsid w:val="00A26492"/>
    <w:rsid w:val="00A265DA"/>
    <w:rsid w:val="00A273D4"/>
    <w:rsid w:val="00A2740B"/>
    <w:rsid w:val="00A276D6"/>
    <w:rsid w:val="00A278A2"/>
    <w:rsid w:val="00A3097F"/>
    <w:rsid w:val="00A311BB"/>
    <w:rsid w:val="00A31391"/>
    <w:rsid w:val="00A31F5A"/>
    <w:rsid w:val="00A32604"/>
    <w:rsid w:val="00A32765"/>
    <w:rsid w:val="00A32E9B"/>
    <w:rsid w:val="00A33285"/>
    <w:rsid w:val="00A33359"/>
    <w:rsid w:val="00A339A6"/>
    <w:rsid w:val="00A33C74"/>
    <w:rsid w:val="00A33DE8"/>
    <w:rsid w:val="00A34FB3"/>
    <w:rsid w:val="00A35915"/>
    <w:rsid w:val="00A35A89"/>
    <w:rsid w:val="00A35B74"/>
    <w:rsid w:val="00A3646E"/>
    <w:rsid w:val="00A36E05"/>
    <w:rsid w:val="00A3705B"/>
    <w:rsid w:val="00A375A9"/>
    <w:rsid w:val="00A376BC"/>
    <w:rsid w:val="00A37CBF"/>
    <w:rsid w:val="00A37FC1"/>
    <w:rsid w:val="00A40267"/>
    <w:rsid w:val="00A4048A"/>
    <w:rsid w:val="00A4048E"/>
    <w:rsid w:val="00A40831"/>
    <w:rsid w:val="00A40AA6"/>
    <w:rsid w:val="00A4174C"/>
    <w:rsid w:val="00A41D40"/>
    <w:rsid w:val="00A4204B"/>
    <w:rsid w:val="00A42137"/>
    <w:rsid w:val="00A42298"/>
    <w:rsid w:val="00A42354"/>
    <w:rsid w:val="00A42C26"/>
    <w:rsid w:val="00A441F8"/>
    <w:rsid w:val="00A4465F"/>
    <w:rsid w:val="00A44C6D"/>
    <w:rsid w:val="00A44E58"/>
    <w:rsid w:val="00A455C6"/>
    <w:rsid w:val="00A45CB2"/>
    <w:rsid w:val="00A45DE3"/>
    <w:rsid w:val="00A46322"/>
    <w:rsid w:val="00A46800"/>
    <w:rsid w:val="00A46887"/>
    <w:rsid w:val="00A46A67"/>
    <w:rsid w:val="00A46EED"/>
    <w:rsid w:val="00A46F1C"/>
    <w:rsid w:val="00A471C8"/>
    <w:rsid w:val="00A47C5F"/>
    <w:rsid w:val="00A47C8A"/>
    <w:rsid w:val="00A50697"/>
    <w:rsid w:val="00A50DB9"/>
    <w:rsid w:val="00A5145A"/>
    <w:rsid w:val="00A514D5"/>
    <w:rsid w:val="00A517AD"/>
    <w:rsid w:val="00A51E0F"/>
    <w:rsid w:val="00A52051"/>
    <w:rsid w:val="00A52108"/>
    <w:rsid w:val="00A5229D"/>
    <w:rsid w:val="00A5265F"/>
    <w:rsid w:val="00A52D92"/>
    <w:rsid w:val="00A52E41"/>
    <w:rsid w:val="00A53219"/>
    <w:rsid w:val="00A534C3"/>
    <w:rsid w:val="00A54259"/>
    <w:rsid w:val="00A543A8"/>
    <w:rsid w:val="00A54F16"/>
    <w:rsid w:val="00A54FB6"/>
    <w:rsid w:val="00A5540E"/>
    <w:rsid w:val="00A55875"/>
    <w:rsid w:val="00A55A90"/>
    <w:rsid w:val="00A55C9D"/>
    <w:rsid w:val="00A5623A"/>
    <w:rsid w:val="00A56392"/>
    <w:rsid w:val="00A56447"/>
    <w:rsid w:val="00A567E6"/>
    <w:rsid w:val="00A568BE"/>
    <w:rsid w:val="00A56FDE"/>
    <w:rsid w:val="00A5748E"/>
    <w:rsid w:val="00A57720"/>
    <w:rsid w:val="00A5775E"/>
    <w:rsid w:val="00A57A0B"/>
    <w:rsid w:val="00A57DE7"/>
    <w:rsid w:val="00A6015F"/>
    <w:rsid w:val="00A6076B"/>
    <w:rsid w:val="00A609A9"/>
    <w:rsid w:val="00A62290"/>
    <w:rsid w:val="00A62565"/>
    <w:rsid w:val="00A625C7"/>
    <w:rsid w:val="00A62A6B"/>
    <w:rsid w:val="00A63873"/>
    <w:rsid w:val="00A63ABC"/>
    <w:rsid w:val="00A64AA8"/>
    <w:rsid w:val="00A64D97"/>
    <w:rsid w:val="00A65B2D"/>
    <w:rsid w:val="00A6617B"/>
    <w:rsid w:val="00A66192"/>
    <w:rsid w:val="00A665B1"/>
    <w:rsid w:val="00A66D41"/>
    <w:rsid w:val="00A66DF6"/>
    <w:rsid w:val="00A67223"/>
    <w:rsid w:val="00A67EA9"/>
    <w:rsid w:val="00A701C8"/>
    <w:rsid w:val="00A7028E"/>
    <w:rsid w:val="00A71953"/>
    <w:rsid w:val="00A71A3D"/>
    <w:rsid w:val="00A72159"/>
    <w:rsid w:val="00A722D3"/>
    <w:rsid w:val="00A724B2"/>
    <w:rsid w:val="00A72C60"/>
    <w:rsid w:val="00A730CC"/>
    <w:rsid w:val="00A7318F"/>
    <w:rsid w:val="00A73324"/>
    <w:rsid w:val="00A73503"/>
    <w:rsid w:val="00A73684"/>
    <w:rsid w:val="00A73FC4"/>
    <w:rsid w:val="00A7465B"/>
    <w:rsid w:val="00A7490C"/>
    <w:rsid w:val="00A749EE"/>
    <w:rsid w:val="00A75691"/>
    <w:rsid w:val="00A758BD"/>
    <w:rsid w:val="00A7622E"/>
    <w:rsid w:val="00A76A94"/>
    <w:rsid w:val="00A76D4A"/>
    <w:rsid w:val="00A76DEF"/>
    <w:rsid w:val="00A7763B"/>
    <w:rsid w:val="00A77AE4"/>
    <w:rsid w:val="00A77C70"/>
    <w:rsid w:val="00A77C80"/>
    <w:rsid w:val="00A805D4"/>
    <w:rsid w:val="00A81A0C"/>
    <w:rsid w:val="00A81A80"/>
    <w:rsid w:val="00A81ED6"/>
    <w:rsid w:val="00A82622"/>
    <w:rsid w:val="00A82C9C"/>
    <w:rsid w:val="00A832BF"/>
    <w:rsid w:val="00A84163"/>
    <w:rsid w:val="00A848E4"/>
    <w:rsid w:val="00A84FAB"/>
    <w:rsid w:val="00A8508C"/>
    <w:rsid w:val="00A858DC"/>
    <w:rsid w:val="00A86182"/>
    <w:rsid w:val="00A86C37"/>
    <w:rsid w:val="00A86ED7"/>
    <w:rsid w:val="00A873B2"/>
    <w:rsid w:val="00A903C6"/>
    <w:rsid w:val="00A905C4"/>
    <w:rsid w:val="00A90D2D"/>
    <w:rsid w:val="00A90D3E"/>
    <w:rsid w:val="00A91511"/>
    <w:rsid w:val="00A91565"/>
    <w:rsid w:val="00A917E6"/>
    <w:rsid w:val="00A91A0F"/>
    <w:rsid w:val="00A91BD6"/>
    <w:rsid w:val="00A92B2C"/>
    <w:rsid w:val="00A93BAC"/>
    <w:rsid w:val="00A93C48"/>
    <w:rsid w:val="00A946A5"/>
    <w:rsid w:val="00A94D86"/>
    <w:rsid w:val="00A950AC"/>
    <w:rsid w:val="00A9561B"/>
    <w:rsid w:val="00A95795"/>
    <w:rsid w:val="00A95C89"/>
    <w:rsid w:val="00A96635"/>
    <w:rsid w:val="00A968B5"/>
    <w:rsid w:val="00A969CC"/>
    <w:rsid w:val="00A96A8A"/>
    <w:rsid w:val="00A96EB1"/>
    <w:rsid w:val="00A971C3"/>
    <w:rsid w:val="00AA00C1"/>
    <w:rsid w:val="00AA0498"/>
    <w:rsid w:val="00AA1234"/>
    <w:rsid w:val="00AA150C"/>
    <w:rsid w:val="00AA189C"/>
    <w:rsid w:val="00AA1E60"/>
    <w:rsid w:val="00AA237D"/>
    <w:rsid w:val="00AA2600"/>
    <w:rsid w:val="00AA2F3D"/>
    <w:rsid w:val="00AA311A"/>
    <w:rsid w:val="00AA3CDD"/>
    <w:rsid w:val="00AA3FEC"/>
    <w:rsid w:val="00AA425A"/>
    <w:rsid w:val="00AA439E"/>
    <w:rsid w:val="00AA43B5"/>
    <w:rsid w:val="00AA4501"/>
    <w:rsid w:val="00AA45EE"/>
    <w:rsid w:val="00AA4A8C"/>
    <w:rsid w:val="00AA4D1B"/>
    <w:rsid w:val="00AA5085"/>
    <w:rsid w:val="00AA61E3"/>
    <w:rsid w:val="00AA6485"/>
    <w:rsid w:val="00AA66EA"/>
    <w:rsid w:val="00AA6E8D"/>
    <w:rsid w:val="00AA72CF"/>
    <w:rsid w:val="00AA7655"/>
    <w:rsid w:val="00AA7E32"/>
    <w:rsid w:val="00AB085E"/>
    <w:rsid w:val="00AB0942"/>
    <w:rsid w:val="00AB0F93"/>
    <w:rsid w:val="00AB279D"/>
    <w:rsid w:val="00AB2EDA"/>
    <w:rsid w:val="00AB369F"/>
    <w:rsid w:val="00AB39FA"/>
    <w:rsid w:val="00AB3D9B"/>
    <w:rsid w:val="00AB3E7C"/>
    <w:rsid w:val="00AB4599"/>
    <w:rsid w:val="00AB4853"/>
    <w:rsid w:val="00AB486E"/>
    <w:rsid w:val="00AB4EF2"/>
    <w:rsid w:val="00AB523E"/>
    <w:rsid w:val="00AB5507"/>
    <w:rsid w:val="00AB5FDF"/>
    <w:rsid w:val="00AB6C79"/>
    <w:rsid w:val="00AB7343"/>
    <w:rsid w:val="00AB7828"/>
    <w:rsid w:val="00AB7D5A"/>
    <w:rsid w:val="00AB7D97"/>
    <w:rsid w:val="00AC00B6"/>
    <w:rsid w:val="00AC01F3"/>
    <w:rsid w:val="00AC0341"/>
    <w:rsid w:val="00AC0934"/>
    <w:rsid w:val="00AC0951"/>
    <w:rsid w:val="00AC0AF1"/>
    <w:rsid w:val="00AC0E1E"/>
    <w:rsid w:val="00AC2896"/>
    <w:rsid w:val="00AC2D71"/>
    <w:rsid w:val="00AC3CF7"/>
    <w:rsid w:val="00AC3CFA"/>
    <w:rsid w:val="00AC526F"/>
    <w:rsid w:val="00AC5476"/>
    <w:rsid w:val="00AC6021"/>
    <w:rsid w:val="00AC6735"/>
    <w:rsid w:val="00AC6962"/>
    <w:rsid w:val="00AC7072"/>
    <w:rsid w:val="00AC7329"/>
    <w:rsid w:val="00AC73D0"/>
    <w:rsid w:val="00AC742E"/>
    <w:rsid w:val="00AC7798"/>
    <w:rsid w:val="00AC7860"/>
    <w:rsid w:val="00AC7B29"/>
    <w:rsid w:val="00AD0AF7"/>
    <w:rsid w:val="00AD0DCD"/>
    <w:rsid w:val="00AD151D"/>
    <w:rsid w:val="00AD2A88"/>
    <w:rsid w:val="00AD2D5B"/>
    <w:rsid w:val="00AD3078"/>
    <w:rsid w:val="00AD3DC4"/>
    <w:rsid w:val="00AD4069"/>
    <w:rsid w:val="00AD4109"/>
    <w:rsid w:val="00AD4EFD"/>
    <w:rsid w:val="00AD54FC"/>
    <w:rsid w:val="00AD55C7"/>
    <w:rsid w:val="00AD5B9C"/>
    <w:rsid w:val="00AD5C83"/>
    <w:rsid w:val="00AD5D16"/>
    <w:rsid w:val="00AD670E"/>
    <w:rsid w:val="00AD6C00"/>
    <w:rsid w:val="00AD6D68"/>
    <w:rsid w:val="00AD6E75"/>
    <w:rsid w:val="00AD79DF"/>
    <w:rsid w:val="00AD7A48"/>
    <w:rsid w:val="00AE0105"/>
    <w:rsid w:val="00AE0DF6"/>
    <w:rsid w:val="00AE0EF3"/>
    <w:rsid w:val="00AE1D1A"/>
    <w:rsid w:val="00AE2D83"/>
    <w:rsid w:val="00AE3281"/>
    <w:rsid w:val="00AE3424"/>
    <w:rsid w:val="00AE35AF"/>
    <w:rsid w:val="00AE3628"/>
    <w:rsid w:val="00AE3ABC"/>
    <w:rsid w:val="00AE4812"/>
    <w:rsid w:val="00AE4B70"/>
    <w:rsid w:val="00AE4EFC"/>
    <w:rsid w:val="00AE4FE5"/>
    <w:rsid w:val="00AE50EB"/>
    <w:rsid w:val="00AE544A"/>
    <w:rsid w:val="00AE59D3"/>
    <w:rsid w:val="00AE5B39"/>
    <w:rsid w:val="00AE5B84"/>
    <w:rsid w:val="00AE5FA2"/>
    <w:rsid w:val="00AE6217"/>
    <w:rsid w:val="00AE645A"/>
    <w:rsid w:val="00AE6ABF"/>
    <w:rsid w:val="00AE6C80"/>
    <w:rsid w:val="00AE7B10"/>
    <w:rsid w:val="00AF0ACE"/>
    <w:rsid w:val="00AF16CE"/>
    <w:rsid w:val="00AF18B8"/>
    <w:rsid w:val="00AF1B67"/>
    <w:rsid w:val="00AF20BF"/>
    <w:rsid w:val="00AF2193"/>
    <w:rsid w:val="00AF2712"/>
    <w:rsid w:val="00AF2DF2"/>
    <w:rsid w:val="00AF2E4A"/>
    <w:rsid w:val="00AF2E7C"/>
    <w:rsid w:val="00AF354E"/>
    <w:rsid w:val="00AF3C1F"/>
    <w:rsid w:val="00AF3D55"/>
    <w:rsid w:val="00AF3E69"/>
    <w:rsid w:val="00AF467C"/>
    <w:rsid w:val="00AF4738"/>
    <w:rsid w:val="00AF492B"/>
    <w:rsid w:val="00AF4BC3"/>
    <w:rsid w:val="00AF5353"/>
    <w:rsid w:val="00AF53BF"/>
    <w:rsid w:val="00AF5EF3"/>
    <w:rsid w:val="00AF62DB"/>
    <w:rsid w:val="00AF62E8"/>
    <w:rsid w:val="00AF65B5"/>
    <w:rsid w:val="00AF6794"/>
    <w:rsid w:val="00AF69E6"/>
    <w:rsid w:val="00AF6AFE"/>
    <w:rsid w:val="00AF738D"/>
    <w:rsid w:val="00AF78D4"/>
    <w:rsid w:val="00AF7912"/>
    <w:rsid w:val="00AF7CE8"/>
    <w:rsid w:val="00B001E0"/>
    <w:rsid w:val="00B001E3"/>
    <w:rsid w:val="00B00251"/>
    <w:rsid w:val="00B006FF"/>
    <w:rsid w:val="00B01325"/>
    <w:rsid w:val="00B014FC"/>
    <w:rsid w:val="00B01E25"/>
    <w:rsid w:val="00B01F7C"/>
    <w:rsid w:val="00B025F6"/>
    <w:rsid w:val="00B02DC2"/>
    <w:rsid w:val="00B030DC"/>
    <w:rsid w:val="00B03D23"/>
    <w:rsid w:val="00B049E4"/>
    <w:rsid w:val="00B055DF"/>
    <w:rsid w:val="00B055E5"/>
    <w:rsid w:val="00B056D1"/>
    <w:rsid w:val="00B05850"/>
    <w:rsid w:val="00B05C11"/>
    <w:rsid w:val="00B061F7"/>
    <w:rsid w:val="00B066C4"/>
    <w:rsid w:val="00B069EF"/>
    <w:rsid w:val="00B06C3B"/>
    <w:rsid w:val="00B06CA8"/>
    <w:rsid w:val="00B0706A"/>
    <w:rsid w:val="00B07847"/>
    <w:rsid w:val="00B10749"/>
    <w:rsid w:val="00B109C5"/>
    <w:rsid w:val="00B11402"/>
    <w:rsid w:val="00B116FD"/>
    <w:rsid w:val="00B11776"/>
    <w:rsid w:val="00B118E8"/>
    <w:rsid w:val="00B11900"/>
    <w:rsid w:val="00B11912"/>
    <w:rsid w:val="00B11A27"/>
    <w:rsid w:val="00B11B5B"/>
    <w:rsid w:val="00B13129"/>
    <w:rsid w:val="00B138B7"/>
    <w:rsid w:val="00B139DF"/>
    <w:rsid w:val="00B143DF"/>
    <w:rsid w:val="00B14599"/>
    <w:rsid w:val="00B148E4"/>
    <w:rsid w:val="00B14F08"/>
    <w:rsid w:val="00B1524F"/>
    <w:rsid w:val="00B15CC3"/>
    <w:rsid w:val="00B1634C"/>
    <w:rsid w:val="00B16417"/>
    <w:rsid w:val="00B1669D"/>
    <w:rsid w:val="00B1698A"/>
    <w:rsid w:val="00B16DB6"/>
    <w:rsid w:val="00B170F3"/>
    <w:rsid w:val="00B20A5A"/>
    <w:rsid w:val="00B211F6"/>
    <w:rsid w:val="00B2180E"/>
    <w:rsid w:val="00B21839"/>
    <w:rsid w:val="00B225FF"/>
    <w:rsid w:val="00B2274C"/>
    <w:rsid w:val="00B22E05"/>
    <w:rsid w:val="00B23365"/>
    <w:rsid w:val="00B241F7"/>
    <w:rsid w:val="00B24236"/>
    <w:rsid w:val="00B2435A"/>
    <w:rsid w:val="00B24633"/>
    <w:rsid w:val="00B25553"/>
    <w:rsid w:val="00B2558A"/>
    <w:rsid w:val="00B25CCE"/>
    <w:rsid w:val="00B266B3"/>
    <w:rsid w:val="00B26CBA"/>
    <w:rsid w:val="00B27580"/>
    <w:rsid w:val="00B276A9"/>
    <w:rsid w:val="00B276B3"/>
    <w:rsid w:val="00B3107F"/>
    <w:rsid w:val="00B312DC"/>
    <w:rsid w:val="00B319D9"/>
    <w:rsid w:val="00B31C4D"/>
    <w:rsid w:val="00B31E25"/>
    <w:rsid w:val="00B31E74"/>
    <w:rsid w:val="00B31F54"/>
    <w:rsid w:val="00B32610"/>
    <w:rsid w:val="00B334F6"/>
    <w:rsid w:val="00B3382F"/>
    <w:rsid w:val="00B33833"/>
    <w:rsid w:val="00B33B34"/>
    <w:rsid w:val="00B33C17"/>
    <w:rsid w:val="00B33CA1"/>
    <w:rsid w:val="00B33E78"/>
    <w:rsid w:val="00B34365"/>
    <w:rsid w:val="00B347DD"/>
    <w:rsid w:val="00B34A1F"/>
    <w:rsid w:val="00B34DD8"/>
    <w:rsid w:val="00B35788"/>
    <w:rsid w:val="00B360B8"/>
    <w:rsid w:val="00B3613F"/>
    <w:rsid w:val="00B362AD"/>
    <w:rsid w:val="00B3659D"/>
    <w:rsid w:val="00B366DC"/>
    <w:rsid w:val="00B366EE"/>
    <w:rsid w:val="00B367B9"/>
    <w:rsid w:val="00B367C0"/>
    <w:rsid w:val="00B36F3C"/>
    <w:rsid w:val="00B3727E"/>
    <w:rsid w:val="00B37403"/>
    <w:rsid w:val="00B37D1F"/>
    <w:rsid w:val="00B37D7E"/>
    <w:rsid w:val="00B403F9"/>
    <w:rsid w:val="00B40527"/>
    <w:rsid w:val="00B41A3E"/>
    <w:rsid w:val="00B41C00"/>
    <w:rsid w:val="00B41FE5"/>
    <w:rsid w:val="00B42098"/>
    <w:rsid w:val="00B4274F"/>
    <w:rsid w:val="00B42C38"/>
    <w:rsid w:val="00B43698"/>
    <w:rsid w:val="00B436ED"/>
    <w:rsid w:val="00B438E1"/>
    <w:rsid w:val="00B43EB5"/>
    <w:rsid w:val="00B4435C"/>
    <w:rsid w:val="00B444F0"/>
    <w:rsid w:val="00B445E3"/>
    <w:rsid w:val="00B44966"/>
    <w:rsid w:val="00B44ABF"/>
    <w:rsid w:val="00B44B7E"/>
    <w:rsid w:val="00B453E6"/>
    <w:rsid w:val="00B4548C"/>
    <w:rsid w:val="00B45D40"/>
    <w:rsid w:val="00B46281"/>
    <w:rsid w:val="00B4641E"/>
    <w:rsid w:val="00B465A7"/>
    <w:rsid w:val="00B46F3F"/>
    <w:rsid w:val="00B47178"/>
    <w:rsid w:val="00B47330"/>
    <w:rsid w:val="00B47C99"/>
    <w:rsid w:val="00B47F27"/>
    <w:rsid w:val="00B50AC4"/>
    <w:rsid w:val="00B51EDD"/>
    <w:rsid w:val="00B5207A"/>
    <w:rsid w:val="00B52145"/>
    <w:rsid w:val="00B523A2"/>
    <w:rsid w:val="00B52611"/>
    <w:rsid w:val="00B52918"/>
    <w:rsid w:val="00B52A03"/>
    <w:rsid w:val="00B54C52"/>
    <w:rsid w:val="00B5545C"/>
    <w:rsid w:val="00B55808"/>
    <w:rsid w:val="00B567E7"/>
    <w:rsid w:val="00B56A81"/>
    <w:rsid w:val="00B56BBF"/>
    <w:rsid w:val="00B570D6"/>
    <w:rsid w:val="00B578A0"/>
    <w:rsid w:val="00B57E99"/>
    <w:rsid w:val="00B6010A"/>
    <w:rsid w:val="00B603E7"/>
    <w:rsid w:val="00B60927"/>
    <w:rsid w:val="00B60A0A"/>
    <w:rsid w:val="00B618EA"/>
    <w:rsid w:val="00B61FC2"/>
    <w:rsid w:val="00B623CA"/>
    <w:rsid w:val="00B628D9"/>
    <w:rsid w:val="00B6291B"/>
    <w:rsid w:val="00B62FF0"/>
    <w:rsid w:val="00B636D6"/>
    <w:rsid w:val="00B63925"/>
    <w:rsid w:val="00B63B04"/>
    <w:rsid w:val="00B63D48"/>
    <w:rsid w:val="00B63FBA"/>
    <w:rsid w:val="00B6404A"/>
    <w:rsid w:val="00B641D2"/>
    <w:rsid w:val="00B64283"/>
    <w:rsid w:val="00B646F9"/>
    <w:rsid w:val="00B64952"/>
    <w:rsid w:val="00B64AA1"/>
    <w:rsid w:val="00B64BCC"/>
    <w:rsid w:val="00B64C01"/>
    <w:rsid w:val="00B65AF5"/>
    <w:rsid w:val="00B65BBD"/>
    <w:rsid w:val="00B65F92"/>
    <w:rsid w:val="00B66988"/>
    <w:rsid w:val="00B66DC2"/>
    <w:rsid w:val="00B67FE6"/>
    <w:rsid w:val="00B70168"/>
    <w:rsid w:val="00B71494"/>
    <w:rsid w:val="00B71C3B"/>
    <w:rsid w:val="00B71D9F"/>
    <w:rsid w:val="00B71E8D"/>
    <w:rsid w:val="00B72027"/>
    <w:rsid w:val="00B72453"/>
    <w:rsid w:val="00B726A1"/>
    <w:rsid w:val="00B72864"/>
    <w:rsid w:val="00B72BEE"/>
    <w:rsid w:val="00B738CF"/>
    <w:rsid w:val="00B73904"/>
    <w:rsid w:val="00B74314"/>
    <w:rsid w:val="00B746DE"/>
    <w:rsid w:val="00B74748"/>
    <w:rsid w:val="00B74801"/>
    <w:rsid w:val="00B74A3D"/>
    <w:rsid w:val="00B74A88"/>
    <w:rsid w:val="00B74B1A"/>
    <w:rsid w:val="00B74E98"/>
    <w:rsid w:val="00B75675"/>
    <w:rsid w:val="00B759BD"/>
    <w:rsid w:val="00B75E0E"/>
    <w:rsid w:val="00B75EDC"/>
    <w:rsid w:val="00B76948"/>
    <w:rsid w:val="00B76B9C"/>
    <w:rsid w:val="00B76C6B"/>
    <w:rsid w:val="00B7732C"/>
    <w:rsid w:val="00B801B5"/>
    <w:rsid w:val="00B80387"/>
    <w:rsid w:val="00B80610"/>
    <w:rsid w:val="00B80AE8"/>
    <w:rsid w:val="00B81124"/>
    <w:rsid w:val="00B812D8"/>
    <w:rsid w:val="00B818BC"/>
    <w:rsid w:val="00B82529"/>
    <w:rsid w:val="00B82A89"/>
    <w:rsid w:val="00B8305F"/>
    <w:rsid w:val="00B83207"/>
    <w:rsid w:val="00B8381E"/>
    <w:rsid w:val="00B84074"/>
    <w:rsid w:val="00B85028"/>
    <w:rsid w:val="00B85241"/>
    <w:rsid w:val="00B871F7"/>
    <w:rsid w:val="00B878E9"/>
    <w:rsid w:val="00B87C5E"/>
    <w:rsid w:val="00B87CC0"/>
    <w:rsid w:val="00B87EE5"/>
    <w:rsid w:val="00B90BCB"/>
    <w:rsid w:val="00B90BEA"/>
    <w:rsid w:val="00B90C73"/>
    <w:rsid w:val="00B90DCD"/>
    <w:rsid w:val="00B93022"/>
    <w:rsid w:val="00B93248"/>
    <w:rsid w:val="00B93C6B"/>
    <w:rsid w:val="00B95DA3"/>
    <w:rsid w:val="00B95E09"/>
    <w:rsid w:val="00B9607D"/>
    <w:rsid w:val="00B96621"/>
    <w:rsid w:val="00B96726"/>
    <w:rsid w:val="00B96FA3"/>
    <w:rsid w:val="00B97073"/>
    <w:rsid w:val="00B976CB"/>
    <w:rsid w:val="00B978EF"/>
    <w:rsid w:val="00B97C0A"/>
    <w:rsid w:val="00BA0190"/>
    <w:rsid w:val="00BA044B"/>
    <w:rsid w:val="00BA08F0"/>
    <w:rsid w:val="00BA129C"/>
    <w:rsid w:val="00BA1C0D"/>
    <w:rsid w:val="00BA251F"/>
    <w:rsid w:val="00BA2F0A"/>
    <w:rsid w:val="00BA2FB7"/>
    <w:rsid w:val="00BA3300"/>
    <w:rsid w:val="00BA33F5"/>
    <w:rsid w:val="00BA34DB"/>
    <w:rsid w:val="00BA3DC8"/>
    <w:rsid w:val="00BA41F4"/>
    <w:rsid w:val="00BA45BB"/>
    <w:rsid w:val="00BA4679"/>
    <w:rsid w:val="00BA4948"/>
    <w:rsid w:val="00BA4A26"/>
    <w:rsid w:val="00BA4C5C"/>
    <w:rsid w:val="00BA5C61"/>
    <w:rsid w:val="00BA614B"/>
    <w:rsid w:val="00BA6DD1"/>
    <w:rsid w:val="00BA70BD"/>
    <w:rsid w:val="00BA71AF"/>
    <w:rsid w:val="00BB0322"/>
    <w:rsid w:val="00BB0436"/>
    <w:rsid w:val="00BB0F4B"/>
    <w:rsid w:val="00BB106F"/>
    <w:rsid w:val="00BB1502"/>
    <w:rsid w:val="00BB1DCE"/>
    <w:rsid w:val="00BB1F5B"/>
    <w:rsid w:val="00BB23FD"/>
    <w:rsid w:val="00BB37F9"/>
    <w:rsid w:val="00BB3DAB"/>
    <w:rsid w:val="00BB3DEF"/>
    <w:rsid w:val="00BB5A5C"/>
    <w:rsid w:val="00BB5A79"/>
    <w:rsid w:val="00BB5AF2"/>
    <w:rsid w:val="00BB5FF8"/>
    <w:rsid w:val="00BB6635"/>
    <w:rsid w:val="00BB6BE5"/>
    <w:rsid w:val="00BB7491"/>
    <w:rsid w:val="00BB74A6"/>
    <w:rsid w:val="00BB7CB9"/>
    <w:rsid w:val="00BC0088"/>
    <w:rsid w:val="00BC00AC"/>
    <w:rsid w:val="00BC044F"/>
    <w:rsid w:val="00BC0620"/>
    <w:rsid w:val="00BC079F"/>
    <w:rsid w:val="00BC0896"/>
    <w:rsid w:val="00BC0D93"/>
    <w:rsid w:val="00BC1112"/>
    <w:rsid w:val="00BC1486"/>
    <w:rsid w:val="00BC1A94"/>
    <w:rsid w:val="00BC1E63"/>
    <w:rsid w:val="00BC21AF"/>
    <w:rsid w:val="00BC27FD"/>
    <w:rsid w:val="00BC29E1"/>
    <w:rsid w:val="00BC2D7D"/>
    <w:rsid w:val="00BC2F01"/>
    <w:rsid w:val="00BC34C3"/>
    <w:rsid w:val="00BC3673"/>
    <w:rsid w:val="00BC36D5"/>
    <w:rsid w:val="00BC3ED0"/>
    <w:rsid w:val="00BC416F"/>
    <w:rsid w:val="00BC42B1"/>
    <w:rsid w:val="00BC43C3"/>
    <w:rsid w:val="00BC479C"/>
    <w:rsid w:val="00BC5403"/>
    <w:rsid w:val="00BC6AF7"/>
    <w:rsid w:val="00BC6AFA"/>
    <w:rsid w:val="00BC6E42"/>
    <w:rsid w:val="00BC7458"/>
    <w:rsid w:val="00BC7461"/>
    <w:rsid w:val="00BC774F"/>
    <w:rsid w:val="00BD0117"/>
    <w:rsid w:val="00BD05EC"/>
    <w:rsid w:val="00BD0A1F"/>
    <w:rsid w:val="00BD0C2F"/>
    <w:rsid w:val="00BD0CBA"/>
    <w:rsid w:val="00BD0F48"/>
    <w:rsid w:val="00BD1459"/>
    <w:rsid w:val="00BD1860"/>
    <w:rsid w:val="00BD1A55"/>
    <w:rsid w:val="00BD1CB2"/>
    <w:rsid w:val="00BD1CFA"/>
    <w:rsid w:val="00BD1F32"/>
    <w:rsid w:val="00BD29E6"/>
    <w:rsid w:val="00BD2A37"/>
    <w:rsid w:val="00BD2FBE"/>
    <w:rsid w:val="00BD3313"/>
    <w:rsid w:val="00BD39FC"/>
    <w:rsid w:val="00BD3B4C"/>
    <w:rsid w:val="00BD4C79"/>
    <w:rsid w:val="00BD50AF"/>
    <w:rsid w:val="00BD51E0"/>
    <w:rsid w:val="00BD5E15"/>
    <w:rsid w:val="00BD60AA"/>
    <w:rsid w:val="00BD61F7"/>
    <w:rsid w:val="00BD6BBD"/>
    <w:rsid w:val="00BD7468"/>
    <w:rsid w:val="00BD7BA5"/>
    <w:rsid w:val="00BD7D11"/>
    <w:rsid w:val="00BE044E"/>
    <w:rsid w:val="00BE0862"/>
    <w:rsid w:val="00BE0B71"/>
    <w:rsid w:val="00BE20B8"/>
    <w:rsid w:val="00BE22F7"/>
    <w:rsid w:val="00BE2CB8"/>
    <w:rsid w:val="00BE2E4C"/>
    <w:rsid w:val="00BE33FE"/>
    <w:rsid w:val="00BE3770"/>
    <w:rsid w:val="00BE3817"/>
    <w:rsid w:val="00BE3A12"/>
    <w:rsid w:val="00BE417D"/>
    <w:rsid w:val="00BE466C"/>
    <w:rsid w:val="00BE4B15"/>
    <w:rsid w:val="00BE519D"/>
    <w:rsid w:val="00BE5248"/>
    <w:rsid w:val="00BE5320"/>
    <w:rsid w:val="00BE5B64"/>
    <w:rsid w:val="00BE66EB"/>
    <w:rsid w:val="00BE6769"/>
    <w:rsid w:val="00BE68AA"/>
    <w:rsid w:val="00BE68B5"/>
    <w:rsid w:val="00BE715D"/>
    <w:rsid w:val="00BE7D1B"/>
    <w:rsid w:val="00BE7E0B"/>
    <w:rsid w:val="00BF0341"/>
    <w:rsid w:val="00BF036B"/>
    <w:rsid w:val="00BF0DA4"/>
    <w:rsid w:val="00BF129E"/>
    <w:rsid w:val="00BF22D0"/>
    <w:rsid w:val="00BF2C1F"/>
    <w:rsid w:val="00BF32EF"/>
    <w:rsid w:val="00BF347F"/>
    <w:rsid w:val="00BF34D6"/>
    <w:rsid w:val="00BF3773"/>
    <w:rsid w:val="00BF41CA"/>
    <w:rsid w:val="00BF4A2C"/>
    <w:rsid w:val="00BF4D6F"/>
    <w:rsid w:val="00BF4D7B"/>
    <w:rsid w:val="00BF51EF"/>
    <w:rsid w:val="00BF54EA"/>
    <w:rsid w:val="00BF553A"/>
    <w:rsid w:val="00BF560E"/>
    <w:rsid w:val="00BF563A"/>
    <w:rsid w:val="00BF5BDE"/>
    <w:rsid w:val="00BF69AF"/>
    <w:rsid w:val="00BF6CE1"/>
    <w:rsid w:val="00BF7055"/>
    <w:rsid w:val="00BF71E4"/>
    <w:rsid w:val="00BF7385"/>
    <w:rsid w:val="00C00602"/>
    <w:rsid w:val="00C00F5B"/>
    <w:rsid w:val="00C01311"/>
    <w:rsid w:val="00C0156A"/>
    <w:rsid w:val="00C01F9C"/>
    <w:rsid w:val="00C02652"/>
    <w:rsid w:val="00C02CE5"/>
    <w:rsid w:val="00C02EC1"/>
    <w:rsid w:val="00C035B5"/>
    <w:rsid w:val="00C03697"/>
    <w:rsid w:val="00C036A4"/>
    <w:rsid w:val="00C04015"/>
    <w:rsid w:val="00C04083"/>
    <w:rsid w:val="00C0456A"/>
    <w:rsid w:val="00C0496A"/>
    <w:rsid w:val="00C04D45"/>
    <w:rsid w:val="00C05480"/>
    <w:rsid w:val="00C057A9"/>
    <w:rsid w:val="00C05C90"/>
    <w:rsid w:val="00C05DBC"/>
    <w:rsid w:val="00C06035"/>
    <w:rsid w:val="00C06407"/>
    <w:rsid w:val="00C06677"/>
    <w:rsid w:val="00C067D5"/>
    <w:rsid w:val="00C06B3E"/>
    <w:rsid w:val="00C06C19"/>
    <w:rsid w:val="00C06CAA"/>
    <w:rsid w:val="00C073DA"/>
    <w:rsid w:val="00C07F02"/>
    <w:rsid w:val="00C10011"/>
    <w:rsid w:val="00C102D0"/>
    <w:rsid w:val="00C10440"/>
    <w:rsid w:val="00C10AE9"/>
    <w:rsid w:val="00C10FF2"/>
    <w:rsid w:val="00C113ED"/>
    <w:rsid w:val="00C11608"/>
    <w:rsid w:val="00C11666"/>
    <w:rsid w:val="00C118B7"/>
    <w:rsid w:val="00C11A14"/>
    <w:rsid w:val="00C11BEC"/>
    <w:rsid w:val="00C123A0"/>
    <w:rsid w:val="00C123C8"/>
    <w:rsid w:val="00C12587"/>
    <w:rsid w:val="00C125FB"/>
    <w:rsid w:val="00C1276E"/>
    <w:rsid w:val="00C13FF9"/>
    <w:rsid w:val="00C1401B"/>
    <w:rsid w:val="00C14291"/>
    <w:rsid w:val="00C146FB"/>
    <w:rsid w:val="00C148D1"/>
    <w:rsid w:val="00C15217"/>
    <w:rsid w:val="00C15869"/>
    <w:rsid w:val="00C15BB2"/>
    <w:rsid w:val="00C15BF7"/>
    <w:rsid w:val="00C15C57"/>
    <w:rsid w:val="00C16045"/>
    <w:rsid w:val="00C1649C"/>
    <w:rsid w:val="00C167B4"/>
    <w:rsid w:val="00C16D43"/>
    <w:rsid w:val="00C16DC5"/>
    <w:rsid w:val="00C16E94"/>
    <w:rsid w:val="00C17553"/>
    <w:rsid w:val="00C17BE9"/>
    <w:rsid w:val="00C17FF0"/>
    <w:rsid w:val="00C2025E"/>
    <w:rsid w:val="00C20A7B"/>
    <w:rsid w:val="00C20BF0"/>
    <w:rsid w:val="00C20FDA"/>
    <w:rsid w:val="00C211F7"/>
    <w:rsid w:val="00C21AC7"/>
    <w:rsid w:val="00C2233A"/>
    <w:rsid w:val="00C22488"/>
    <w:rsid w:val="00C22748"/>
    <w:rsid w:val="00C22B0E"/>
    <w:rsid w:val="00C22CB6"/>
    <w:rsid w:val="00C22EBC"/>
    <w:rsid w:val="00C23216"/>
    <w:rsid w:val="00C23821"/>
    <w:rsid w:val="00C23F6A"/>
    <w:rsid w:val="00C24420"/>
    <w:rsid w:val="00C24D18"/>
    <w:rsid w:val="00C24D51"/>
    <w:rsid w:val="00C25014"/>
    <w:rsid w:val="00C2502B"/>
    <w:rsid w:val="00C2503E"/>
    <w:rsid w:val="00C261A3"/>
    <w:rsid w:val="00C2621C"/>
    <w:rsid w:val="00C26237"/>
    <w:rsid w:val="00C26967"/>
    <w:rsid w:val="00C26A59"/>
    <w:rsid w:val="00C26EEC"/>
    <w:rsid w:val="00C274A1"/>
    <w:rsid w:val="00C275F4"/>
    <w:rsid w:val="00C277D9"/>
    <w:rsid w:val="00C27CC2"/>
    <w:rsid w:val="00C30273"/>
    <w:rsid w:val="00C3027F"/>
    <w:rsid w:val="00C30739"/>
    <w:rsid w:val="00C30AFD"/>
    <w:rsid w:val="00C30B55"/>
    <w:rsid w:val="00C30FB8"/>
    <w:rsid w:val="00C31AEF"/>
    <w:rsid w:val="00C31BE5"/>
    <w:rsid w:val="00C32D85"/>
    <w:rsid w:val="00C32DD9"/>
    <w:rsid w:val="00C339C7"/>
    <w:rsid w:val="00C349A1"/>
    <w:rsid w:val="00C34C94"/>
    <w:rsid w:val="00C34F39"/>
    <w:rsid w:val="00C35E34"/>
    <w:rsid w:val="00C36123"/>
    <w:rsid w:val="00C3656B"/>
    <w:rsid w:val="00C370E5"/>
    <w:rsid w:val="00C37285"/>
    <w:rsid w:val="00C373B8"/>
    <w:rsid w:val="00C37664"/>
    <w:rsid w:val="00C37C61"/>
    <w:rsid w:val="00C37F8F"/>
    <w:rsid w:val="00C40338"/>
    <w:rsid w:val="00C406CD"/>
    <w:rsid w:val="00C41024"/>
    <w:rsid w:val="00C4140E"/>
    <w:rsid w:val="00C41741"/>
    <w:rsid w:val="00C41F4A"/>
    <w:rsid w:val="00C42223"/>
    <w:rsid w:val="00C42513"/>
    <w:rsid w:val="00C42523"/>
    <w:rsid w:val="00C42DA2"/>
    <w:rsid w:val="00C43585"/>
    <w:rsid w:val="00C4449C"/>
    <w:rsid w:val="00C444DC"/>
    <w:rsid w:val="00C4460F"/>
    <w:rsid w:val="00C45220"/>
    <w:rsid w:val="00C45773"/>
    <w:rsid w:val="00C45D8E"/>
    <w:rsid w:val="00C46128"/>
    <w:rsid w:val="00C465DD"/>
    <w:rsid w:val="00C466C9"/>
    <w:rsid w:val="00C47A98"/>
    <w:rsid w:val="00C47C15"/>
    <w:rsid w:val="00C47CB8"/>
    <w:rsid w:val="00C50430"/>
    <w:rsid w:val="00C508A6"/>
    <w:rsid w:val="00C50CEA"/>
    <w:rsid w:val="00C5144D"/>
    <w:rsid w:val="00C514C3"/>
    <w:rsid w:val="00C51576"/>
    <w:rsid w:val="00C518A4"/>
    <w:rsid w:val="00C52738"/>
    <w:rsid w:val="00C53697"/>
    <w:rsid w:val="00C542E7"/>
    <w:rsid w:val="00C55207"/>
    <w:rsid w:val="00C55B62"/>
    <w:rsid w:val="00C56093"/>
    <w:rsid w:val="00C577EB"/>
    <w:rsid w:val="00C57BB9"/>
    <w:rsid w:val="00C601B5"/>
    <w:rsid w:val="00C605E7"/>
    <w:rsid w:val="00C60836"/>
    <w:rsid w:val="00C615A0"/>
    <w:rsid w:val="00C6196A"/>
    <w:rsid w:val="00C61EE7"/>
    <w:rsid w:val="00C621C9"/>
    <w:rsid w:val="00C62766"/>
    <w:rsid w:val="00C63A17"/>
    <w:rsid w:val="00C63C38"/>
    <w:rsid w:val="00C640FC"/>
    <w:rsid w:val="00C64167"/>
    <w:rsid w:val="00C64866"/>
    <w:rsid w:val="00C65646"/>
    <w:rsid w:val="00C65918"/>
    <w:rsid w:val="00C65B71"/>
    <w:rsid w:val="00C65FD1"/>
    <w:rsid w:val="00C66747"/>
    <w:rsid w:val="00C6694E"/>
    <w:rsid w:val="00C66E71"/>
    <w:rsid w:val="00C66EA6"/>
    <w:rsid w:val="00C67099"/>
    <w:rsid w:val="00C70223"/>
    <w:rsid w:val="00C717D4"/>
    <w:rsid w:val="00C71992"/>
    <w:rsid w:val="00C72166"/>
    <w:rsid w:val="00C721AD"/>
    <w:rsid w:val="00C723B5"/>
    <w:rsid w:val="00C72F98"/>
    <w:rsid w:val="00C7344F"/>
    <w:rsid w:val="00C7372D"/>
    <w:rsid w:val="00C73A4E"/>
    <w:rsid w:val="00C7475B"/>
    <w:rsid w:val="00C74CE4"/>
    <w:rsid w:val="00C74D2F"/>
    <w:rsid w:val="00C74DEC"/>
    <w:rsid w:val="00C74FF9"/>
    <w:rsid w:val="00C755EA"/>
    <w:rsid w:val="00C75AE4"/>
    <w:rsid w:val="00C75EB1"/>
    <w:rsid w:val="00C764C5"/>
    <w:rsid w:val="00C769D1"/>
    <w:rsid w:val="00C76B88"/>
    <w:rsid w:val="00C77596"/>
    <w:rsid w:val="00C7765A"/>
    <w:rsid w:val="00C77785"/>
    <w:rsid w:val="00C77EBA"/>
    <w:rsid w:val="00C77FB2"/>
    <w:rsid w:val="00C801C8"/>
    <w:rsid w:val="00C80607"/>
    <w:rsid w:val="00C80996"/>
    <w:rsid w:val="00C80A85"/>
    <w:rsid w:val="00C80D0F"/>
    <w:rsid w:val="00C80DFB"/>
    <w:rsid w:val="00C81593"/>
    <w:rsid w:val="00C815F9"/>
    <w:rsid w:val="00C82292"/>
    <w:rsid w:val="00C82635"/>
    <w:rsid w:val="00C82C89"/>
    <w:rsid w:val="00C82FC5"/>
    <w:rsid w:val="00C831E7"/>
    <w:rsid w:val="00C83E6A"/>
    <w:rsid w:val="00C83E7B"/>
    <w:rsid w:val="00C840A6"/>
    <w:rsid w:val="00C84EFB"/>
    <w:rsid w:val="00C85D91"/>
    <w:rsid w:val="00C85F67"/>
    <w:rsid w:val="00C86454"/>
    <w:rsid w:val="00C8735D"/>
    <w:rsid w:val="00C903EA"/>
    <w:rsid w:val="00C90C74"/>
    <w:rsid w:val="00C90CD2"/>
    <w:rsid w:val="00C91A65"/>
    <w:rsid w:val="00C93240"/>
    <w:rsid w:val="00C933AD"/>
    <w:rsid w:val="00C9411C"/>
    <w:rsid w:val="00C943DF"/>
    <w:rsid w:val="00C945E7"/>
    <w:rsid w:val="00C95504"/>
    <w:rsid w:val="00C955A0"/>
    <w:rsid w:val="00C95B38"/>
    <w:rsid w:val="00C95B3D"/>
    <w:rsid w:val="00C95CD8"/>
    <w:rsid w:val="00C95E05"/>
    <w:rsid w:val="00C96BED"/>
    <w:rsid w:val="00C97256"/>
    <w:rsid w:val="00C97760"/>
    <w:rsid w:val="00C97799"/>
    <w:rsid w:val="00C97A54"/>
    <w:rsid w:val="00C97B2B"/>
    <w:rsid w:val="00CA0745"/>
    <w:rsid w:val="00CA109F"/>
    <w:rsid w:val="00CA10BA"/>
    <w:rsid w:val="00CA1711"/>
    <w:rsid w:val="00CA1E98"/>
    <w:rsid w:val="00CA1ED0"/>
    <w:rsid w:val="00CA1F5C"/>
    <w:rsid w:val="00CA245E"/>
    <w:rsid w:val="00CA2880"/>
    <w:rsid w:val="00CA2D95"/>
    <w:rsid w:val="00CA3524"/>
    <w:rsid w:val="00CA38D9"/>
    <w:rsid w:val="00CA390E"/>
    <w:rsid w:val="00CA518B"/>
    <w:rsid w:val="00CA54D2"/>
    <w:rsid w:val="00CA5A87"/>
    <w:rsid w:val="00CA5DA0"/>
    <w:rsid w:val="00CA5FDA"/>
    <w:rsid w:val="00CA609E"/>
    <w:rsid w:val="00CA636F"/>
    <w:rsid w:val="00CA647E"/>
    <w:rsid w:val="00CA64C3"/>
    <w:rsid w:val="00CA64EB"/>
    <w:rsid w:val="00CA6AC1"/>
    <w:rsid w:val="00CA71E0"/>
    <w:rsid w:val="00CA7A36"/>
    <w:rsid w:val="00CA7C0B"/>
    <w:rsid w:val="00CA7C75"/>
    <w:rsid w:val="00CA7F1A"/>
    <w:rsid w:val="00CB053D"/>
    <w:rsid w:val="00CB05C8"/>
    <w:rsid w:val="00CB0F4B"/>
    <w:rsid w:val="00CB12AD"/>
    <w:rsid w:val="00CB15C7"/>
    <w:rsid w:val="00CB228F"/>
    <w:rsid w:val="00CB3A66"/>
    <w:rsid w:val="00CB476D"/>
    <w:rsid w:val="00CB4AB1"/>
    <w:rsid w:val="00CB55F3"/>
    <w:rsid w:val="00CB60F4"/>
    <w:rsid w:val="00CB6354"/>
    <w:rsid w:val="00CB6DD7"/>
    <w:rsid w:val="00CB725A"/>
    <w:rsid w:val="00CB77E9"/>
    <w:rsid w:val="00CB7A0B"/>
    <w:rsid w:val="00CB7A8C"/>
    <w:rsid w:val="00CB7EFD"/>
    <w:rsid w:val="00CC036E"/>
    <w:rsid w:val="00CC0400"/>
    <w:rsid w:val="00CC04C8"/>
    <w:rsid w:val="00CC0B3C"/>
    <w:rsid w:val="00CC0BB1"/>
    <w:rsid w:val="00CC0BC1"/>
    <w:rsid w:val="00CC1BCF"/>
    <w:rsid w:val="00CC2C23"/>
    <w:rsid w:val="00CC3361"/>
    <w:rsid w:val="00CC3477"/>
    <w:rsid w:val="00CC39BB"/>
    <w:rsid w:val="00CC42A9"/>
    <w:rsid w:val="00CC4588"/>
    <w:rsid w:val="00CC47C7"/>
    <w:rsid w:val="00CC498B"/>
    <w:rsid w:val="00CC4B20"/>
    <w:rsid w:val="00CC53DE"/>
    <w:rsid w:val="00CC5403"/>
    <w:rsid w:val="00CC5492"/>
    <w:rsid w:val="00CC55BB"/>
    <w:rsid w:val="00CC5A8A"/>
    <w:rsid w:val="00CC5C0E"/>
    <w:rsid w:val="00CC5DC7"/>
    <w:rsid w:val="00CC672F"/>
    <w:rsid w:val="00CC68AF"/>
    <w:rsid w:val="00CC68CB"/>
    <w:rsid w:val="00CC6973"/>
    <w:rsid w:val="00CC6CCA"/>
    <w:rsid w:val="00CC7180"/>
    <w:rsid w:val="00CC71B8"/>
    <w:rsid w:val="00CC7399"/>
    <w:rsid w:val="00CC76AB"/>
    <w:rsid w:val="00CC771B"/>
    <w:rsid w:val="00CC7B4A"/>
    <w:rsid w:val="00CC7C4F"/>
    <w:rsid w:val="00CC7E71"/>
    <w:rsid w:val="00CD010E"/>
    <w:rsid w:val="00CD0400"/>
    <w:rsid w:val="00CD0689"/>
    <w:rsid w:val="00CD07FB"/>
    <w:rsid w:val="00CD0ABA"/>
    <w:rsid w:val="00CD0C8C"/>
    <w:rsid w:val="00CD0F65"/>
    <w:rsid w:val="00CD100D"/>
    <w:rsid w:val="00CD10CF"/>
    <w:rsid w:val="00CD1E46"/>
    <w:rsid w:val="00CD267B"/>
    <w:rsid w:val="00CD2BEB"/>
    <w:rsid w:val="00CD35EC"/>
    <w:rsid w:val="00CD3948"/>
    <w:rsid w:val="00CD3CEB"/>
    <w:rsid w:val="00CD41D5"/>
    <w:rsid w:val="00CD462A"/>
    <w:rsid w:val="00CD4E46"/>
    <w:rsid w:val="00CD4E7B"/>
    <w:rsid w:val="00CD5774"/>
    <w:rsid w:val="00CD591D"/>
    <w:rsid w:val="00CD69FD"/>
    <w:rsid w:val="00CD6A68"/>
    <w:rsid w:val="00CD6AC1"/>
    <w:rsid w:val="00CD70FC"/>
    <w:rsid w:val="00CD77CD"/>
    <w:rsid w:val="00CD78A2"/>
    <w:rsid w:val="00CD7A39"/>
    <w:rsid w:val="00CD7F00"/>
    <w:rsid w:val="00CE011A"/>
    <w:rsid w:val="00CE0A8C"/>
    <w:rsid w:val="00CE1528"/>
    <w:rsid w:val="00CE1C90"/>
    <w:rsid w:val="00CE1CDA"/>
    <w:rsid w:val="00CE1CEA"/>
    <w:rsid w:val="00CE289A"/>
    <w:rsid w:val="00CE2E59"/>
    <w:rsid w:val="00CE330F"/>
    <w:rsid w:val="00CE37DC"/>
    <w:rsid w:val="00CE3D91"/>
    <w:rsid w:val="00CE3DA2"/>
    <w:rsid w:val="00CE3FDF"/>
    <w:rsid w:val="00CE42CA"/>
    <w:rsid w:val="00CE45F2"/>
    <w:rsid w:val="00CE4F26"/>
    <w:rsid w:val="00CE53C5"/>
    <w:rsid w:val="00CE5459"/>
    <w:rsid w:val="00CE5D5F"/>
    <w:rsid w:val="00CE5DB9"/>
    <w:rsid w:val="00CE5FB6"/>
    <w:rsid w:val="00CE6859"/>
    <w:rsid w:val="00CE68EF"/>
    <w:rsid w:val="00CE69A7"/>
    <w:rsid w:val="00CE7E3A"/>
    <w:rsid w:val="00CE7E63"/>
    <w:rsid w:val="00CF02AE"/>
    <w:rsid w:val="00CF03E8"/>
    <w:rsid w:val="00CF0AF0"/>
    <w:rsid w:val="00CF1288"/>
    <w:rsid w:val="00CF142B"/>
    <w:rsid w:val="00CF190D"/>
    <w:rsid w:val="00CF1947"/>
    <w:rsid w:val="00CF1BFE"/>
    <w:rsid w:val="00CF1EEA"/>
    <w:rsid w:val="00CF2639"/>
    <w:rsid w:val="00CF2946"/>
    <w:rsid w:val="00CF2D17"/>
    <w:rsid w:val="00CF4262"/>
    <w:rsid w:val="00CF442D"/>
    <w:rsid w:val="00CF5AE5"/>
    <w:rsid w:val="00CF6112"/>
    <w:rsid w:val="00CF64B1"/>
    <w:rsid w:val="00CF6DAD"/>
    <w:rsid w:val="00CF78FB"/>
    <w:rsid w:val="00CF7F65"/>
    <w:rsid w:val="00D00ABF"/>
    <w:rsid w:val="00D00CB4"/>
    <w:rsid w:val="00D00EC3"/>
    <w:rsid w:val="00D01340"/>
    <w:rsid w:val="00D0195E"/>
    <w:rsid w:val="00D01D56"/>
    <w:rsid w:val="00D02779"/>
    <w:rsid w:val="00D02B2F"/>
    <w:rsid w:val="00D036F8"/>
    <w:rsid w:val="00D03F8B"/>
    <w:rsid w:val="00D0401E"/>
    <w:rsid w:val="00D041A9"/>
    <w:rsid w:val="00D04FA3"/>
    <w:rsid w:val="00D05750"/>
    <w:rsid w:val="00D061FA"/>
    <w:rsid w:val="00D0621E"/>
    <w:rsid w:val="00D0630D"/>
    <w:rsid w:val="00D063B1"/>
    <w:rsid w:val="00D0660D"/>
    <w:rsid w:val="00D0674F"/>
    <w:rsid w:val="00D06ABC"/>
    <w:rsid w:val="00D06EAD"/>
    <w:rsid w:val="00D07015"/>
    <w:rsid w:val="00D07996"/>
    <w:rsid w:val="00D07ACC"/>
    <w:rsid w:val="00D10239"/>
    <w:rsid w:val="00D102B5"/>
    <w:rsid w:val="00D103B2"/>
    <w:rsid w:val="00D10917"/>
    <w:rsid w:val="00D10EDF"/>
    <w:rsid w:val="00D10FAA"/>
    <w:rsid w:val="00D111E7"/>
    <w:rsid w:val="00D1123E"/>
    <w:rsid w:val="00D1181A"/>
    <w:rsid w:val="00D11C6C"/>
    <w:rsid w:val="00D11D96"/>
    <w:rsid w:val="00D1219C"/>
    <w:rsid w:val="00D12223"/>
    <w:rsid w:val="00D12493"/>
    <w:rsid w:val="00D1256D"/>
    <w:rsid w:val="00D12C59"/>
    <w:rsid w:val="00D13185"/>
    <w:rsid w:val="00D13ACD"/>
    <w:rsid w:val="00D13BE4"/>
    <w:rsid w:val="00D157FF"/>
    <w:rsid w:val="00D15F00"/>
    <w:rsid w:val="00D1604B"/>
    <w:rsid w:val="00D161EA"/>
    <w:rsid w:val="00D1703A"/>
    <w:rsid w:val="00D20145"/>
    <w:rsid w:val="00D20384"/>
    <w:rsid w:val="00D20A30"/>
    <w:rsid w:val="00D21071"/>
    <w:rsid w:val="00D21F8F"/>
    <w:rsid w:val="00D2220A"/>
    <w:rsid w:val="00D22663"/>
    <w:rsid w:val="00D22677"/>
    <w:rsid w:val="00D229F2"/>
    <w:rsid w:val="00D22DFB"/>
    <w:rsid w:val="00D22ECC"/>
    <w:rsid w:val="00D235A3"/>
    <w:rsid w:val="00D23647"/>
    <w:rsid w:val="00D23F28"/>
    <w:rsid w:val="00D243CD"/>
    <w:rsid w:val="00D24DB5"/>
    <w:rsid w:val="00D24EF0"/>
    <w:rsid w:val="00D24F74"/>
    <w:rsid w:val="00D255FE"/>
    <w:rsid w:val="00D256F6"/>
    <w:rsid w:val="00D25D0C"/>
    <w:rsid w:val="00D26092"/>
    <w:rsid w:val="00D265E6"/>
    <w:rsid w:val="00D27272"/>
    <w:rsid w:val="00D275DC"/>
    <w:rsid w:val="00D2762C"/>
    <w:rsid w:val="00D301A1"/>
    <w:rsid w:val="00D3030C"/>
    <w:rsid w:val="00D306F9"/>
    <w:rsid w:val="00D3098F"/>
    <w:rsid w:val="00D30B62"/>
    <w:rsid w:val="00D310E1"/>
    <w:rsid w:val="00D31541"/>
    <w:rsid w:val="00D3215B"/>
    <w:rsid w:val="00D321D7"/>
    <w:rsid w:val="00D32562"/>
    <w:rsid w:val="00D32983"/>
    <w:rsid w:val="00D32A62"/>
    <w:rsid w:val="00D32DB4"/>
    <w:rsid w:val="00D33288"/>
    <w:rsid w:val="00D34128"/>
    <w:rsid w:val="00D34A06"/>
    <w:rsid w:val="00D35891"/>
    <w:rsid w:val="00D35CE1"/>
    <w:rsid w:val="00D360D1"/>
    <w:rsid w:val="00D36F29"/>
    <w:rsid w:val="00D401EF"/>
    <w:rsid w:val="00D4046C"/>
    <w:rsid w:val="00D4072B"/>
    <w:rsid w:val="00D4117B"/>
    <w:rsid w:val="00D41680"/>
    <w:rsid w:val="00D41825"/>
    <w:rsid w:val="00D41A2F"/>
    <w:rsid w:val="00D42962"/>
    <w:rsid w:val="00D4341B"/>
    <w:rsid w:val="00D43B21"/>
    <w:rsid w:val="00D43C8F"/>
    <w:rsid w:val="00D4454F"/>
    <w:rsid w:val="00D449CD"/>
    <w:rsid w:val="00D44A8B"/>
    <w:rsid w:val="00D45434"/>
    <w:rsid w:val="00D45B6A"/>
    <w:rsid w:val="00D45FFB"/>
    <w:rsid w:val="00D463D7"/>
    <w:rsid w:val="00D47113"/>
    <w:rsid w:val="00D471B2"/>
    <w:rsid w:val="00D5001D"/>
    <w:rsid w:val="00D5080F"/>
    <w:rsid w:val="00D508AA"/>
    <w:rsid w:val="00D50B62"/>
    <w:rsid w:val="00D514FE"/>
    <w:rsid w:val="00D51857"/>
    <w:rsid w:val="00D524F5"/>
    <w:rsid w:val="00D52FC7"/>
    <w:rsid w:val="00D53ABE"/>
    <w:rsid w:val="00D53FA2"/>
    <w:rsid w:val="00D5464C"/>
    <w:rsid w:val="00D54CDA"/>
    <w:rsid w:val="00D54D1E"/>
    <w:rsid w:val="00D54EC5"/>
    <w:rsid w:val="00D5529F"/>
    <w:rsid w:val="00D555B7"/>
    <w:rsid w:val="00D556E6"/>
    <w:rsid w:val="00D559D9"/>
    <w:rsid w:val="00D55BC2"/>
    <w:rsid w:val="00D55EDA"/>
    <w:rsid w:val="00D569A9"/>
    <w:rsid w:val="00D56CD3"/>
    <w:rsid w:val="00D56DDF"/>
    <w:rsid w:val="00D57106"/>
    <w:rsid w:val="00D5779B"/>
    <w:rsid w:val="00D57A5D"/>
    <w:rsid w:val="00D57B21"/>
    <w:rsid w:val="00D6043F"/>
    <w:rsid w:val="00D609E5"/>
    <w:rsid w:val="00D60A9C"/>
    <w:rsid w:val="00D6110A"/>
    <w:rsid w:val="00D61B91"/>
    <w:rsid w:val="00D61E75"/>
    <w:rsid w:val="00D62DC3"/>
    <w:rsid w:val="00D62FA6"/>
    <w:rsid w:val="00D63659"/>
    <w:rsid w:val="00D641B7"/>
    <w:rsid w:val="00D644D7"/>
    <w:rsid w:val="00D650CC"/>
    <w:rsid w:val="00D650EE"/>
    <w:rsid w:val="00D65379"/>
    <w:rsid w:val="00D653FC"/>
    <w:rsid w:val="00D65592"/>
    <w:rsid w:val="00D664DC"/>
    <w:rsid w:val="00D6657D"/>
    <w:rsid w:val="00D665ED"/>
    <w:rsid w:val="00D667B8"/>
    <w:rsid w:val="00D66DF9"/>
    <w:rsid w:val="00D6742A"/>
    <w:rsid w:val="00D675D7"/>
    <w:rsid w:val="00D67960"/>
    <w:rsid w:val="00D67AEA"/>
    <w:rsid w:val="00D67DC8"/>
    <w:rsid w:val="00D67F4C"/>
    <w:rsid w:val="00D711B9"/>
    <w:rsid w:val="00D71267"/>
    <w:rsid w:val="00D715A2"/>
    <w:rsid w:val="00D71DA0"/>
    <w:rsid w:val="00D71EE0"/>
    <w:rsid w:val="00D72961"/>
    <w:rsid w:val="00D72E55"/>
    <w:rsid w:val="00D72EBD"/>
    <w:rsid w:val="00D74327"/>
    <w:rsid w:val="00D74568"/>
    <w:rsid w:val="00D749F8"/>
    <w:rsid w:val="00D7514B"/>
    <w:rsid w:val="00D75912"/>
    <w:rsid w:val="00D760BE"/>
    <w:rsid w:val="00D76706"/>
    <w:rsid w:val="00D76730"/>
    <w:rsid w:val="00D76DCE"/>
    <w:rsid w:val="00D77AE7"/>
    <w:rsid w:val="00D77F9B"/>
    <w:rsid w:val="00D80374"/>
    <w:rsid w:val="00D80442"/>
    <w:rsid w:val="00D80E12"/>
    <w:rsid w:val="00D80E85"/>
    <w:rsid w:val="00D810D7"/>
    <w:rsid w:val="00D813AA"/>
    <w:rsid w:val="00D81ABE"/>
    <w:rsid w:val="00D81D03"/>
    <w:rsid w:val="00D81DF6"/>
    <w:rsid w:val="00D823E3"/>
    <w:rsid w:val="00D828FA"/>
    <w:rsid w:val="00D831D1"/>
    <w:rsid w:val="00D837E5"/>
    <w:rsid w:val="00D83C72"/>
    <w:rsid w:val="00D840ED"/>
    <w:rsid w:val="00D844AA"/>
    <w:rsid w:val="00D84AAC"/>
    <w:rsid w:val="00D85010"/>
    <w:rsid w:val="00D8505A"/>
    <w:rsid w:val="00D858E6"/>
    <w:rsid w:val="00D85B7F"/>
    <w:rsid w:val="00D86212"/>
    <w:rsid w:val="00D86550"/>
    <w:rsid w:val="00D86A9F"/>
    <w:rsid w:val="00D86D87"/>
    <w:rsid w:val="00D870B7"/>
    <w:rsid w:val="00D870E0"/>
    <w:rsid w:val="00D87217"/>
    <w:rsid w:val="00D90C24"/>
    <w:rsid w:val="00D90D75"/>
    <w:rsid w:val="00D90F01"/>
    <w:rsid w:val="00D91055"/>
    <w:rsid w:val="00D91189"/>
    <w:rsid w:val="00D91436"/>
    <w:rsid w:val="00D91DC8"/>
    <w:rsid w:val="00D92E61"/>
    <w:rsid w:val="00D93448"/>
    <w:rsid w:val="00D935E9"/>
    <w:rsid w:val="00D93874"/>
    <w:rsid w:val="00D93929"/>
    <w:rsid w:val="00D93B37"/>
    <w:rsid w:val="00D9497B"/>
    <w:rsid w:val="00D952AA"/>
    <w:rsid w:val="00D95FE7"/>
    <w:rsid w:val="00D966CF"/>
    <w:rsid w:val="00D97A75"/>
    <w:rsid w:val="00DA0273"/>
    <w:rsid w:val="00DA0667"/>
    <w:rsid w:val="00DA1576"/>
    <w:rsid w:val="00DA216C"/>
    <w:rsid w:val="00DA2322"/>
    <w:rsid w:val="00DA2B21"/>
    <w:rsid w:val="00DA2C1E"/>
    <w:rsid w:val="00DA328A"/>
    <w:rsid w:val="00DA3C32"/>
    <w:rsid w:val="00DA3E79"/>
    <w:rsid w:val="00DA4367"/>
    <w:rsid w:val="00DA4954"/>
    <w:rsid w:val="00DA51AC"/>
    <w:rsid w:val="00DA5B29"/>
    <w:rsid w:val="00DA6C82"/>
    <w:rsid w:val="00DA6D0C"/>
    <w:rsid w:val="00DA6DC2"/>
    <w:rsid w:val="00DA78E1"/>
    <w:rsid w:val="00DA7D93"/>
    <w:rsid w:val="00DB078B"/>
    <w:rsid w:val="00DB13D9"/>
    <w:rsid w:val="00DB19C5"/>
    <w:rsid w:val="00DB1A20"/>
    <w:rsid w:val="00DB21DD"/>
    <w:rsid w:val="00DB3B28"/>
    <w:rsid w:val="00DB3F00"/>
    <w:rsid w:val="00DB41E6"/>
    <w:rsid w:val="00DB42FD"/>
    <w:rsid w:val="00DB4AA2"/>
    <w:rsid w:val="00DB4ADC"/>
    <w:rsid w:val="00DB516E"/>
    <w:rsid w:val="00DB5BDD"/>
    <w:rsid w:val="00DB5EDC"/>
    <w:rsid w:val="00DB68AA"/>
    <w:rsid w:val="00DB6E17"/>
    <w:rsid w:val="00DB6E96"/>
    <w:rsid w:val="00DB718D"/>
    <w:rsid w:val="00DB731B"/>
    <w:rsid w:val="00DB76A2"/>
    <w:rsid w:val="00DB7AE1"/>
    <w:rsid w:val="00DC032E"/>
    <w:rsid w:val="00DC034D"/>
    <w:rsid w:val="00DC0881"/>
    <w:rsid w:val="00DC1211"/>
    <w:rsid w:val="00DC1545"/>
    <w:rsid w:val="00DC159D"/>
    <w:rsid w:val="00DC1BCA"/>
    <w:rsid w:val="00DC22DA"/>
    <w:rsid w:val="00DC2922"/>
    <w:rsid w:val="00DC2952"/>
    <w:rsid w:val="00DC2C97"/>
    <w:rsid w:val="00DC2CC7"/>
    <w:rsid w:val="00DC2CDA"/>
    <w:rsid w:val="00DC2EE4"/>
    <w:rsid w:val="00DC3C21"/>
    <w:rsid w:val="00DC4236"/>
    <w:rsid w:val="00DC441A"/>
    <w:rsid w:val="00DC47A2"/>
    <w:rsid w:val="00DC47C3"/>
    <w:rsid w:val="00DC4860"/>
    <w:rsid w:val="00DC50C6"/>
    <w:rsid w:val="00DC5368"/>
    <w:rsid w:val="00DC5600"/>
    <w:rsid w:val="00DC5D0F"/>
    <w:rsid w:val="00DC671D"/>
    <w:rsid w:val="00DC6772"/>
    <w:rsid w:val="00DC6B86"/>
    <w:rsid w:val="00DC6C20"/>
    <w:rsid w:val="00DC6F9C"/>
    <w:rsid w:val="00DD01CE"/>
    <w:rsid w:val="00DD0A6B"/>
    <w:rsid w:val="00DD0AB3"/>
    <w:rsid w:val="00DD0EF2"/>
    <w:rsid w:val="00DD1231"/>
    <w:rsid w:val="00DD1D13"/>
    <w:rsid w:val="00DD2D10"/>
    <w:rsid w:val="00DD2F31"/>
    <w:rsid w:val="00DD2F3F"/>
    <w:rsid w:val="00DD3094"/>
    <w:rsid w:val="00DD31A6"/>
    <w:rsid w:val="00DD3F65"/>
    <w:rsid w:val="00DD5A46"/>
    <w:rsid w:val="00DD5D1F"/>
    <w:rsid w:val="00DD5EA8"/>
    <w:rsid w:val="00DD6AAD"/>
    <w:rsid w:val="00DD76DA"/>
    <w:rsid w:val="00DD7B72"/>
    <w:rsid w:val="00DD7D84"/>
    <w:rsid w:val="00DE01EE"/>
    <w:rsid w:val="00DE01FE"/>
    <w:rsid w:val="00DE0624"/>
    <w:rsid w:val="00DE1D57"/>
    <w:rsid w:val="00DE22C9"/>
    <w:rsid w:val="00DE258E"/>
    <w:rsid w:val="00DE2B1A"/>
    <w:rsid w:val="00DE2F83"/>
    <w:rsid w:val="00DE375A"/>
    <w:rsid w:val="00DE3F33"/>
    <w:rsid w:val="00DE4029"/>
    <w:rsid w:val="00DE4479"/>
    <w:rsid w:val="00DE57FD"/>
    <w:rsid w:val="00DE58B3"/>
    <w:rsid w:val="00DE5A7B"/>
    <w:rsid w:val="00DE5B1E"/>
    <w:rsid w:val="00DE6231"/>
    <w:rsid w:val="00DE6954"/>
    <w:rsid w:val="00DE6BD9"/>
    <w:rsid w:val="00DE7779"/>
    <w:rsid w:val="00DE7978"/>
    <w:rsid w:val="00DE7C69"/>
    <w:rsid w:val="00DE7F36"/>
    <w:rsid w:val="00DF01A7"/>
    <w:rsid w:val="00DF0D54"/>
    <w:rsid w:val="00DF17A4"/>
    <w:rsid w:val="00DF1C36"/>
    <w:rsid w:val="00DF22F2"/>
    <w:rsid w:val="00DF2449"/>
    <w:rsid w:val="00DF26F0"/>
    <w:rsid w:val="00DF31C8"/>
    <w:rsid w:val="00DF376F"/>
    <w:rsid w:val="00DF3DFC"/>
    <w:rsid w:val="00DF4719"/>
    <w:rsid w:val="00DF5445"/>
    <w:rsid w:val="00DF588C"/>
    <w:rsid w:val="00DF58DC"/>
    <w:rsid w:val="00DF5C7A"/>
    <w:rsid w:val="00DF6308"/>
    <w:rsid w:val="00DF70F6"/>
    <w:rsid w:val="00DF7485"/>
    <w:rsid w:val="00DF74A3"/>
    <w:rsid w:val="00DF7589"/>
    <w:rsid w:val="00DF77A9"/>
    <w:rsid w:val="00DF7864"/>
    <w:rsid w:val="00DF7918"/>
    <w:rsid w:val="00DF7AB2"/>
    <w:rsid w:val="00DF7BB8"/>
    <w:rsid w:val="00DF7F80"/>
    <w:rsid w:val="00E00D66"/>
    <w:rsid w:val="00E01371"/>
    <w:rsid w:val="00E01846"/>
    <w:rsid w:val="00E02353"/>
    <w:rsid w:val="00E023EE"/>
    <w:rsid w:val="00E02501"/>
    <w:rsid w:val="00E02741"/>
    <w:rsid w:val="00E02AC9"/>
    <w:rsid w:val="00E02F34"/>
    <w:rsid w:val="00E03721"/>
    <w:rsid w:val="00E03944"/>
    <w:rsid w:val="00E03A8B"/>
    <w:rsid w:val="00E03B4C"/>
    <w:rsid w:val="00E04529"/>
    <w:rsid w:val="00E045D6"/>
    <w:rsid w:val="00E05875"/>
    <w:rsid w:val="00E06A1F"/>
    <w:rsid w:val="00E06F03"/>
    <w:rsid w:val="00E071FC"/>
    <w:rsid w:val="00E07324"/>
    <w:rsid w:val="00E0755B"/>
    <w:rsid w:val="00E07FE8"/>
    <w:rsid w:val="00E1089B"/>
    <w:rsid w:val="00E10A48"/>
    <w:rsid w:val="00E10E5B"/>
    <w:rsid w:val="00E11B2F"/>
    <w:rsid w:val="00E11BB1"/>
    <w:rsid w:val="00E11C67"/>
    <w:rsid w:val="00E11C93"/>
    <w:rsid w:val="00E11F55"/>
    <w:rsid w:val="00E12203"/>
    <w:rsid w:val="00E12647"/>
    <w:rsid w:val="00E127B4"/>
    <w:rsid w:val="00E12CE0"/>
    <w:rsid w:val="00E12F67"/>
    <w:rsid w:val="00E13294"/>
    <w:rsid w:val="00E1363A"/>
    <w:rsid w:val="00E136D5"/>
    <w:rsid w:val="00E137D1"/>
    <w:rsid w:val="00E14423"/>
    <w:rsid w:val="00E15DB0"/>
    <w:rsid w:val="00E15DD0"/>
    <w:rsid w:val="00E16376"/>
    <w:rsid w:val="00E16C70"/>
    <w:rsid w:val="00E20C29"/>
    <w:rsid w:val="00E213B2"/>
    <w:rsid w:val="00E21970"/>
    <w:rsid w:val="00E21CAA"/>
    <w:rsid w:val="00E22068"/>
    <w:rsid w:val="00E22190"/>
    <w:rsid w:val="00E225C4"/>
    <w:rsid w:val="00E226A5"/>
    <w:rsid w:val="00E22A4B"/>
    <w:rsid w:val="00E22C4C"/>
    <w:rsid w:val="00E22F45"/>
    <w:rsid w:val="00E2325D"/>
    <w:rsid w:val="00E24665"/>
    <w:rsid w:val="00E246ED"/>
    <w:rsid w:val="00E24894"/>
    <w:rsid w:val="00E24FA4"/>
    <w:rsid w:val="00E255B1"/>
    <w:rsid w:val="00E2575F"/>
    <w:rsid w:val="00E26A70"/>
    <w:rsid w:val="00E26D5C"/>
    <w:rsid w:val="00E27025"/>
    <w:rsid w:val="00E2763A"/>
    <w:rsid w:val="00E27EA9"/>
    <w:rsid w:val="00E30606"/>
    <w:rsid w:val="00E31171"/>
    <w:rsid w:val="00E31287"/>
    <w:rsid w:val="00E3159C"/>
    <w:rsid w:val="00E316DE"/>
    <w:rsid w:val="00E3197F"/>
    <w:rsid w:val="00E3235F"/>
    <w:rsid w:val="00E3287C"/>
    <w:rsid w:val="00E338B1"/>
    <w:rsid w:val="00E338CD"/>
    <w:rsid w:val="00E33B01"/>
    <w:rsid w:val="00E33CDA"/>
    <w:rsid w:val="00E347F0"/>
    <w:rsid w:val="00E34A08"/>
    <w:rsid w:val="00E34C6C"/>
    <w:rsid w:val="00E34DDA"/>
    <w:rsid w:val="00E34F82"/>
    <w:rsid w:val="00E3603F"/>
    <w:rsid w:val="00E36538"/>
    <w:rsid w:val="00E3662D"/>
    <w:rsid w:val="00E36E92"/>
    <w:rsid w:val="00E3780D"/>
    <w:rsid w:val="00E402CA"/>
    <w:rsid w:val="00E40573"/>
    <w:rsid w:val="00E40B49"/>
    <w:rsid w:val="00E40F81"/>
    <w:rsid w:val="00E41130"/>
    <w:rsid w:val="00E417C1"/>
    <w:rsid w:val="00E41B88"/>
    <w:rsid w:val="00E41D70"/>
    <w:rsid w:val="00E41E05"/>
    <w:rsid w:val="00E41EAC"/>
    <w:rsid w:val="00E420FC"/>
    <w:rsid w:val="00E4222D"/>
    <w:rsid w:val="00E42347"/>
    <w:rsid w:val="00E427DA"/>
    <w:rsid w:val="00E42D73"/>
    <w:rsid w:val="00E435CD"/>
    <w:rsid w:val="00E43777"/>
    <w:rsid w:val="00E438C9"/>
    <w:rsid w:val="00E440DA"/>
    <w:rsid w:val="00E44ED2"/>
    <w:rsid w:val="00E45199"/>
    <w:rsid w:val="00E4549D"/>
    <w:rsid w:val="00E455D0"/>
    <w:rsid w:val="00E45773"/>
    <w:rsid w:val="00E45FD1"/>
    <w:rsid w:val="00E461CD"/>
    <w:rsid w:val="00E47083"/>
    <w:rsid w:val="00E50026"/>
    <w:rsid w:val="00E50A55"/>
    <w:rsid w:val="00E50E0D"/>
    <w:rsid w:val="00E50EC0"/>
    <w:rsid w:val="00E5186C"/>
    <w:rsid w:val="00E5195D"/>
    <w:rsid w:val="00E5198F"/>
    <w:rsid w:val="00E51B0A"/>
    <w:rsid w:val="00E52197"/>
    <w:rsid w:val="00E522D6"/>
    <w:rsid w:val="00E52390"/>
    <w:rsid w:val="00E52683"/>
    <w:rsid w:val="00E528EA"/>
    <w:rsid w:val="00E52BC9"/>
    <w:rsid w:val="00E53708"/>
    <w:rsid w:val="00E53896"/>
    <w:rsid w:val="00E55198"/>
    <w:rsid w:val="00E55913"/>
    <w:rsid w:val="00E55B18"/>
    <w:rsid w:val="00E55CB3"/>
    <w:rsid w:val="00E56183"/>
    <w:rsid w:val="00E5682C"/>
    <w:rsid w:val="00E571FD"/>
    <w:rsid w:val="00E57CF7"/>
    <w:rsid w:val="00E6048E"/>
    <w:rsid w:val="00E60514"/>
    <w:rsid w:val="00E608A3"/>
    <w:rsid w:val="00E61B50"/>
    <w:rsid w:val="00E61E5D"/>
    <w:rsid w:val="00E61F6D"/>
    <w:rsid w:val="00E62A07"/>
    <w:rsid w:val="00E62E04"/>
    <w:rsid w:val="00E62ED3"/>
    <w:rsid w:val="00E63808"/>
    <w:rsid w:val="00E64174"/>
    <w:rsid w:val="00E64AC9"/>
    <w:rsid w:val="00E6594A"/>
    <w:rsid w:val="00E65983"/>
    <w:rsid w:val="00E65EFB"/>
    <w:rsid w:val="00E6610C"/>
    <w:rsid w:val="00E66136"/>
    <w:rsid w:val="00E66270"/>
    <w:rsid w:val="00E66406"/>
    <w:rsid w:val="00E705F7"/>
    <w:rsid w:val="00E706C7"/>
    <w:rsid w:val="00E709C4"/>
    <w:rsid w:val="00E70A28"/>
    <w:rsid w:val="00E70C84"/>
    <w:rsid w:val="00E70D96"/>
    <w:rsid w:val="00E70FAA"/>
    <w:rsid w:val="00E71694"/>
    <w:rsid w:val="00E7178B"/>
    <w:rsid w:val="00E7190A"/>
    <w:rsid w:val="00E71BEB"/>
    <w:rsid w:val="00E71C0C"/>
    <w:rsid w:val="00E7204B"/>
    <w:rsid w:val="00E72244"/>
    <w:rsid w:val="00E72367"/>
    <w:rsid w:val="00E729CB"/>
    <w:rsid w:val="00E7314F"/>
    <w:rsid w:val="00E73ED5"/>
    <w:rsid w:val="00E750AC"/>
    <w:rsid w:val="00E75259"/>
    <w:rsid w:val="00E7533E"/>
    <w:rsid w:val="00E755BB"/>
    <w:rsid w:val="00E756FC"/>
    <w:rsid w:val="00E75D56"/>
    <w:rsid w:val="00E75F1A"/>
    <w:rsid w:val="00E761C6"/>
    <w:rsid w:val="00E76987"/>
    <w:rsid w:val="00E7728F"/>
    <w:rsid w:val="00E775B7"/>
    <w:rsid w:val="00E8063F"/>
    <w:rsid w:val="00E81495"/>
    <w:rsid w:val="00E815BC"/>
    <w:rsid w:val="00E8199C"/>
    <w:rsid w:val="00E81BE3"/>
    <w:rsid w:val="00E81C69"/>
    <w:rsid w:val="00E821CC"/>
    <w:rsid w:val="00E82802"/>
    <w:rsid w:val="00E82828"/>
    <w:rsid w:val="00E82AB8"/>
    <w:rsid w:val="00E82C42"/>
    <w:rsid w:val="00E82C70"/>
    <w:rsid w:val="00E83048"/>
    <w:rsid w:val="00E831A7"/>
    <w:rsid w:val="00E84485"/>
    <w:rsid w:val="00E84FBE"/>
    <w:rsid w:val="00E85081"/>
    <w:rsid w:val="00E85CD9"/>
    <w:rsid w:val="00E86001"/>
    <w:rsid w:val="00E86FB4"/>
    <w:rsid w:val="00E872F1"/>
    <w:rsid w:val="00E87594"/>
    <w:rsid w:val="00E875B1"/>
    <w:rsid w:val="00E877E2"/>
    <w:rsid w:val="00E906D7"/>
    <w:rsid w:val="00E906FB"/>
    <w:rsid w:val="00E91933"/>
    <w:rsid w:val="00E9193F"/>
    <w:rsid w:val="00E91ACD"/>
    <w:rsid w:val="00E93062"/>
    <w:rsid w:val="00E93160"/>
    <w:rsid w:val="00E93392"/>
    <w:rsid w:val="00E93972"/>
    <w:rsid w:val="00E93BDF"/>
    <w:rsid w:val="00E9453E"/>
    <w:rsid w:val="00E94AFA"/>
    <w:rsid w:val="00E94E51"/>
    <w:rsid w:val="00E95131"/>
    <w:rsid w:val="00E9531D"/>
    <w:rsid w:val="00E9554C"/>
    <w:rsid w:val="00E955B9"/>
    <w:rsid w:val="00E956FE"/>
    <w:rsid w:val="00E95C43"/>
    <w:rsid w:val="00E95F03"/>
    <w:rsid w:val="00E960A3"/>
    <w:rsid w:val="00E961F0"/>
    <w:rsid w:val="00E96FDF"/>
    <w:rsid w:val="00E970B5"/>
    <w:rsid w:val="00EA0003"/>
    <w:rsid w:val="00EA0330"/>
    <w:rsid w:val="00EA0457"/>
    <w:rsid w:val="00EA06D7"/>
    <w:rsid w:val="00EA0807"/>
    <w:rsid w:val="00EA0822"/>
    <w:rsid w:val="00EA1075"/>
    <w:rsid w:val="00EA1D7E"/>
    <w:rsid w:val="00EA1FB6"/>
    <w:rsid w:val="00EA20FA"/>
    <w:rsid w:val="00EA2651"/>
    <w:rsid w:val="00EA2DA0"/>
    <w:rsid w:val="00EA2F6D"/>
    <w:rsid w:val="00EA32D8"/>
    <w:rsid w:val="00EA3525"/>
    <w:rsid w:val="00EA3653"/>
    <w:rsid w:val="00EA3754"/>
    <w:rsid w:val="00EA4274"/>
    <w:rsid w:val="00EA4702"/>
    <w:rsid w:val="00EA4C27"/>
    <w:rsid w:val="00EA4C48"/>
    <w:rsid w:val="00EA4CC9"/>
    <w:rsid w:val="00EA4D2E"/>
    <w:rsid w:val="00EA5658"/>
    <w:rsid w:val="00EA5B83"/>
    <w:rsid w:val="00EA5C0F"/>
    <w:rsid w:val="00EA61D4"/>
    <w:rsid w:val="00EA63A0"/>
    <w:rsid w:val="00EA6619"/>
    <w:rsid w:val="00EA6864"/>
    <w:rsid w:val="00EA70F6"/>
    <w:rsid w:val="00EA725E"/>
    <w:rsid w:val="00EA7D59"/>
    <w:rsid w:val="00EA7FB6"/>
    <w:rsid w:val="00EB00D6"/>
    <w:rsid w:val="00EB022B"/>
    <w:rsid w:val="00EB1283"/>
    <w:rsid w:val="00EB1649"/>
    <w:rsid w:val="00EB173D"/>
    <w:rsid w:val="00EB181B"/>
    <w:rsid w:val="00EB3000"/>
    <w:rsid w:val="00EB32B0"/>
    <w:rsid w:val="00EB48D1"/>
    <w:rsid w:val="00EB4A9D"/>
    <w:rsid w:val="00EB4BAD"/>
    <w:rsid w:val="00EB4BE9"/>
    <w:rsid w:val="00EB4CF0"/>
    <w:rsid w:val="00EB51D5"/>
    <w:rsid w:val="00EB5B46"/>
    <w:rsid w:val="00EB5CAA"/>
    <w:rsid w:val="00EB6249"/>
    <w:rsid w:val="00EB696E"/>
    <w:rsid w:val="00EB72F1"/>
    <w:rsid w:val="00EB7802"/>
    <w:rsid w:val="00EB7BB1"/>
    <w:rsid w:val="00EB7D96"/>
    <w:rsid w:val="00EC0173"/>
    <w:rsid w:val="00EC0296"/>
    <w:rsid w:val="00EC08EE"/>
    <w:rsid w:val="00EC119F"/>
    <w:rsid w:val="00EC121C"/>
    <w:rsid w:val="00EC1414"/>
    <w:rsid w:val="00EC2052"/>
    <w:rsid w:val="00EC2059"/>
    <w:rsid w:val="00EC23C6"/>
    <w:rsid w:val="00EC27BA"/>
    <w:rsid w:val="00EC2AD3"/>
    <w:rsid w:val="00EC2C9A"/>
    <w:rsid w:val="00EC2D26"/>
    <w:rsid w:val="00EC33A9"/>
    <w:rsid w:val="00EC3679"/>
    <w:rsid w:val="00EC3872"/>
    <w:rsid w:val="00EC3AB7"/>
    <w:rsid w:val="00EC4113"/>
    <w:rsid w:val="00EC411A"/>
    <w:rsid w:val="00EC472C"/>
    <w:rsid w:val="00EC4B3E"/>
    <w:rsid w:val="00EC507E"/>
    <w:rsid w:val="00EC5BD5"/>
    <w:rsid w:val="00EC5D96"/>
    <w:rsid w:val="00EC6200"/>
    <w:rsid w:val="00EC62C0"/>
    <w:rsid w:val="00EC6BA9"/>
    <w:rsid w:val="00EC78D3"/>
    <w:rsid w:val="00EC78EE"/>
    <w:rsid w:val="00EC7C18"/>
    <w:rsid w:val="00ED08C3"/>
    <w:rsid w:val="00ED0F77"/>
    <w:rsid w:val="00ED1472"/>
    <w:rsid w:val="00ED1777"/>
    <w:rsid w:val="00ED1BD7"/>
    <w:rsid w:val="00ED2CBD"/>
    <w:rsid w:val="00ED2D08"/>
    <w:rsid w:val="00ED30DE"/>
    <w:rsid w:val="00ED4056"/>
    <w:rsid w:val="00ED498A"/>
    <w:rsid w:val="00ED5219"/>
    <w:rsid w:val="00ED5526"/>
    <w:rsid w:val="00ED6084"/>
    <w:rsid w:val="00ED62DB"/>
    <w:rsid w:val="00ED65E1"/>
    <w:rsid w:val="00ED7705"/>
    <w:rsid w:val="00ED7FE2"/>
    <w:rsid w:val="00ED7FE5"/>
    <w:rsid w:val="00EE01FA"/>
    <w:rsid w:val="00EE0322"/>
    <w:rsid w:val="00EE03AA"/>
    <w:rsid w:val="00EE06F3"/>
    <w:rsid w:val="00EE0FC2"/>
    <w:rsid w:val="00EE12B3"/>
    <w:rsid w:val="00EE2304"/>
    <w:rsid w:val="00EE2A64"/>
    <w:rsid w:val="00EE3BCC"/>
    <w:rsid w:val="00EE4F8B"/>
    <w:rsid w:val="00EE5349"/>
    <w:rsid w:val="00EE55ED"/>
    <w:rsid w:val="00EE5615"/>
    <w:rsid w:val="00EE588A"/>
    <w:rsid w:val="00EE5A9B"/>
    <w:rsid w:val="00EE5FF1"/>
    <w:rsid w:val="00EE62C7"/>
    <w:rsid w:val="00EE6520"/>
    <w:rsid w:val="00EE7438"/>
    <w:rsid w:val="00EE76AF"/>
    <w:rsid w:val="00EE79D4"/>
    <w:rsid w:val="00EE7C04"/>
    <w:rsid w:val="00EE7FD6"/>
    <w:rsid w:val="00EF0627"/>
    <w:rsid w:val="00EF0D4B"/>
    <w:rsid w:val="00EF1832"/>
    <w:rsid w:val="00EF1FCA"/>
    <w:rsid w:val="00EF25E2"/>
    <w:rsid w:val="00EF27D4"/>
    <w:rsid w:val="00EF2C8C"/>
    <w:rsid w:val="00EF31AA"/>
    <w:rsid w:val="00EF37D4"/>
    <w:rsid w:val="00EF3CD6"/>
    <w:rsid w:val="00EF3E9E"/>
    <w:rsid w:val="00EF441F"/>
    <w:rsid w:val="00EF5DB9"/>
    <w:rsid w:val="00EF67B5"/>
    <w:rsid w:val="00EF6848"/>
    <w:rsid w:val="00EF7188"/>
    <w:rsid w:val="00EF71A1"/>
    <w:rsid w:val="00EF79BD"/>
    <w:rsid w:val="00EF7B40"/>
    <w:rsid w:val="00EF7D2E"/>
    <w:rsid w:val="00EF7EC2"/>
    <w:rsid w:val="00F004BA"/>
    <w:rsid w:val="00F00AE7"/>
    <w:rsid w:val="00F01295"/>
    <w:rsid w:val="00F01498"/>
    <w:rsid w:val="00F01608"/>
    <w:rsid w:val="00F01CA3"/>
    <w:rsid w:val="00F01F0E"/>
    <w:rsid w:val="00F02AF7"/>
    <w:rsid w:val="00F02E56"/>
    <w:rsid w:val="00F02F0D"/>
    <w:rsid w:val="00F0305D"/>
    <w:rsid w:val="00F0323F"/>
    <w:rsid w:val="00F04753"/>
    <w:rsid w:val="00F04F37"/>
    <w:rsid w:val="00F05217"/>
    <w:rsid w:val="00F0548A"/>
    <w:rsid w:val="00F062A3"/>
    <w:rsid w:val="00F06364"/>
    <w:rsid w:val="00F066B4"/>
    <w:rsid w:val="00F06A28"/>
    <w:rsid w:val="00F06CA2"/>
    <w:rsid w:val="00F073E2"/>
    <w:rsid w:val="00F0756B"/>
    <w:rsid w:val="00F07B9B"/>
    <w:rsid w:val="00F07BFA"/>
    <w:rsid w:val="00F07E1B"/>
    <w:rsid w:val="00F102AD"/>
    <w:rsid w:val="00F10307"/>
    <w:rsid w:val="00F1035E"/>
    <w:rsid w:val="00F10522"/>
    <w:rsid w:val="00F108B6"/>
    <w:rsid w:val="00F109BC"/>
    <w:rsid w:val="00F10DBF"/>
    <w:rsid w:val="00F10EB1"/>
    <w:rsid w:val="00F11916"/>
    <w:rsid w:val="00F11B99"/>
    <w:rsid w:val="00F1221E"/>
    <w:rsid w:val="00F124EE"/>
    <w:rsid w:val="00F1269E"/>
    <w:rsid w:val="00F12B55"/>
    <w:rsid w:val="00F12FD5"/>
    <w:rsid w:val="00F13123"/>
    <w:rsid w:val="00F13B56"/>
    <w:rsid w:val="00F13C42"/>
    <w:rsid w:val="00F141AF"/>
    <w:rsid w:val="00F14501"/>
    <w:rsid w:val="00F145B5"/>
    <w:rsid w:val="00F14814"/>
    <w:rsid w:val="00F14985"/>
    <w:rsid w:val="00F14B0B"/>
    <w:rsid w:val="00F15546"/>
    <w:rsid w:val="00F1580D"/>
    <w:rsid w:val="00F15AB8"/>
    <w:rsid w:val="00F15B5A"/>
    <w:rsid w:val="00F15C8B"/>
    <w:rsid w:val="00F15ED9"/>
    <w:rsid w:val="00F16E88"/>
    <w:rsid w:val="00F17798"/>
    <w:rsid w:val="00F17FB9"/>
    <w:rsid w:val="00F202C2"/>
    <w:rsid w:val="00F203BD"/>
    <w:rsid w:val="00F2070B"/>
    <w:rsid w:val="00F2085B"/>
    <w:rsid w:val="00F20912"/>
    <w:rsid w:val="00F20A2B"/>
    <w:rsid w:val="00F20BF8"/>
    <w:rsid w:val="00F20D82"/>
    <w:rsid w:val="00F21352"/>
    <w:rsid w:val="00F216E6"/>
    <w:rsid w:val="00F21C29"/>
    <w:rsid w:val="00F21D2F"/>
    <w:rsid w:val="00F21E69"/>
    <w:rsid w:val="00F223AA"/>
    <w:rsid w:val="00F22542"/>
    <w:rsid w:val="00F22DE6"/>
    <w:rsid w:val="00F232B8"/>
    <w:rsid w:val="00F2382C"/>
    <w:rsid w:val="00F23E18"/>
    <w:rsid w:val="00F23EA8"/>
    <w:rsid w:val="00F23FD9"/>
    <w:rsid w:val="00F247F9"/>
    <w:rsid w:val="00F255D6"/>
    <w:rsid w:val="00F25991"/>
    <w:rsid w:val="00F26CEF"/>
    <w:rsid w:val="00F26E5B"/>
    <w:rsid w:val="00F2702B"/>
    <w:rsid w:val="00F27972"/>
    <w:rsid w:val="00F27B65"/>
    <w:rsid w:val="00F30171"/>
    <w:rsid w:val="00F30469"/>
    <w:rsid w:val="00F3070D"/>
    <w:rsid w:val="00F309E9"/>
    <w:rsid w:val="00F30FDC"/>
    <w:rsid w:val="00F31D28"/>
    <w:rsid w:val="00F31FC2"/>
    <w:rsid w:val="00F320E2"/>
    <w:rsid w:val="00F3216C"/>
    <w:rsid w:val="00F326FF"/>
    <w:rsid w:val="00F327DA"/>
    <w:rsid w:val="00F32D04"/>
    <w:rsid w:val="00F32E2B"/>
    <w:rsid w:val="00F331A9"/>
    <w:rsid w:val="00F334D9"/>
    <w:rsid w:val="00F3361F"/>
    <w:rsid w:val="00F33B83"/>
    <w:rsid w:val="00F343E1"/>
    <w:rsid w:val="00F34563"/>
    <w:rsid w:val="00F34B6F"/>
    <w:rsid w:val="00F35433"/>
    <w:rsid w:val="00F355AE"/>
    <w:rsid w:val="00F3572C"/>
    <w:rsid w:val="00F35814"/>
    <w:rsid w:val="00F36A0F"/>
    <w:rsid w:val="00F36BAA"/>
    <w:rsid w:val="00F37A8A"/>
    <w:rsid w:val="00F40144"/>
    <w:rsid w:val="00F402AF"/>
    <w:rsid w:val="00F40A72"/>
    <w:rsid w:val="00F40E88"/>
    <w:rsid w:val="00F413A7"/>
    <w:rsid w:val="00F413EB"/>
    <w:rsid w:val="00F414EA"/>
    <w:rsid w:val="00F41774"/>
    <w:rsid w:val="00F41F7C"/>
    <w:rsid w:val="00F420B1"/>
    <w:rsid w:val="00F426A2"/>
    <w:rsid w:val="00F42CC3"/>
    <w:rsid w:val="00F434DA"/>
    <w:rsid w:val="00F43862"/>
    <w:rsid w:val="00F43CB6"/>
    <w:rsid w:val="00F43EBA"/>
    <w:rsid w:val="00F44318"/>
    <w:rsid w:val="00F4456B"/>
    <w:rsid w:val="00F44D2A"/>
    <w:rsid w:val="00F44D34"/>
    <w:rsid w:val="00F4515F"/>
    <w:rsid w:val="00F4523C"/>
    <w:rsid w:val="00F45309"/>
    <w:rsid w:val="00F45D5B"/>
    <w:rsid w:val="00F45DDA"/>
    <w:rsid w:val="00F45F5E"/>
    <w:rsid w:val="00F462BC"/>
    <w:rsid w:val="00F46567"/>
    <w:rsid w:val="00F46A33"/>
    <w:rsid w:val="00F46B85"/>
    <w:rsid w:val="00F47055"/>
    <w:rsid w:val="00F477D3"/>
    <w:rsid w:val="00F47E1B"/>
    <w:rsid w:val="00F50C9B"/>
    <w:rsid w:val="00F50FDA"/>
    <w:rsid w:val="00F5140E"/>
    <w:rsid w:val="00F5174A"/>
    <w:rsid w:val="00F522F8"/>
    <w:rsid w:val="00F523B1"/>
    <w:rsid w:val="00F523E6"/>
    <w:rsid w:val="00F5240A"/>
    <w:rsid w:val="00F524A6"/>
    <w:rsid w:val="00F52677"/>
    <w:rsid w:val="00F5278D"/>
    <w:rsid w:val="00F533AA"/>
    <w:rsid w:val="00F53F28"/>
    <w:rsid w:val="00F53F5D"/>
    <w:rsid w:val="00F543B5"/>
    <w:rsid w:val="00F543FC"/>
    <w:rsid w:val="00F545DC"/>
    <w:rsid w:val="00F54C17"/>
    <w:rsid w:val="00F54D9F"/>
    <w:rsid w:val="00F54EC3"/>
    <w:rsid w:val="00F54F58"/>
    <w:rsid w:val="00F55090"/>
    <w:rsid w:val="00F55310"/>
    <w:rsid w:val="00F55792"/>
    <w:rsid w:val="00F55799"/>
    <w:rsid w:val="00F559C1"/>
    <w:rsid w:val="00F55FEA"/>
    <w:rsid w:val="00F560C8"/>
    <w:rsid w:val="00F563FD"/>
    <w:rsid w:val="00F56818"/>
    <w:rsid w:val="00F56B43"/>
    <w:rsid w:val="00F5791F"/>
    <w:rsid w:val="00F57EB4"/>
    <w:rsid w:val="00F6009B"/>
    <w:rsid w:val="00F600EF"/>
    <w:rsid w:val="00F6084D"/>
    <w:rsid w:val="00F60947"/>
    <w:rsid w:val="00F60C40"/>
    <w:rsid w:val="00F60D41"/>
    <w:rsid w:val="00F60DDE"/>
    <w:rsid w:val="00F60E3A"/>
    <w:rsid w:val="00F615A3"/>
    <w:rsid w:val="00F61A11"/>
    <w:rsid w:val="00F61B51"/>
    <w:rsid w:val="00F61B91"/>
    <w:rsid w:val="00F61D2C"/>
    <w:rsid w:val="00F624E2"/>
    <w:rsid w:val="00F627B8"/>
    <w:rsid w:val="00F62942"/>
    <w:rsid w:val="00F62B41"/>
    <w:rsid w:val="00F62D8B"/>
    <w:rsid w:val="00F62EF4"/>
    <w:rsid w:val="00F63240"/>
    <w:rsid w:val="00F63F54"/>
    <w:rsid w:val="00F642F6"/>
    <w:rsid w:val="00F65003"/>
    <w:rsid w:val="00F653EE"/>
    <w:rsid w:val="00F655F2"/>
    <w:rsid w:val="00F656C1"/>
    <w:rsid w:val="00F65F1E"/>
    <w:rsid w:val="00F65F65"/>
    <w:rsid w:val="00F65FD2"/>
    <w:rsid w:val="00F66572"/>
    <w:rsid w:val="00F66626"/>
    <w:rsid w:val="00F66910"/>
    <w:rsid w:val="00F6695A"/>
    <w:rsid w:val="00F66AF6"/>
    <w:rsid w:val="00F6713F"/>
    <w:rsid w:val="00F677A5"/>
    <w:rsid w:val="00F6790B"/>
    <w:rsid w:val="00F67D94"/>
    <w:rsid w:val="00F705C1"/>
    <w:rsid w:val="00F70A02"/>
    <w:rsid w:val="00F71344"/>
    <w:rsid w:val="00F71736"/>
    <w:rsid w:val="00F72008"/>
    <w:rsid w:val="00F729C4"/>
    <w:rsid w:val="00F73465"/>
    <w:rsid w:val="00F73798"/>
    <w:rsid w:val="00F74643"/>
    <w:rsid w:val="00F74B74"/>
    <w:rsid w:val="00F75047"/>
    <w:rsid w:val="00F7596B"/>
    <w:rsid w:val="00F75973"/>
    <w:rsid w:val="00F76152"/>
    <w:rsid w:val="00F762DD"/>
    <w:rsid w:val="00F76981"/>
    <w:rsid w:val="00F76B7E"/>
    <w:rsid w:val="00F771DF"/>
    <w:rsid w:val="00F77306"/>
    <w:rsid w:val="00F776D4"/>
    <w:rsid w:val="00F779F6"/>
    <w:rsid w:val="00F77C55"/>
    <w:rsid w:val="00F77C82"/>
    <w:rsid w:val="00F77F8D"/>
    <w:rsid w:val="00F80DA6"/>
    <w:rsid w:val="00F81A03"/>
    <w:rsid w:val="00F81DEF"/>
    <w:rsid w:val="00F82217"/>
    <w:rsid w:val="00F822EA"/>
    <w:rsid w:val="00F827D3"/>
    <w:rsid w:val="00F83320"/>
    <w:rsid w:val="00F833E6"/>
    <w:rsid w:val="00F83968"/>
    <w:rsid w:val="00F83E85"/>
    <w:rsid w:val="00F8432B"/>
    <w:rsid w:val="00F84357"/>
    <w:rsid w:val="00F844D3"/>
    <w:rsid w:val="00F84798"/>
    <w:rsid w:val="00F84ADC"/>
    <w:rsid w:val="00F84C0E"/>
    <w:rsid w:val="00F85567"/>
    <w:rsid w:val="00F858D4"/>
    <w:rsid w:val="00F86558"/>
    <w:rsid w:val="00F86898"/>
    <w:rsid w:val="00F86F43"/>
    <w:rsid w:val="00F87252"/>
    <w:rsid w:val="00F878C2"/>
    <w:rsid w:val="00F878FC"/>
    <w:rsid w:val="00F90083"/>
    <w:rsid w:val="00F908BD"/>
    <w:rsid w:val="00F90991"/>
    <w:rsid w:val="00F90E03"/>
    <w:rsid w:val="00F91016"/>
    <w:rsid w:val="00F91D0B"/>
    <w:rsid w:val="00F92250"/>
    <w:rsid w:val="00F9297D"/>
    <w:rsid w:val="00F92B40"/>
    <w:rsid w:val="00F93170"/>
    <w:rsid w:val="00F9585F"/>
    <w:rsid w:val="00F95A1B"/>
    <w:rsid w:val="00F96072"/>
    <w:rsid w:val="00F97231"/>
    <w:rsid w:val="00F97296"/>
    <w:rsid w:val="00F97810"/>
    <w:rsid w:val="00F97825"/>
    <w:rsid w:val="00F97E3C"/>
    <w:rsid w:val="00FA0275"/>
    <w:rsid w:val="00FA06FD"/>
    <w:rsid w:val="00FA0844"/>
    <w:rsid w:val="00FA1ADE"/>
    <w:rsid w:val="00FA1D7F"/>
    <w:rsid w:val="00FA1E12"/>
    <w:rsid w:val="00FA1E79"/>
    <w:rsid w:val="00FA1EBC"/>
    <w:rsid w:val="00FA2194"/>
    <w:rsid w:val="00FA21E4"/>
    <w:rsid w:val="00FA2700"/>
    <w:rsid w:val="00FA2FDD"/>
    <w:rsid w:val="00FA32C3"/>
    <w:rsid w:val="00FA32EB"/>
    <w:rsid w:val="00FA34EE"/>
    <w:rsid w:val="00FA354C"/>
    <w:rsid w:val="00FA38C2"/>
    <w:rsid w:val="00FA39AE"/>
    <w:rsid w:val="00FA45FF"/>
    <w:rsid w:val="00FA48BF"/>
    <w:rsid w:val="00FA4B44"/>
    <w:rsid w:val="00FA4BF9"/>
    <w:rsid w:val="00FA5529"/>
    <w:rsid w:val="00FA5A50"/>
    <w:rsid w:val="00FA5E1A"/>
    <w:rsid w:val="00FA6136"/>
    <w:rsid w:val="00FA6690"/>
    <w:rsid w:val="00FA6F62"/>
    <w:rsid w:val="00FA7224"/>
    <w:rsid w:val="00FA72FD"/>
    <w:rsid w:val="00FA73E3"/>
    <w:rsid w:val="00FA76D1"/>
    <w:rsid w:val="00FA7A28"/>
    <w:rsid w:val="00FA7CDF"/>
    <w:rsid w:val="00FB0028"/>
    <w:rsid w:val="00FB00F6"/>
    <w:rsid w:val="00FB0500"/>
    <w:rsid w:val="00FB05FE"/>
    <w:rsid w:val="00FB0BB2"/>
    <w:rsid w:val="00FB0C42"/>
    <w:rsid w:val="00FB0E7C"/>
    <w:rsid w:val="00FB111C"/>
    <w:rsid w:val="00FB1720"/>
    <w:rsid w:val="00FB19BB"/>
    <w:rsid w:val="00FB1B7E"/>
    <w:rsid w:val="00FB1F11"/>
    <w:rsid w:val="00FB2C4C"/>
    <w:rsid w:val="00FB2D77"/>
    <w:rsid w:val="00FB362E"/>
    <w:rsid w:val="00FB408D"/>
    <w:rsid w:val="00FB40B0"/>
    <w:rsid w:val="00FB4764"/>
    <w:rsid w:val="00FB4876"/>
    <w:rsid w:val="00FB4D0F"/>
    <w:rsid w:val="00FB4FED"/>
    <w:rsid w:val="00FB5800"/>
    <w:rsid w:val="00FB5E23"/>
    <w:rsid w:val="00FB6671"/>
    <w:rsid w:val="00FB6AF3"/>
    <w:rsid w:val="00FB7093"/>
    <w:rsid w:val="00FB7D1F"/>
    <w:rsid w:val="00FB7FA4"/>
    <w:rsid w:val="00FB7FFD"/>
    <w:rsid w:val="00FC0434"/>
    <w:rsid w:val="00FC0E5A"/>
    <w:rsid w:val="00FC0F47"/>
    <w:rsid w:val="00FC1032"/>
    <w:rsid w:val="00FC10E3"/>
    <w:rsid w:val="00FC11B9"/>
    <w:rsid w:val="00FC132C"/>
    <w:rsid w:val="00FC14E9"/>
    <w:rsid w:val="00FC169E"/>
    <w:rsid w:val="00FC1802"/>
    <w:rsid w:val="00FC20B0"/>
    <w:rsid w:val="00FC24B8"/>
    <w:rsid w:val="00FC2D75"/>
    <w:rsid w:val="00FC308E"/>
    <w:rsid w:val="00FC3687"/>
    <w:rsid w:val="00FC397C"/>
    <w:rsid w:val="00FC4056"/>
    <w:rsid w:val="00FC4161"/>
    <w:rsid w:val="00FC42A7"/>
    <w:rsid w:val="00FC4723"/>
    <w:rsid w:val="00FC4B4C"/>
    <w:rsid w:val="00FC4BF4"/>
    <w:rsid w:val="00FC58E1"/>
    <w:rsid w:val="00FC5EA8"/>
    <w:rsid w:val="00FC639D"/>
    <w:rsid w:val="00FC6B76"/>
    <w:rsid w:val="00FC6D5A"/>
    <w:rsid w:val="00FC70CA"/>
    <w:rsid w:val="00FC7823"/>
    <w:rsid w:val="00FC7852"/>
    <w:rsid w:val="00FC795B"/>
    <w:rsid w:val="00FC7CF0"/>
    <w:rsid w:val="00FC7E6B"/>
    <w:rsid w:val="00FD0513"/>
    <w:rsid w:val="00FD0B66"/>
    <w:rsid w:val="00FD0CB2"/>
    <w:rsid w:val="00FD183F"/>
    <w:rsid w:val="00FD2363"/>
    <w:rsid w:val="00FD2908"/>
    <w:rsid w:val="00FD2FF3"/>
    <w:rsid w:val="00FD4690"/>
    <w:rsid w:val="00FD48F6"/>
    <w:rsid w:val="00FD54B0"/>
    <w:rsid w:val="00FD58E5"/>
    <w:rsid w:val="00FD5C59"/>
    <w:rsid w:val="00FD5CF8"/>
    <w:rsid w:val="00FD6138"/>
    <w:rsid w:val="00FD6C2B"/>
    <w:rsid w:val="00FD7C05"/>
    <w:rsid w:val="00FD7D71"/>
    <w:rsid w:val="00FD7F9A"/>
    <w:rsid w:val="00FE0566"/>
    <w:rsid w:val="00FE05C1"/>
    <w:rsid w:val="00FE065B"/>
    <w:rsid w:val="00FE15E6"/>
    <w:rsid w:val="00FE2147"/>
    <w:rsid w:val="00FE2ECA"/>
    <w:rsid w:val="00FE333C"/>
    <w:rsid w:val="00FE35E6"/>
    <w:rsid w:val="00FE3FE8"/>
    <w:rsid w:val="00FE549E"/>
    <w:rsid w:val="00FE5D49"/>
    <w:rsid w:val="00FE65E0"/>
    <w:rsid w:val="00FE680E"/>
    <w:rsid w:val="00FE6846"/>
    <w:rsid w:val="00FE6D74"/>
    <w:rsid w:val="00FE7D0D"/>
    <w:rsid w:val="00FF099E"/>
    <w:rsid w:val="00FF1387"/>
    <w:rsid w:val="00FF32A0"/>
    <w:rsid w:val="00FF36DD"/>
    <w:rsid w:val="00FF3850"/>
    <w:rsid w:val="00FF38BA"/>
    <w:rsid w:val="00FF3BC2"/>
    <w:rsid w:val="00FF3F70"/>
    <w:rsid w:val="00FF486D"/>
    <w:rsid w:val="00FF4E8D"/>
    <w:rsid w:val="00FF5611"/>
    <w:rsid w:val="00FF5707"/>
    <w:rsid w:val="00FF5AC8"/>
    <w:rsid w:val="00FF5C33"/>
    <w:rsid w:val="00FF5EF0"/>
    <w:rsid w:val="00FF5F5D"/>
    <w:rsid w:val="00FF604D"/>
    <w:rsid w:val="00FF65B5"/>
    <w:rsid w:val="00FF6620"/>
    <w:rsid w:val="00FF6ADE"/>
    <w:rsid w:val="00FF6DF3"/>
    <w:rsid w:val="00FF7407"/>
    <w:rsid w:val="00FF7BC9"/>
    <w:rsid w:val="066D9CF9"/>
    <w:rsid w:val="2112886C"/>
    <w:rsid w:val="212078CE"/>
    <w:rsid w:val="351EAB66"/>
    <w:rsid w:val="3705EA57"/>
    <w:rsid w:val="37B62B30"/>
    <w:rsid w:val="3E03A2B8"/>
    <w:rsid w:val="41887FB0"/>
    <w:rsid w:val="431DF5CC"/>
    <w:rsid w:val="45750634"/>
    <w:rsid w:val="5AD57D7A"/>
    <w:rsid w:val="752FF4EE"/>
    <w:rsid w:val="76A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C4DB"/>
  <w15:docId w15:val="{56C33870-7FD2-49EC-8233-5B58162D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000"/>
    <w:rPr>
      <w:lang w:val="es-MX"/>
    </w:rPr>
  </w:style>
  <w:style w:type="paragraph" w:styleId="Ttulo1">
    <w:name w:val="heading 1"/>
    <w:basedOn w:val="Normal"/>
    <w:next w:val="Normal"/>
    <w:link w:val="Ttulo1Car"/>
    <w:uiPriority w:val="9"/>
    <w:qFormat/>
    <w:rsid w:val="00C41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2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D3A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17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5A2561"/>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39"/>
    <w:rsid w:val="0067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10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033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1FF"/>
    <w:rPr>
      <w:lang w:val="es-MX"/>
    </w:rPr>
  </w:style>
  <w:style w:type="paragraph" w:styleId="Piedepgina">
    <w:name w:val="footer"/>
    <w:basedOn w:val="Normal"/>
    <w:link w:val="PiedepginaCar"/>
    <w:uiPriority w:val="99"/>
    <w:unhideWhenUsed/>
    <w:rsid w:val="00033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1FF"/>
    <w:rPr>
      <w:lang w:val="es-MX"/>
    </w:rPr>
  </w:style>
  <w:style w:type="paragraph" w:styleId="NormalWeb">
    <w:name w:val="Normal (Web)"/>
    <w:basedOn w:val="Normal"/>
    <w:uiPriority w:val="99"/>
    <w:semiHidden/>
    <w:unhideWhenUsed/>
    <w:rsid w:val="00EC620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Textodeglobo">
    <w:name w:val="Balloon Text"/>
    <w:basedOn w:val="Normal"/>
    <w:link w:val="TextodegloboCar"/>
    <w:uiPriority w:val="99"/>
    <w:semiHidden/>
    <w:unhideWhenUsed/>
    <w:rsid w:val="003F4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43"/>
    <w:rPr>
      <w:rFonts w:ascii="Segoe UI" w:hAnsi="Segoe UI" w:cs="Segoe UI"/>
      <w:sz w:val="18"/>
      <w:szCs w:val="18"/>
      <w:lang w:val="es-MX"/>
    </w:rPr>
  </w:style>
  <w:style w:type="paragraph" w:styleId="Prrafodelista">
    <w:name w:val="List Paragraph"/>
    <w:aliases w:val="TITUTOS"/>
    <w:basedOn w:val="Normal"/>
    <w:link w:val="PrrafodelistaCar"/>
    <w:uiPriority w:val="34"/>
    <w:qFormat/>
    <w:rsid w:val="00613B5E"/>
    <w:pPr>
      <w:ind w:left="720"/>
      <w:contextualSpacing/>
    </w:pPr>
  </w:style>
  <w:style w:type="character" w:customStyle="1" w:styleId="PrrafodelistaCar">
    <w:name w:val="Párrafo de lista Car"/>
    <w:aliases w:val="TITUTOS Car"/>
    <w:basedOn w:val="Fuentedeprrafopredeter"/>
    <w:link w:val="Prrafodelista"/>
    <w:uiPriority w:val="34"/>
    <w:rsid w:val="00BC1E63"/>
    <w:rPr>
      <w:lang w:val="es-MX"/>
    </w:rPr>
  </w:style>
  <w:style w:type="paragraph" w:styleId="TtuloTDC">
    <w:name w:val="TOC Heading"/>
    <w:basedOn w:val="Ttulo1"/>
    <w:next w:val="Normal"/>
    <w:uiPriority w:val="39"/>
    <w:unhideWhenUsed/>
    <w:qFormat/>
    <w:rsid w:val="00C41741"/>
    <w:pPr>
      <w:outlineLvl w:val="9"/>
    </w:pPr>
    <w:rPr>
      <w:lang w:val="en-US"/>
    </w:rPr>
  </w:style>
  <w:style w:type="paragraph" w:styleId="TDC1">
    <w:name w:val="toc 1"/>
    <w:basedOn w:val="Normal"/>
    <w:next w:val="Normal"/>
    <w:autoRedefine/>
    <w:uiPriority w:val="39"/>
    <w:unhideWhenUsed/>
    <w:qFormat/>
    <w:rsid w:val="00263275"/>
    <w:pPr>
      <w:tabs>
        <w:tab w:val="right" w:leader="dot" w:pos="10490"/>
      </w:tabs>
      <w:spacing w:before="240"/>
    </w:pPr>
  </w:style>
  <w:style w:type="character" w:styleId="Hipervnculo">
    <w:name w:val="Hyperlink"/>
    <w:basedOn w:val="Fuentedeprrafopredeter"/>
    <w:uiPriority w:val="99"/>
    <w:unhideWhenUsed/>
    <w:rsid w:val="00252CA7"/>
    <w:rPr>
      <w:color w:val="0563C1" w:themeColor="hyperlink"/>
      <w:u w:val="single"/>
    </w:rPr>
  </w:style>
  <w:style w:type="paragraph" w:styleId="Textonotapie">
    <w:name w:val="footnote text"/>
    <w:basedOn w:val="Normal"/>
    <w:link w:val="TextonotapieCar"/>
    <w:uiPriority w:val="99"/>
    <w:semiHidden/>
    <w:unhideWhenUsed/>
    <w:rsid w:val="00B16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698A"/>
    <w:rPr>
      <w:sz w:val="20"/>
      <w:szCs w:val="20"/>
      <w:lang w:val="es-MX"/>
    </w:rPr>
  </w:style>
  <w:style w:type="character" w:styleId="Refdenotaalpie">
    <w:name w:val="footnote reference"/>
    <w:basedOn w:val="Fuentedeprrafopredeter"/>
    <w:uiPriority w:val="99"/>
    <w:semiHidden/>
    <w:unhideWhenUsed/>
    <w:rsid w:val="00B1698A"/>
    <w:rPr>
      <w:vertAlign w:val="superscript"/>
    </w:rPr>
  </w:style>
  <w:style w:type="character" w:styleId="Refdecomentario">
    <w:name w:val="annotation reference"/>
    <w:basedOn w:val="Fuentedeprrafopredeter"/>
    <w:uiPriority w:val="99"/>
    <w:semiHidden/>
    <w:unhideWhenUsed/>
    <w:rsid w:val="00DB76A2"/>
    <w:rPr>
      <w:sz w:val="16"/>
      <w:szCs w:val="16"/>
    </w:rPr>
  </w:style>
  <w:style w:type="paragraph" w:styleId="Textocomentario">
    <w:name w:val="annotation text"/>
    <w:basedOn w:val="Normal"/>
    <w:link w:val="TextocomentarioCar"/>
    <w:uiPriority w:val="99"/>
    <w:unhideWhenUsed/>
    <w:rsid w:val="00DB76A2"/>
    <w:pPr>
      <w:spacing w:line="240" w:lineRule="auto"/>
    </w:pPr>
    <w:rPr>
      <w:sz w:val="20"/>
      <w:szCs w:val="20"/>
    </w:rPr>
  </w:style>
  <w:style w:type="character" w:customStyle="1" w:styleId="TextocomentarioCar">
    <w:name w:val="Texto comentario Car"/>
    <w:basedOn w:val="Fuentedeprrafopredeter"/>
    <w:link w:val="Textocomentario"/>
    <w:uiPriority w:val="99"/>
    <w:rsid w:val="00DB76A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B76A2"/>
    <w:rPr>
      <w:b/>
      <w:bCs/>
    </w:rPr>
  </w:style>
  <w:style w:type="character" w:customStyle="1" w:styleId="AsuntodelcomentarioCar">
    <w:name w:val="Asunto del comentario Car"/>
    <w:basedOn w:val="TextocomentarioCar"/>
    <w:link w:val="Asuntodelcomentario"/>
    <w:uiPriority w:val="99"/>
    <w:semiHidden/>
    <w:rsid w:val="00DB76A2"/>
    <w:rPr>
      <w:b/>
      <w:bCs/>
      <w:sz w:val="20"/>
      <w:szCs w:val="20"/>
      <w:lang w:val="es-MX"/>
    </w:rPr>
  </w:style>
  <w:style w:type="paragraph" w:styleId="Revisin">
    <w:name w:val="Revision"/>
    <w:hidden/>
    <w:uiPriority w:val="99"/>
    <w:semiHidden/>
    <w:rsid w:val="00763DA0"/>
    <w:pPr>
      <w:spacing w:after="0" w:line="240" w:lineRule="auto"/>
    </w:pPr>
    <w:rPr>
      <w:lang w:val="es-MX"/>
    </w:rPr>
  </w:style>
  <w:style w:type="paragraph" w:styleId="TDC2">
    <w:name w:val="toc 2"/>
    <w:basedOn w:val="Normal"/>
    <w:next w:val="Normal"/>
    <w:autoRedefine/>
    <w:uiPriority w:val="39"/>
    <w:unhideWhenUsed/>
    <w:rsid w:val="004047D9"/>
    <w:pPr>
      <w:tabs>
        <w:tab w:val="right" w:leader="dot" w:pos="10773"/>
      </w:tabs>
      <w:spacing w:after="100"/>
      <w:ind w:left="220"/>
    </w:pPr>
  </w:style>
  <w:style w:type="character" w:customStyle="1" w:styleId="Mencinsinresolver1">
    <w:name w:val="Mención sin resolver1"/>
    <w:basedOn w:val="Fuentedeprrafopredeter"/>
    <w:uiPriority w:val="99"/>
    <w:semiHidden/>
    <w:unhideWhenUsed/>
    <w:rsid w:val="00204ED0"/>
    <w:rPr>
      <w:color w:val="605E5C"/>
      <w:shd w:val="clear" w:color="auto" w:fill="E1DFDD"/>
    </w:rPr>
  </w:style>
  <w:style w:type="paragraph" w:customStyle="1" w:styleId="msonormal0">
    <w:name w:val="msonormal"/>
    <w:basedOn w:val="Normal"/>
    <w:rsid w:val="004B76C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4B76C5"/>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xl65">
    <w:name w:val="xl6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6">
    <w:name w:val="xl6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7">
    <w:name w:val="xl6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8">
    <w:name w:val="xl6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9">
    <w:name w:val="xl69"/>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0">
    <w:name w:val="xl7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1">
    <w:name w:val="xl71"/>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2">
    <w:name w:val="xl7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3">
    <w:name w:val="xl73"/>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4">
    <w:name w:val="xl7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5">
    <w:name w:val="xl7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6">
    <w:name w:val="xl76"/>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7">
    <w:name w:val="xl7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8">
    <w:name w:val="xl78"/>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79">
    <w:name w:val="xl79"/>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0">
    <w:name w:val="xl80"/>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1">
    <w:name w:val="xl8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2">
    <w:name w:val="xl82"/>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3">
    <w:name w:val="xl83"/>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4">
    <w:name w:val="xl84"/>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5">
    <w:name w:val="xl8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6">
    <w:name w:val="xl8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7">
    <w:name w:val="xl8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8">
    <w:name w:val="xl88"/>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89">
    <w:name w:val="xl8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0">
    <w:name w:val="xl90"/>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1">
    <w:name w:val="xl91"/>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2">
    <w:name w:val="xl92"/>
    <w:basedOn w:val="Normal"/>
    <w:rsid w:val="004B76C5"/>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93">
    <w:name w:val="xl93"/>
    <w:basedOn w:val="Normal"/>
    <w:rsid w:val="004B76C5"/>
    <w:pP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4">
    <w:name w:val="xl94"/>
    <w:basedOn w:val="Normal"/>
    <w:rsid w:val="004B76C5"/>
    <w:pPr>
      <w:pBdr>
        <w:lef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5">
    <w:name w:val="xl95"/>
    <w:basedOn w:val="Normal"/>
    <w:rsid w:val="004B76C5"/>
    <w:pPr>
      <w:pBdr>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6">
    <w:name w:val="xl96"/>
    <w:basedOn w:val="Normal"/>
    <w:rsid w:val="004B76C5"/>
    <w:pPr>
      <w:pBdr>
        <w:left w:val="single" w:sz="8" w:space="0" w:color="BFBFBF"/>
        <w:bottom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97">
    <w:name w:val="xl9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8">
    <w:name w:val="xl9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99">
    <w:name w:val="xl9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00">
    <w:name w:val="xl100"/>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1">
    <w:name w:val="xl101"/>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2">
    <w:name w:val="xl10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103">
    <w:name w:val="xl10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4">
    <w:name w:val="xl104"/>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5">
    <w:name w:val="xl10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6">
    <w:name w:val="xl10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7">
    <w:name w:val="xl107"/>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8">
    <w:name w:val="xl1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09">
    <w:name w:val="xl10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0">
    <w:name w:val="xl1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1">
    <w:name w:val="xl11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2">
    <w:name w:val="xl112"/>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3">
    <w:name w:val="xl113"/>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4">
    <w:name w:val="xl11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5">
    <w:name w:val="xl115"/>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6">
    <w:name w:val="xl116"/>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17">
    <w:name w:val="xl117"/>
    <w:basedOn w:val="Normal"/>
    <w:rsid w:val="004B76C5"/>
    <w:pPr>
      <w:pBdr>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8">
    <w:name w:val="xl118"/>
    <w:basedOn w:val="Normal"/>
    <w:rsid w:val="004B76C5"/>
    <w:pPr>
      <w:pBdr>
        <w:bottom w:val="single" w:sz="8" w:space="0" w:color="BFBFBF"/>
        <w:right w:val="single" w:sz="8" w:space="0" w:color="BFBFBF"/>
      </w:pBdr>
      <w:shd w:val="clear" w:color="000000" w:fill="DDEBF7"/>
      <w:spacing w:before="100" w:beforeAutospacing="1" w:after="100" w:afterAutospacing="1" w:line="240" w:lineRule="auto"/>
    </w:pPr>
    <w:rPr>
      <w:rFonts w:ascii="Century Gothic" w:eastAsia="Times New Roman" w:hAnsi="Century Gothic" w:cs="Times New Roman"/>
      <w:sz w:val="17"/>
      <w:szCs w:val="17"/>
      <w:lang w:eastAsia="es-MX"/>
    </w:rPr>
  </w:style>
  <w:style w:type="paragraph" w:customStyle="1" w:styleId="xl119">
    <w:name w:val="xl119"/>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0">
    <w:name w:val="xl120"/>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1">
    <w:name w:val="xl121"/>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2">
    <w:name w:val="xl12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3">
    <w:name w:val="xl12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4">
    <w:name w:val="xl124"/>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5">
    <w:name w:val="xl12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26">
    <w:name w:val="xl126"/>
    <w:basedOn w:val="Normal"/>
    <w:rsid w:val="004B76C5"/>
    <w:pPr>
      <w:pBdr>
        <w:top w:val="single" w:sz="4"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7">
    <w:name w:val="xl127"/>
    <w:basedOn w:val="Normal"/>
    <w:rsid w:val="004B76C5"/>
    <w:pPr>
      <w:pBdr>
        <w:top w:val="single" w:sz="8" w:space="0" w:color="BFBFBF"/>
        <w:left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8">
    <w:name w:val="xl128"/>
    <w:basedOn w:val="Normal"/>
    <w:rsid w:val="004B76C5"/>
    <w:pPr>
      <w:pBdr>
        <w:top w:val="single" w:sz="8" w:space="0" w:color="BFBFBF"/>
        <w:left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29">
    <w:name w:val="xl129"/>
    <w:basedOn w:val="Normal"/>
    <w:rsid w:val="004B76C5"/>
    <w:pPr>
      <w:pBdr>
        <w:top w:val="single" w:sz="8"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0">
    <w:name w:val="xl130"/>
    <w:basedOn w:val="Normal"/>
    <w:rsid w:val="004B76C5"/>
    <w:pPr>
      <w:pBdr>
        <w:top w:val="single" w:sz="4" w:space="0" w:color="BFBFBF"/>
        <w:left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1">
    <w:name w:val="xl131"/>
    <w:basedOn w:val="Normal"/>
    <w:rsid w:val="004B76C5"/>
    <w:pPr>
      <w:pBdr>
        <w:top w:val="single" w:sz="8"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2">
    <w:name w:val="xl132"/>
    <w:basedOn w:val="Normal"/>
    <w:rsid w:val="004B76C5"/>
    <w:pPr>
      <w:pBdr>
        <w:top w:val="single" w:sz="4" w:space="0" w:color="BFBFBF"/>
        <w:bottom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3">
    <w:name w:val="xl133"/>
    <w:basedOn w:val="Normal"/>
    <w:rsid w:val="004B76C5"/>
    <w:pPr>
      <w:pBdr>
        <w:top w:val="single" w:sz="8"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4">
    <w:name w:val="xl134"/>
    <w:basedOn w:val="Normal"/>
    <w:rsid w:val="004B76C5"/>
    <w:pPr>
      <w:pBdr>
        <w:top w:val="single" w:sz="4" w:space="0" w:color="BFBFBF"/>
        <w:left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5">
    <w:name w:val="xl135"/>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36">
    <w:name w:val="xl136"/>
    <w:basedOn w:val="Normal"/>
    <w:rsid w:val="004B76C5"/>
    <w:pPr>
      <w:pBdr>
        <w:top w:val="single" w:sz="8"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7">
    <w:name w:val="xl137"/>
    <w:basedOn w:val="Normal"/>
    <w:rsid w:val="004B76C5"/>
    <w:pPr>
      <w:pBdr>
        <w:top w:val="single" w:sz="4" w:space="0" w:color="BFBFBF"/>
        <w:bottom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38">
    <w:name w:val="xl138"/>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39">
    <w:name w:val="xl139"/>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0">
    <w:name w:val="xl140"/>
    <w:basedOn w:val="Normal"/>
    <w:rsid w:val="004B76C5"/>
    <w:pPr>
      <w:pBdr>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1">
    <w:name w:val="xl141"/>
    <w:basedOn w:val="Normal"/>
    <w:rsid w:val="004B76C5"/>
    <w:pPr>
      <w:pBdr>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2">
    <w:name w:val="xl142"/>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43">
    <w:name w:val="xl143"/>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4">
    <w:name w:val="xl144"/>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5">
    <w:name w:val="xl145"/>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6">
    <w:name w:val="xl146"/>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7">
    <w:name w:val="xl147"/>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8">
    <w:name w:val="xl148"/>
    <w:basedOn w:val="Normal"/>
    <w:rsid w:val="004B76C5"/>
    <w:pPr>
      <w:pBdr>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49">
    <w:name w:val="xl149"/>
    <w:basedOn w:val="Normal"/>
    <w:rsid w:val="004B76C5"/>
    <w:pPr>
      <w:pBdr>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50">
    <w:name w:val="xl150"/>
    <w:basedOn w:val="Normal"/>
    <w:rsid w:val="004B76C5"/>
    <w:pPr>
      <w:pBdr>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1">
    <w:name w:val="xl151"/>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152">
    <w:name w:val="xl152"/>
    <w:basedOn w:val="Normal"/>
    <w:rsid w:val="004B76C5"/>
    <w:pPr>
      <w:pBdr>
        <w:top w:val="single" w:sz="8" w:space="0" w:color="BFBFBF"/>
        <w:left w:val="single" w:sz="8"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3">
    <w:name w:val="xl153"/>
    <w:basedOn w:val="Normal"/>
    <w:rsid w:val="004B76C5"/>
    <w:pPr>
      <w:pBdr>
        <w:top w:val="single" w:sz="8" w:space="0" w:color="BFBFBF"/>
        <w:left w:val="single" w:sz="4" w:space="0" w:color="BFBFBF"/>
        <w:bottom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4">
    <w:name w:val="xl154"/>
    <w:basedOn w:val="Normal"/>
    <w:rsid w:val="004B76C5"/>
    <w:pPr>
      <w:pBdr>
        <w:top w:val="single" w:sz="8" w:space="0" w:color="BFBFBF"/>
        <w:left w:val="single" w:sz="4" w:space="0" w:color="BFBFBF"/>
        <w:bottom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5">
    <w:name w:val="xl155"/>
    <w:basedOn w:val="Normal"/>
    <w:rsid w:val="004B76C5"/>
    <w:pPr>
      <w:pBdr>
        <w:top w:val="single" w:sz="4" w:space="0" w:color="BFBFBF"/>
        <w:left w:val="single" w:sz="8"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6">
    <w:name w:val="xl156"/>
    <w:basedOn w:val="Normal"/>
    <w:rsid w:val="004B76C5"/>
    <w:pPr>
      <w:pBdr>
        <w:top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7">
    <w:name w:val="xl157"/>
    <w:basedOn w:val="Normal"/>
    <w:rsid w:val="004B76C5"/>
    <w:pPr>
      <w:pBdr>
        <w:top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8">
    <w:name w:val="xl158"/>
    <w:basedOn w:val="Normal"/>
    <w:rsid w:val="004B76C5"/>
    <w:pPr>
      <w:pBdr>
        <w:top w:val="single" w:sz="4" w:space="0" w:color="BFBFBF"/>
        <w:left w:val="single" w:sz="4"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59">
    <w:name w:val="xl159"/>
    <w:basedOn w:val="Normal"/>
    <w:rsid w:val="004B76C5"/>
    <w:pPr>
      <w:pBdr>
        <w:top w:val="single" w:sz="4" w:space="0" w:color="BFBFBF"/>
        <w:left w:val="single" w:sz="4" w:space="0" w:color="BFBFBF"/>
        <w:right w:val="single" w:sz="8"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0">
    <w:name w:val="xl160"/>
    <w:basedOn w:val="Normal"/>
    <w:rsid w:val="004B76C5"/>
    <w:pPr>
      <w:pBdr>
        <w:top w:val="single" w:sz="4" w:space="0" w:color="BFBFBF"/>
        <w:left w:val="single" w:sz="8" w:space="0" w:color="BFBFBF"/>
        <w:right w:val="single" w:sz="4" w:space="0" w:color="BFBFBF"/>
      </w:pBdr>
      <w:shd w:val="clear" w:color="000000" w:fill="1F3864"/>
      <w:spacing w:before="100" w:beforeAutospacing="1" w:after="100" w:afterAutospacing="1" w:line="240" w:lineRule="auto"/>
      <w:jc w:val="center"/>
      <w:textAlignment w:val="center"/>
    </w:pPr>
    <w:rPr>
      <w:rFonts w:ascii="Century Gothic" w:eastAsia="Times New Roman" w:hAnsi="Century Gothic" w:cs="Times New Roman"/>
      <w:color w:val="FFFFFF"/>
      <w:sz w:val="17"/>
      <w:szCs w:val="17"/>
      <w:lang w:eastAsia="es-MX"/>
    </w:rPr>
  </w:style>
  <w:style w:type="paragraph" w:customStyle="1" w:styleId="xl161">
    <w:name w:val="xl161"/>
    <w:basedOn w:val="Normal"/>
    <w:rsid w:val="004B76C5"/>
    <w:pPr>
      <w:pBdr>
        <w:top w:val="single" w:sz="8" w:space="0" w:color="BFBFBF"/>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2">
    <w:name w:val="xl162"/>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63">
    <w:name w:val="xl163"/>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64">
    <w:name w:val="xl164"/>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5">
    <w:name w:val="xl165"/>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6">
    <w:name w:val="xl166"/>
    <w:basedOn w:val="Normal"/>
    <w:rsid w:val="004B76C5"/>
    <w:pPr>
      <w:pBdr>
        <w:top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7">
    <w:name w:val="xl167"/>
    <w:basedOn w:val="Normal"/>
    <w:rsid w:val="004B76C5"/>
    <w:pPr>
      <w:pBdr>
        <w:top w:val="single" w:sz="8" w:space="0" w:color="BFBFBF"/>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8">
    <w:name w:val="xl168"/>
    <w:basedOn w:val="Normal"/>
    <w:rsid w:val="004B76C5"/>
    <w:pPr>
      <w:pBdr>
        <w:top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69">
    <w:name w:val="xl169"/>
    <w:basedOn w:val="Normal"/>
    <w:rsid w:val="004B76C5"/>
    <w:pPr>
      <w:pBdr>
        <w:top w:val="single" w:sz="8" w:space="0" w:color="BFBFBF"/>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0">
    <w:name w:val="xl170"/>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1">
    <w:name w:val="xl171"/>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72">
    <w:name w:val="xl17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3">
    <w:name w:val="xl17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4">
    <w:name w:val="xl174"/>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5">
    <w:name w:val="xl175"/>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6">
    <w:name w:val="xl176"/>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7">
    <w:name w:val="xl177"/>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78">
    <w:name w:val="xl178"/>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79">
    <w:name w:val="xl179"/>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0">
    <w:name w:val="xl180"/>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1">
    <w:name w:val="xl181"/>
    <w:basedOn w:val="Normal"/>
    <w:rsid w:val="004B76C5"/>
    <w:pPr>
      <w:pBdr>
        <w:top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82">
    <w:name w:val="xl182"/>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3">
    <w:name w:val="xl183"/>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4">
    <w:name w:val="xl184"/>
    <w:basedOn w:val="Normal"/>
    <w:rsid w:val="004B76C5"/>
    <w:pPr>
      <w:pBdr>
        <w:top w:val="single" w:sz="8" w:space="0" w:color="BFBFBF"/>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5">
    <w:name w:val="xl185"/>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86">
    <w:name w:val="xl186"/>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7">
    <w:name w:val="xl187"/>
    <w:basedOn w:val="Normal"/>
    <w:rsid w:val="004B76C5"/>
    <w:pPr>
      <w:pBdr>
        <w:left w:val="single" w:sz="8" w:space="0" w:color="BFBFBF"/>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8">
    <w:name w:val="xl188"/>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89">
    <w:name w:val="xl18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0">
    <w:name w:val="xl190"/>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1">
    <w:name w:val="xl191"/>
    <w:basedOn w:val="Normal"/>
    <w:rsid w:val="004B76C5"/>
    <w:pPr>
      <w:pBdr>
        <w:top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2">
    <w:name w:val="xl192"/>
    <w:basedOn w:val="Normal"/>
    <w:rsid w:val="004B76C5"/>
    <w:pPr>
      <w:pBdr>
        <w:top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3">
    <w:name w:val="xl193"/>
    <w:basedOn w:val="Normal"/>
    <w:rsid w:val="004B76C5"/>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4">
    <w:name w:val="xl194"/>
    <w:basedOn w:val="Normal"/>
    <w:rsid w:val="004B76C5"/>
    <w:pPr>
      <w:pBdr>
        <w:bottom w:val="single" w:sz="8" w:space="0" w:color="BFBFBF"/>
        <w:right w:val="single" w:sz="8" w:space="0" w:color="BFBFBF"/>
      </w:pBdr>
      <w:shd w:val="clear" w:color="000000" w:fill="DDEBF7"/>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5">
    <w:name w:val="xl195"/>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6">
    <w:name w:val="xl196"/>
    <w:basedOn w:val="Normal"/>
    <w:rsid w:val="004B76C5"/>
    <w:pPr>
      <w:pBdr>
        <w:top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197">
    <w:name w:val="xl197"/>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198">
    <w:name w:val="xl19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199">
    <w:name w:val="xl19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0">
    <w:name w:val="xl200"/>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1">
    <w:name w:val="xl20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2">
    <w:name w:val="xl202"/>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3">
    <w:name w:val="xl203"/>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4">
    <w:name w:val="xl204"/>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05">
    <w:name w:val="xl205"/>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6">
    <w:name w:val="xl206"/>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7">
    <w:name w:val="xl207"/>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08">
    <w:name w:val="xl208"/>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09">
    <w:name w:val="xl209"/>
    <w:basedOn w:val="Normal"/>
    <w:rsid w:val="004B76C5"/>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0">
    <w:name w:val="xl210"/>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1">
    <w:name w:val="xl211"/>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2">
    <w:name w:val="xl212"/>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3">
    <w:name w:val="xl213"/>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14">
    <w:name w:val="xl214"/>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5">
    <w:name w:val="xl21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6">
    <w:name w:val="xl21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7">
    <w:name w:val="xl217"/>
    <w:basedOn w:val="Normal"/>
    <w:rsid w:val="004B76C5"/>
    <w:pPr>
      <w:pBdr>
        <w:bottom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8">
    <w:name w:val="xl218"/>
    <w:basedOn w:val="Normal"/>
    <w:rsid w:val="004B76C5"/>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19">
    <w:name w:val="xl219"/>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0">
    <w:name w:val="xl220"/>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1">
    <w:name w:val="xl221"/>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2">
    <w:name w:val="xl222"/>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3">
    <w:name w:val="xl223"/>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4">
    <w:name w:val="xl22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5">
    <w:name w:val="xl225"/>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2F75B5"/>
      <w:sz w:val="17"/>
      <w:szCs w:val="17"/>
      <w:lang w:eastAsia="es-MX"/>
    </w:rPr>
  </w:style>
  <w:style w:type="paragraph" w:customStyle="1" w:styleId="xl226">
    <w:name w:val="xl22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7">
    <w:name w:val="xl227"/>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28">
    <w:name w:val="xl228"/>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29">
    <w:name w:val="xl229"/>
    <w:basedOn w:val="Normal"/>
    <w:rsid w:val="004B76C5"/>
    <w:pPr>
      <w:pBdr>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0">
    <w:name w:val="xl230"/>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1">
    <w:name w:val="xl231"/>
    <w:basedOn w:val="Normal"/>
    <w:rsid w:val="004B76C5"/>
    <w:pPr>
      <w:pBdr>
        <w:top w:val="single" w:sz="8" w:space="0" w:color="BFBFBF"/>
        <w:lef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2">
    <w:name w:val="xl232"/>
    <w:basedOn w:val="Normal"/>
    <w:rsid w:val="004B76C5"/>
    <w:pPr>
      <w:pBdr>
        <w:left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33">
    <w:name w:val="xl233"/>
    <w:basedOn w:val="Normal"/>
    <w:rsid w:val="004B76C5"/>
    <w:pPr>
      <w:pBdr>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34">
    <w:name w:val="xl234"/>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5">
    <w:name w:val="xl235"/>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sz w:val="17"/>
      <w:szCs w:val="17"/>
      <w:lang w:eastAsia="es-MX"/>
    </w:rPr>
  </w:style>
  <w:style w:type="paragraph" w:customStyle="1" w:styleId="xl236">
    <w:name w:val="xl236"/>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BF8F00"/>
      <w:sz w:val="17"/>
      <w:szCs w:val="17"/>
      <w:lang w:eastAsia="es-MX"/>
    </w:rPr>
  </w:style>
  <w:style w:type="paragraph" w:customStyle="1" w:styleId="xl237">
    <w:name w:val="xl237"/>
    <w:basedOn w:val="Normal"/>
    <w:rsid w:val="004B76C5"/>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8">
    <w:name w:val="xl238"/>
    <w:basedOn w:val="Normal"/>
    <w:rsid w:val="004B76C5"/>
    <w:pP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39">
    <w:name w:val="xl239"/>
    <w:basedOn w:val="Normal"/>
    <w:rsid w:val="004B76C5"/>
    <w:pPr>
      <w:pBdr>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0">
    <w:name w:val="xl240"/>
    <w:basedOn w:val="Normal"/>
    <w:rsid w:val="004B76C5"/>
    <w:pPr>
      <w:pBdr>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41">
    <w:name w:val="xl241"/>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right"/>
    </w:pPr>
    <w:rPr>
      <w:rFonts w:ascii="Century Gothic" w:eastAsia="Times New Roman" w:hAnsi="Century Gothic" w:cs="Times New Roman"/>
      <w:sz w:val="17"/>
      <w:szCs w:val="17"/>
      <w:lang w:eastAsia="es-MX"/>
    </w:rPr>
  </w:style>
  <w:style w:type="paragraph" w:customStyle="1" w:styleId="xl242">
    <w:name w:val="xl242"/>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3">
    <w:name w:val="xl243"/>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4">
    <w:name w:val="xl244"/>
    <w:basedOn w:val="Normal"/>
    <w:rsid w:val="004B76C5"/>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5">
    <w:name w:val="xl245"/>
    <w:basedOn w:val="Normal"/>
    <w:rsid w:val="004B76C5"/>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46">
    <w:name w:val="xl246"/>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47">
    <w:name w:val="xl247"/>
    <w:basedOn w:val="Normal"/>
    <w:rsid w:val="004B76C5"/>
    <w:pPr>
      <w:pBdr>
        <w:lef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8">
    <w:name w:val="xl248"/>
    <w:basedOn w:val="Normal"/>
    <w:rsid w:val="004B76C5"/>
    <w:pP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49">
    <w:name w:val="xl249"/>
    <w:basedOn w:val="Normal"/>
    <w:rsid w:val="004B76C5"/>
    <w:pPr>
      <w:pBdr>
        <w:left w:val="single" w:sz="8" w:space="0" w:color="BFBFBF"/>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0">
    <w:name w:val="xl250"/>
    <w:basedOn w:val="Normal"/>
    <w:rsid w:val="004B76C5"/>
    <w:pPr>
      <w:pBdr>
        <w:bottom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1">
    <w:name w:val="xl251"/>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2">
    <w:name w:val="xl252"/>
    <w:basedOn w:val="Normal"/>
    <w:rsid w:val="004B76C5"/>
    <w:pPr>
      <w:pBdr>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b/>
      <w:bCs/>
      <w:color w:val="BF8F00"/>
      <w:sz w:val="17"/>
      <w:szCs w:val="17"/>
      <w:lang w:eastAsia="es-MX"/>
    </w:rPr>
  </w:style>
  <w:style w:type="paragraph" w:customStyle="1" w:styleId="xl253">
    <w:name w:val="xl253"/>
    <w:basedOn w:val="Normal"/>
    <w:rsid w:val="004B76C5"/>
    <w:pPr>
      <w:pBdr>
        <w:bottom w:val="single" w:sz="8" w:space="0" w:color="BFBFBF"/>
        <w:right w:val="single" w:sz="8" w:space="0" w:color="BFBFBF"/>
      </w:pBdr>
      <w:shd w:val="clear" w:color="000000" w:fill="BDD7EE"/>
      <w:spacing w:before="100" w:beforeAutospacing="1" w:after="100" w:afterAutospacing="1" w:line="240" w:lineRule="auto"/>
      <w:jc w:val="center"/>
    </w:pPr>
    <w:rPr>
      <w:rFonts w:ascii="Century Gothic" w:eastAsia="Times New Roman" w:hAnsi="Century Gothic" w:cs="Times New Roman"/>
      <w:sz w:val="17"/>
      <w:szCs w:val="17"/>
      <w:lang w:eastAsia="es-MX"/>
    </w:rPr>
  </w:style>
  <w:style w:type="paragraph" w:customStyle="1" w:styleId="xl254">
    <w:name w:val="xl254"/>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5">
    <w:name w:val="xl255"/>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6">
    <w:name w:val="xl256"/>
    <w:basedOn w:val="Normal"/>
    <w:rsid w:val="004B76C5"/>
    <w:pPr>
      <w:pBdr>
        <w:lef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7">
    <w:name w:val="xl257"/>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8">
    <w:name w:val="xl258"/>
    <w:basedOn w:val="Normal"/>
    <w:rsid w:val="004B76C5"/>
    <w:pP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59">
    <w:name w:val="xl259"/>
    <w:basedOn w:val="Normal"/>
    <w:rsid w:val="004B76C5"/>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60">
    <w:name w:val="xl260"/>
    <w:basedOn w:val="Normal"/>
    <w:rsid w:val="004B76C5"/>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1">
    <w:name w:val="xl261"/>
    <w:basedOn w:val="Normal"/>
    <w:rsid w:val="004B76C5"/>
    <w:pPr>
      <w:pBdr>
        <w:top w:val="single" w:sz="8" w:space="0" w:color="BFBFBF"/>
        <w:left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2">
    <w:name w:val="xl262"/>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3">
    <w:name w:val="xl263"/>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right"/>
      <w:textAlignment w:val="center"/>
    </w:pPr>
    <w:rPr>
      <w:rFonts w:ascii="Century Gothic" w:eastAsia="Times New Roman" w:hAnsi="Century Gothic" w:cs="Times New Roman"/>
      <w:color w:val="000000"/>
      <w:sz w:val="17"/>
      <w:szCs w:val="17"/>
      <w:lang w:eastAsia="es-MX"/>
    </w:rPr>
  </w:style>
  <w:style w:type="paragraph" w:customStyle="1" w:styleId="xl264">
    <w:name w:val="xl264"/>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5">
    <w:name w:val="xl265"/>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6">
    <w:name w:val="xl266"/>
    <w:basedOn w:val="Normal"/>
    <w:rsid w:val="004B76C5"/>
    <w:pPr>
      <w:pBdr>
        <w:top w:val="single" w:sz="8" w:space="0" w:color="BFBFBF"/>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7">
    <w:name w:val="xl267"/>
    <w:basedOn w:val="Normal"/>
    <w:rsid w:val="004B76C5"/>
    <w:pPr>
      <w:pBdr>
        <w:top w:val="single" w:sz="8" w:space="0" w:color="BFBFBF"/>
        <w:left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68">
    <w:name w:val="xl268"/>
    <w:basedOn w:val="Normal"/>
    <w:rsid w:val="004B76C5"/>
    <w:pPr>
      <w:pBdr>
        <w:top w:val="single" w:sz="8" w:space="0" w:color="BFBFBF"/>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character" w:styleId="Hipervnculovisitado">
    <w:name w:val="FollowedHyperlink"/>
    <w:basedOn w:val="Fuentedeprrafopredeter"/>
    <w:uiPriority w:val="99"/>
    <w:semiHidden/>
    <w:unhideWhenUsed/>
    <w:rsid w:val="00E10E5B"/>
    <w:rPr>
      <w:color w:val="954F72"/>
      <w:u w:val="single"/>
    </w:rPr>
  </w:style>
  <w:style w:type="paragraph" w:customStyle="1" w:styleId="xl63">
    <w:name w:val="xl6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64">
    <w:name w:val="xl64"/>
    <w:basedOn w:val="Normal"/>
    <w:rsid w:val="00E10E5B"/>
    <w:pPr>
      <w:pBdr>
        <w:bottom w:val="single" w:sz="8" w:space="0" w:color="BFBFBF"/>
        <w:right w:val="single" w:sz="8" w:space="0" w:color="BFBFBF"/>
      </w:pBdr>
      <w:shd w:val="clear" w:color="000000" w:fill="DDEBF7"/>
      <w:spacing w:before="100" w:beforeAutospacing="1" w:after="100" w:afterAutospacing="1" w:line="240" w:lineRule="auto"/>
      <w:textAlignment w:val="center"/>
    </w:pPr>
    <w:rPr>
      <w:rFonts w:ascii="Century Gothic" w:eastAsia="Times New Roman" w:hAnsi="Century Gothic" w:cs="Times New Roman"/>
      <w:color w:val="000000"/>
      <w:sz w:val="17"/>
      <w:szCs w:val="17"/>
      <w:lang w:eastAsia="es-MX"/>
    </w:rPr>
  </w:style>
  <w:style w:type="paragraph" w:customStyle="1" w:styleId="xl269">
    <w:name w:val="xl269"/>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0">
    <w:name w:val="xl270"/>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1">
    <w:name w:val="xl271"/>
    <w:basedOn w:val="Normal"/>
    <w:rsid w:val="00E10E5B"/>
    <w:pPr>
      <w:pBdr>
        <w:bottom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2">
    <w:name w:val="xl272"/>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3">
    <w:name w:val="xl273"/>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C00000"/>
      <w:sz w:val="17"/>
      <w:szCs w:val="17"/>
      <w:lang w:eastAsia="es-MX"/>
    </w:rPr>
  </w:style>
  <w:style w:type="paragraph" w:customStyle="1" w:styleId="xl274">
    <w:name w:val="xl274"/>
    <w:basedOn w:val="Normal"/>
    <w:rsid w:val="00E10E5B"/>
    <w:pPr>
      <w:pBdr>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b/>
      <w:bCs/>
      <w:color w:val="000000"/>
      <w:sz w:val="17"/>
      <w:szCs w:val="17"/>
      <w:lang w:eastAsia="es-MX"/>
    </w:rPr>
  </w:style>
  <w:style w:type="paragraph" w:customStyle="1" w:styleId="xl275">
    <w:name w:val="xl275"/>
    <w:basedOn w:val="Normal"/>
    <w:rsid w:val="00E10E5B"/>
    <w:pPr>
      <w:pBdr>
        <w:top w:val="single" w:sz="8" w:space="0" w:color="BFBFBF"/>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6">
    <w:name w:val="xl276"/>
    <w:basedOn w:val="Normal"/>
    <w:rsid w:val="00E10E5B"/>
    <w:pPr>
      <w:pBdr>
        <w:left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7">
    <w:name w:val="xl277"/>
    <w:basedOn w:val="Normal"/>
    <w:rsid w:val="00E10E5B"/>
    <w:pPr>
      <w:pBdr>
        <w:left w:val="single" w:sz="8" w:space="0" w:color="BFBFBF"/>
        <w:bottom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78">
    <w:name w:val="xl278"/>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79">
    <w:name w:val="xl279"/>
    <w:basedOn w:val="Normal"/>
    <w:rsid w:val="00E10E5B"/>
    <w:pPr>
      <w:pBdr>
        <w:bottom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sz w:val="17"/>
      <w:szCs w:val="17"/>
      <w:lang w:eastAsia="es-MX"/>
    </w:rPr>
  </w:style>
  <w:style w:type="paragraph" w:customStyle="1" w:styleId="xl280">
    <w:name w:val="xl280"/>
    <w:basedOn w:val="Normal"/>
    <w:rsid w:val="00E10E5B"/>
    <w:pPr>
      <w:pBdr>
        <w:top w:val="single" w:sz="8" w:space="0" w:color="BFBFBF"/>
        <w:right w:val="single" w:sz="8" w:space="0" w:color="BFBFBF"/>
      </w:pBdr>
      <w:shd w:val="clear" w:color="000000" w:fill="DDEBF7"/>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paragraph" w:customStyle="1" w:styleId="xl281">
    <w:name w:val="xl281"/>
    <w:basedOn w:val="Normal"/>
    <w:rsid w:val="00E10E5B"/>
    <w:pPr>
      <w:pBdr>
        <w:top w:val="single" w:sz="8" w:space="0" w:color="BFBFBF"/>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2">
    <w:name w:val="xl282"/>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3">
    <w:name w:val="xl283"/>
    <w:basedOn w:val="Normal"/>
    <w:rsid w:val="00E10E5B"/>
    <w:pPr>
      <w:pBdr>
        <w:right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b/>
      <w:bCs/>
      <w:color w:val="548235"/>
      <w:sz w:val="17"/>
      <w:szCs w:val="17"/>
      <w:lang w:eastAsia="es-MX"/>
    </w:rPr>
  </w:style>
  <w:style w:type="paragraph" w:customStyle="1" w:styleId="xl284">
    <w:name w:val="xl284"/>
    <w:basedOn w:val="Normal"/>
    <w:rsid w:val="00E10E5B"/>
    <w:pPr>
      <w:pBdr>
        <w:top w:val="single" w:sz="8" w:space="0" w:color="BFBFBF"/>
      </w:pBdr>
      <w:shd w:val="clear" w:color="000000" w:fill="BDD7EE"/>
      <w:spacing w:before="100" w:beforeAutospacing="1" w:after="100" w:afterAutospacing="1" w:line="240" w:lineRule="auto"/>
      <w:jc w:val="center"/>
      <w:textAlignment w:val="center"/>
    </w:pPr>
    <w:rPr>
      <w:rFonts w:ascii="Century Gothic" w:eastAsia="Times New Roman" w:hAnsi="Century Gothic" w:cs="Times New Roman"/>
      <w:color w:val="000000"/>
      <w:sz w:val="17"/>
      <w:szCs w:val="17"/>
      <w:lang w:eastAsia="es-MX"/>
    </w:rPr>
  </w:style>
  <w:style w:type="table" w:styleId="Tablaconcuadrcula4-nfasis3">
    <w:name w:val="Grid Table 4 Accent 3"/>
    <w:basedOn w:val="Tablanormal"/>
    <w:uiPriority w:val="49"/>
    <w:rsid w:val="000F48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3Car">
    <w:name w:val="Título 3 Car"/>
    <w:basedOn w:val="Fuentedeprrafopredeter"/>
    <w:link w:val="Ttulo3"/>
    <w:uiPriority w:val="9"/>
    <w:semiHidden/>
    <w:rsid w:val="002D3AEC"/>
    <w:rPr>
      <w:rFonts w:asciiTheme="majorHAnsi" w:eastAsiaTheme="majorEastAsia" w:hAnsiTheme="majorHAnsi" w:cstheme="majorBidi"/>
      <w:color w:val="1F4D78" w:themeColor="accent1" w:themeShade="7F"/>
      <w:sz w:val="24"/>
      <w:szCs w:val="24"/>
      <w:lang w:val="es-MX"/>
    </w:rPr>
  </w:style>
  <w:style w:type="character" w:styleId="Mencinsinresolver">
    <w:name w:val="Unresolved Mention"/>
    <w:basedOn w:val="Fuentedeprrafopredeter"/>
    <w:uiPriority w:val="99"/>
    <w:semiHidden/>
    <w:unhideWhenUsed/>
    <w:rsid w:val="00931152"/>
    <w:rPr>
      <w:color w:val="605E5C"/>
      <w:shd w:val="clear" w:color="auto" w:fill="E1DFDD"/>
    </w:rPr>
  </w:style>
  <w:style w:type="paragraph" w:customStyle="1" w:styleId="font6">
    <w:name w:val="font6"/>
    <w:basedOn w:val="Normal"/>
    <w:rsid w:val="00931152"/>
    <w:pPr>
      <w:spacing w:before="100" w:beforeAutospacing="1" w:after="100" w:afterAutospacing="1" w:line="240" w:lineRule="auto"/>
    </w:pPr>
    <w:rPr>
      <w:rFonts w:ascii="Century Gothic" w:eastAsia="Times New Roman" w:hAnsi="Century Gothic" w:cs="Times New Roman"/>
      <w:color w:val="FFFFFF"/>
      <w:sz w:val="17"/>
      <w:szCs w:val="17"/>
      <w:lang w:eastAsia="es-MX"/>
    </w:rPr>
  </w:style>
  <w:style w:type="paragraph" w:customStyle="1" w:styleId="font7">
    <w:name w:val="font7"/>
    <w:basedOn w:val="Normal"/>
    <w:rsid w:val="00931152"/>
    <w:pPr>
      <w:spacing w:before="100" w:beforeAutospacing="1" w:after="100" w:afterAutospacing="1" w:line="240" w:lineRule="auto"/>
    </w:pPr>
    <w:rPr>
      <w:rFonts w:ascii="Century Gothic" w:eastAsia="Times New Roman" w:hAnsi="Century Gothic" w:cs="Times New Roman"/>
      <w:i/>
      <w:iCs/>
      <w:color w:val="FFFFFF"/>
      <w:sz w:val="17"/>
      <w:szCs w:val="17"/>
      <w:lang w:eastAsia="es-MX"/>
    </w:rPr>
  </w:style>
  <w:style w:type="paragraph" w:styleId="Sinespaciado">
    <w:name w:val="No Spacing"/>
    <w:link w:val="SinespaciadoCar"/>
    <w:uiPriority w:val="1"/>
    <w:qFormat/>
    <w:rsid w:val="00555CB3"/>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555CB3"/>
    <w:rPr>
      <w:rFonts w:eastAsiaTheme="minorEastAsia"/>
      <w:lang w:val="es-MX" w:eastAsia="es-MX"/>
    </w:rPr>
  </w:style>
  <w:style w:type="paragraph" w:styleId="TDC3">
    <w:name w:val="toc 3"/>
    <w:basedOn w:val="Normal"/>
    <w:next w:val="Normal"/>
    <w:autoRedefine/>
    <w:uiPriority w:val="39"/>
    <w:unhideWhenUsed/>
    <w:rsid w:val="00D56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707">
      <w:bodyDiv w:val="1"/>
      <w:marLeft w:val="0"/>
      <w:marRight w:val="0"/>
      <w:marTop w:val="0"/>
      <w:marBottom w:val="0"/>
      <w:divBdr>
        <w:top w:val="none" w:sz="0" w:space="0" w:color="auto"/>
        <w:left w:val="none" w:sz="0" w:space="0" w:color="auto"/>
        <w:bottom w:val="none" w:sz="0" w:space="0" w:color="auto"/>
        <w:right w:val="none" w:sz="0" w:space="0" w:color="auto"/>
      </w:divBdr>
    </w:div>
    <w:div w:id="16128596">
      <w:bodyDiv w:val="1"/>
      <w:marLeft w:val="0"/>
      <w:marRight w:val="0"/>
      <w:marTop w:val="0"/>
      <w:marBottom w:val="0"/>
      <w:divBdr>
        <w:top w:val="none" w:sz="0" w:space="0" w:color="auto"/>
        <w:left w:val="none" w:sz="0" w:space="0" w:color="auto"/>
        <w:bottom w:val="none" w:sz="0" w:space="0" w:color="auto"/>
        <w:right w:val="none" w:sz="0" w:space="0" w:color="auto"/>
      </w:divBdr>
    </w:div>
    <w:div w:id="50815885">
      <w:bodyDiv w:val="1"/>
      <w:marLeft w:val="0"/>
      <w:marRight w:val="0"/>
      <w:marTop w:val="0"/>
      <w:marBottom w:val="0"/>
      <w:divBdr>
        <w:top w:val="none" w:sz="0" w:space="0" w:color="auto"/>
        <w:left w:val="none" w:sz="0" w:space="0" w:color="auto"/>
        <w:bottom w:val="none" w:sz="0" w:space="0" w:color="auto"/>
        <w:right w:val="none" w:sz="0" w:space="0" w:color="auto"/>
      </w:divBdr>
    </w:div>
    <w:div w:id="65492393">
      <w:bodyDiv w:val="1"/>
      <w:marLeft w:val="0"/>
      <w:marRight w:val="0"/>
      <w:marTop w:val="0"/>
      <w:marBottom w:val="0"/>
      <w:divBdr>
        <w:top w:val="none" w:sz="0" w:space="0" w:color="auto"/>
        <w:left w:val="none" w:sz="0" w:space="0" w:color="auto"/>
        <w:bottom w:val="none" w:sz="0" w:space="0" w:color="auto"/>
        <w:right w:val="none" w:sz="0" w:space="0" w:color="auto"/>
      </w:divBdr>
    </w:div>
    <w:div w:id="105589960">
      <w:bodyDiv w:val="1"/>
      <w:marLeft w:val="0"/>
      <w:marRight w:val="0"/>
      <w:marTop w:val="0"/>
      <w:marBottom w:val="0"/>
      <w:divBdr>
        <w:top w:val="none" w:sz="0" w:space="0" w:color="auto"/>
        <w:left w:val="none" w:sz="0" w:space="0" w:color="auto"/>
        <w:bottom w:val="none" w:sz="0" w:space="0" w:color="auto"/>
        <w:right w:val="none" w:sz="0" w:space="0" w:color="auto"/>
      </w:divBdr>
    </w:div>
    <w:div w:id="113252914">
      <w:bodyDiv w:val="1"/>
      <w:marLeft w:val="0"/>
      <w:marRight w:val="0"/>
      <w:marTop w:val="0"/>
      <w:marBottom w:val="0"/>
      <w:divBdr>
        <w:top w:val="none" w:sz="0" w:space="0" w:color="auto"/>
        <w:left w:val="none" w:sz="0" w:space="0" w:color="auto"/>
        <w:bottom w:val="none" w:sz="0" w:space="0" w:color="auto"/>
        <w:right w:val="none" w:sz="0" w:space="0" w:color="auto"/>
      </w:divBdr>
      <w:divsChild>
        <w:div w:id="204487701">
          <w:marLeft w:val="446"/>
          <w:marRight w:val="0"/>
          <w:marTop w:val="0"/>
          <w:marBottom w:val="0"/>
          <w:divBdr>
            <w:top w:val="none" w:sz="0" w:space="0" w:color="auto"/>
            <w:left w:val="none" w:sz="0" w:space="0" w:color="auto"/>
            <w:bottom w:val="none" w:sz="0" w:space="0" w:color="auto"/>
            <w:right w:val="none" w:sz="0" w:space="0" w:color="auto"/>
          </w:divBdr>
        </w:div>
        <w:div w:id="606931925">
          <w:marLeft w:val="446"/>
          <w:marRight w:val="0"/>
          <w:marTop w:val="0"/>
          <w:marBottom w:val="0"/>
          <w:divBdr>
            <w:top w:val="none" w:sz="0" w:space="0" w:color="auto"/>
            <w:left w:val="none" w:sz="0" w:space="0" w:color="auto"/>
            <w:bottom w:val="none" w:sz="0" w:space="0" w:color="auto"/>
            <w:right w:val="none" w:sz="0" w:space="0" w:color="auto"/>
          </w:divBdr>
        </w:div>
        <w:div w:id="796684188">
          <w:marLeft w:val="446"/>
          <w:marRight w:val="0"/>
          <w:marTop w:val="0"/>
          <w:marBottom w:val="0"/>
          <w:divBdr>
            <w:top w:val="none" w:sz="0" w:space="0" w:color="auto"/>
            <w:left w:val="none" w:sz="0" w:space="0" w:color="auto"/>
            <w:bottom w:val="none" w:sz="0" w:space="0" w:color="auto"/>
            <w:right w:val="none" w:sz="0" w:space="0" w:color="auto"/>
          </w:divBdr>
        </w:div>
        <w:div w:id="831792472">
          <w:marLeft w:val="446"/>
          <w:marRight w:val="0"/>
          <w:marTop w:val="0"/>
          <w:marBottom w:val="0"/>
          <w:divBdr>
            <w:top w:val="none" w:sz="0" w:space="0" w:color="auto"/>
            <w:left w:val="none" w:sz="0" w:space="0" w:color="auto"/>
            <w:bottom w:val="none" w:sz="0" w:space="0" w:color="auto"/>
            <w:right w:val="none" w:sz="0" w:space="0" w:color="auto"/>
          </w:divBdr>
        </w:div>
        <w:div w:id="1224095731">
          <w:marLeft w:val="446"/>
          <w:marRight w:val="0"/>
          <w:marTop w:val="0"/>
          <w:marBottom w:val="0"/>
          <w:divBdr>
            <w:top w:val="none" w:sz="0" w:space="0" w:color="auto"/>
            <w:left w:val="none" w:sz="0" w:space="0" w:color="auto"/>
            <w:bottom w:val="none" w:sz="0" w:space="0" w:color="auto"/>
            <w:right w:val="none" w:sz="0" w:space="0" w:color="auto"/>
          </w:divBdr>
        </w:div>
        <w:div w:id="1949776609">
          <w:marLeft w:val="446"/>
          <w:marRight w:val="0"/>
          <w:marTop w:val="0"/>
          <w:marBottom w:val="0"/>
          <w:divBdr>
            <w:top w:val="none" w:sz="0" w:space="0" w:color="auto"/>
            <w:left w:val="none" w:sz="0" w:space="0" w:color="auto"/>
            <w:bottom w:val="none" w:sz="0" w:space="0" w:color="auto"/>
            <w:right w:val="none" w:sz="0" w:space="0" w:color="auto"/>
          </w:divBdr>
        </w:div>
        <w:div w:id="2006934039">
          <w:marLeft w:val="446"/>
          <w:marRight w:val="0"/>
          <w:marTop w:val="0"/>
          <w:marBottom w:val="0"/>
          <w:divBdr>
            <w:top w:val="none" w:sz="0" w:space="0" w:color="auto"/>
            <w:left w:val="none" w:sz="0" w:space="0" w:color="auto"/>
            <w:bottom w:val="none" w:sz="0" w:space="0" w:color="auto"/>
            <w:right w:val="none" w:sz="0" w:space="0" w:color="auto"/>
          </w:divBdr>
        </w:div>
        <w:div w:id="2042044973">
          <w:marLeft w:val="446"/>
          <w:marRight w:val="0"/>
          <w:marTop w:val="0"/>
          <w:marBottom w:val="0"/>
          <w:divBdr>
            <w:top w:val="none" w:sz="0" w:space="0" w:color="auto"/>
            <w:left w:val="none" w:sz="0" w:space="0" w:color="auto"/>
            <w:bottom w:val="none" w:sz="0" w:space="0" w:color="auto"/>
            <w:right w:val="none" w:sz="0" w:space="0" w:color="auto"/>
          </w:divBdr>
        </w:div>
      </w:divsChild>
    </w:div>
    <w:div w:id="114638800">
      <w:bodyDiv w:val="1"/>
      <w:marLeft w:val="0"/>
      <w:marRight w:val="0"/>
      <w:marTop w:val="0"/>
      <w:marBottom w:val="0"/>
      <w:divBdr>
        <w:top w:val="none" w:sz="0" w:space="0" w:color="auto"/>
        <w:left w:val="none" w:sz="0" w:space="0" w:color="auto"/>
        <w:bottom w:val="none" w:sz="0" w:space="0" w:color="auto"/>
        <w:right w:val="none" w:sz="0" w:space="0" w:color="auto"/>
      </w:divBdr>
    </w:div>
    <w:div w:id="114911499">
      <w:bodyDiv w:val="1"/>
      <w:marLeft w:val="0"/>
      <w:marRight w:val="0"/>
      <w:marTop w:val="0"/>
      <w:marBottom w:val="0"/>
      <w:divBdr>
        <w:top w:val="none" w:sz="0" w:space="0" w:color="auto"/>
        <w:left w:val="none" w:sz="0" w:space="0" w:color="auto"/>
        <w:bottom w:val="none" w:sz="0" w:space="0" w:color="auto"/>
        <w:right w:val="none" w:sz="0" w:space="0" w:color="auto"/>
      </w:divBdr>
    </w:div>
    <w:div w:id="121700808">
      <w:bodyDiv w:val="1"/>
      <w:marLeft w:val="0"/>
      <w:marRight w:val="0"/>
      <w:marTop w:val="0"/>
      <w:marBottom w:val="0"/>
      <w:divBdr>
        <w:top w:val="none" w:sz="0" w:space="0" w:color="auto"/>
        <w:left w:val="none" w:sz="0" w:space="0" w:color="auto"/>
        <w:bottom w:val="none" w:sz="0" w:space="0" w:color="auto"/>
        <w:right w:val="none" w:sz="0" w:space="0" w:color="auto"/>
      </w:divBdr>
    </w:div>
    <w:div w:id="124977465">
      <w:bodyDiv w:val="1"/>
      <w:marLeft w:val="0"/>
      <w:marRight w:val="0"/>
      <w:marTop w:val="0"/>
      <w:marBottom w:val="0"/>
      <w:divBdr>
        <w:top w:val="none" w:sz="0" w:space="0" w:color="auto"/>
        <w:left w:val="none" w:sz="0" w:space="0" w:color="auto"/>
        <w:bottom w:val="none" w:sz="0" w:space="0" w:color="auto"/>
        <w:right w:val="none" w:sz="0" w:space="0" w:color="auto"/>
      </w:divBdr>
    </w:div>
    <w:div w:id="127671888">
      <w:bodyDiv w:val="1"/>
      <w:marLeft w:val="0"/>
      <w:marRight w:val="0"/>
      <w:marTop w:val="0"/>
      <w:marBottom w:val="0"/>
      <w:divBdr>
        <w:top w:val="none" w:sz="0" w:space="0" w:color="auto"/>
        <w:left w:val="none" w:sz="0" w:space="0" w:color="auto"/>
        <w:bottom w:val="none" w:sz="0" w:space="0" w:color="auto"/>
        <w:right w:val="none" w:sz="0" w:space="0" w:color="auto"/>
      </w:divBdr>
    </w:div>
    <w:div w:id="132841489">
      <w:bodyDiv w:val="1"/>
      <w:marLeft w:val="0"/>
      <w:marRight w:val="0"/>
      <w:marTop w:val="0"/>
      <w:marBottom w:val="0"/>
      <w:divBdr>
        <w:top w:val="none" w:sz="0" w:space="0" w:color="auto"/>
        <w:left w:val="none" w:sz="0" w:space="0" w:color="auto"/>
        <w:bottom w:val="none" w:sz="0" w:space="0" w:color="auto"/>
        <w:right w:val="none" w:sz="0" w:space="0" w:color="auto"/>
      </w:divBdr>
    </w:div>
    <w:div w:id="135883024">
      <w:bodyDiv w:val="1"/>
      <w:marLeft w:val="0"/>
      <w:marRight w:val="0"/>
      <w:marTop w:val="0"/>
      <w:marBottom w:val="0"/>
      <w:divBdr>
        <w:top w:val="none" w:sz="0" w:space="0" w:color="auto"/>
        <w:left w:val="none" w:sz="0" w:space="0" w:color="auto"/>
        <w:bottom w:val="none" w:sz="0" w:space="0" w:color="auto"/>
        <w:right w:val="none" w:sz="0" w:space="0" w:color="auto"/>
      </w:divBdr>
    </w:div>
    <w:div w:id="141967564">
      <w:bodyDiv w:val="1"/>
      <w:marLeft w:val="0"/>
      <w:marRight w:val="0"/>
      <w:marTop w:val="0"/>
      <w:marBottom w:val="0"/>
      <w:divBdr>
        <w:top w:val="none" w:sz="0" w:space="0" w:color="auto"/>
        <w:left w:val="none" w:sz="0" w:space="0" w:color="auto"/>
        <w:bottom w:val="none" w:sz="0" w:space="0" w:color="auto"/>
        <w:right w:val="none" w:sz="0" w:space="0" w:color="auto"/>
      </w:divBdr>
    </w:div>
    <w:div w:id="162858016">
      <w:bodyDiv w:val="1"/>
      <w:marLeft w:val="0"/>
      <w:marRight w:val="0"/>
      <w:marTop w:val="0"/>
      <w:marBottom w:val="0"/>
      <w:divBdr>
        <w:top w:val="none" w:sz="0" w:space="0" w:color="auto"/>
        <w:left w:val="none" w:sz="0" w:space="0" w:color="auto"/>
        <w:bottom w:val="none" w:sz="0" w:space="0" w:color="auto"/>
        <w:right w:val="none" w:sz="0" w:space="0" w:color="auto"/>
      </w:divBdr>
    </w:div>
    <w:div w:id="166559502">
      <w:bodyDiv w:val="1"/>
      <w:marLeft w:val="0"/>
      <w:marRight w:val="0"/>
      <w:marTop w:val="0"/>
      <w:marBottom w:val="0"/>
      <w:divBdr>
        <w:top w:val="none" w:sz="0" w:space="0" w:color="auto"/>
        <w:left w:val="none" w:sz="0" w:space="0" w:color="auto"/>
        <w:bottom w:val="none" w:sz="0" w:space="0" w:color="auto"/>
        <w:right w:val="none" w:sz="0" w:space="0" w:color="auto"/>
      </w:divBdr>
    </w:div>
    <w:div w:id="172695026">
      <w:bodyDiv w:val="1"/>
      <w:marLeft w:val="0"/>
      <w:marRight w:val="0"/>
      <w:marTop w:val="0"/>
      <w:marBottom w:val="0"/>
      <w:divBdr>
        <w:top w:val="none" w:sz="0" w:space="0" w:color="auto"/>
        <w:left w:val="none" w:sz="0" w:space="0" w:color="auto"/>
        <w:bottom w:val="none" w:sz="0" w:space="0" w:color="auto"/>
        <w:right w:val="none" w:sz="0" w:space="0" w:color="auto"/>
      </w:divBdr>
    </w:div>
    <w:div w:id="180316119">
      <w:bodyDiv w:val="1"/>
      <w:marLeft w:val="0"/>
      <w:marRight w:val="0"/>
      <w:marTop w:val="0"/>
      <w:marBottom w:val="0"/>
      <w:divBdr>
        <w:top w:val="none" w:sz="0" w:space="0" w:color="auto"/>
        <w:left w:val="none" w:sz="0" w:space="0" w:color="auto"/>
        <w:bottom w:val="none" w:sz="0" w:space="0" w:color="auto"/>
        <w:right w:val="none" w:sz="0" w:space="0" w:color="auto"/>
      </w:divBdr>
    </w:div>
    <w:div w:id="190187041">
      <w:bodyDiv w:val="1"/>
      <w:marLeft w:val="0"/>
      <w:marRight w:val="0"/>
      <w:marTop w:val="0"/>
      <w:marBottom w:val="0"/>
      <w:divBdr>
        <w:top w:val="none" w:sz="0" w:space="0" w:color="auto"/>
        <w:left w:val="none" w:sz="0" w:space="0" w:color="auto"/>
        <w:bottom w:val="none" w:sz="0" w:space="0" w:color="auto"/>
        <w:right w:val="none" w:sz="0" w:space="0" w:color="auto"/>
      </w:divBdr>
    </w:div>
    <w:div w:id="195968859">
      <w:bodyDiv w:val="1"/>
      <w:marLeft w:val="0"/>
      <w:marRight w:val="0"/>
      <w:marTop w:val="0"/>
      <w:marBottom w:val="0"/>
      <w:divBdr>
        <w:top w:val="none" w:sz="0" w:space="0" w:color="auto"/>
        <w:left w:val="none" w:sz="0" w:space="0" w:color="auto"/>
        <w:bottom w:val="none" w:sz="0" w:space="0" w:color="auto"/>
        <w:right w:val="none" w:sz="0" w:space="0" w:color="auto"/>
      </w:divBdr>
    </w:div>
    <w:div w:id="198663643">
      <w:bodyDiv w:val="1"/>
      <w:marLeft w:val="0"/>
      <w:marRight w:val="0"/>
      <w:marTop w:val="0"/>
      <w:marBottom w:val="0"/>
      <w:divBdr>
        <w:top w:val="none" w:sz="0" w:space="0" w:color="auto"/>
        <w:left w:val="none" w:sz="0" w:space="0" w:color="auto"/>
        <w:bottom w:val="none" w:sz="0" w:space="0" w:color="auto"/>
        <w:right w:val="none" w:sz="0" w:space="0" w:color="auto"/>
      </w:divBdr>
    </w:div>
    <w:div w:id="213663296">
      <w:bodyDiv w:val="1"/>
      <w:marLeft w:val="0"/>
      <w:marRight w:val="0"/>
      <w:marTop w:val="0"/>
      <w:marBottom w:val="0"/>
      <w:divBdr>
        <w:top w:val="none" w:sz="0" w:space="0" w:color="auto"/>
        <w:left w:val="none" w:sz="0" w:space="0" w:color="auto"/>
        <w:bottom w:val="none" w:sz="0" w:space="0" w:color="auto"/>
        <w:right w:val="none" w:sz="0" w:space="0" w:color="auto"/>
      </w:divBdr>
    </w:div>
    <w:div w:id="218588550">
      <w:bodyDiv w:val="1"/>
      <w:marLeft w:val="0"/>
      <w:marRight w:val="0"/>
      <w:marTop w:val="0"/>
      <w:marBottom w:val="0"/>
      <w:divBdr>
        <w:top w:val="none" w:sz="0" w:space="0" w:color="auto"/>
        <w:left w:val="none" w:sz="0" w:space="0" w:color="auto"/>
        <w:bottom w:val="none" w:sz="0" w:space="0" w:color="auto"/>
        <w:right w:val="none" w:sz="0" w:space="0" w:color="auto"/>
      </w:divBdr>
    </w:div>
    <w:div w:id="219368166">
      <w:bodyDiv w:val="1"/>
      <w:marLeft w:val="0"/>
      <w:marRight w:val="0"/>
      <w:marTop w:val="0"/>
      <w:marBottom w:val="0"/>
      <w:divBdr>
        <w:top w:val="none" w:sz="0" w:space="0" w:color="auto"/>
        <w:left w:val="none" w:sz="0" w:space="0" w:color="auto"/>
        <w:bottom w:val="none" w:sz="0" w:space="0" w:color="auto"/>
        <w:right w:val="none" w:sz="0" w:space="0" w:color="auto"/>
      </w:divBdr>
    </w:div>
    <w:div w:id="254898868">
      <w:bodyDiv w:val="1"/>
      <w:marLeft w:val="0"/>
      <w:marRight w:val="0"/>
      <w:marTop w:val="0"/>
      <w:marBottom w:val="0"/>
      <w:divBdr>
        <w:top w:val="none" w:sz="0" w:space="0" w:color="auto"/>
        <w:left w:val="none" w:sz="0" w:space="0" w:color="auto"/>
        <w:bottom w:val="none" w:sz="0" w:space="0" w:color="auto"/>
        <w:right w:val="none" w:sz="0" w:space="0" w:color="auto"/>
      </w:divBdr>
    </w:div>
    <w:div w:id="264076057">
      <w:bodyDiv w:val="1"/>
      <w:marLeft w:val="0"/>
      <w:marRight w:val="0"/>
      <w:marTop w:val="0"/>
      <w:marBottom w:val="0"/>
      <w:divBdr>
        <w:top w:val="none" w:sz="0" w:space="0" w:color="auto"/>
        <w:left w:val="none" w:sz="0" w:space="0" w:color="auto"/>
        <w:bottom w:val="none" w:sz="0" w:space="0" w:color="auto"/>
        <w:right w:val="none" w:sz="0" w:space="0" w:color="auto"/>
      </w:divBdr>
    </w:div>
    <w:div w:id="288823389">
      <w:bodyDiv w:val="1"/>
      <w:marLeft w:val="0"/>
      <w:marRight w:val="0"/>
      <w:marTop w:val="0"/>
      <w:marBottom w:val="0"/>
      <w:divBdr>
        <w:top w:val="none" w:sz="0" w:space="0" w:color="auto"/>
        <w:left w:val="none" w:sz="0" w:space="0" w:color="auto"/>
        <w:bottom w:val="none" w:sz="0" w:space="0" w:color="auto"/>
        <w:right w:val="none" w:sz="0" w:space="0" w:color="auto"/>
      </w:divBdr>
    </w:div>
    <w:div w:id="304894440">
      <w:bodyDiv w:val="1"/>
      <w:marLeft w:val="0"/>
      <w:marRight w:val="0"/>
      <w:marTop w:val="0"/>
      <w:marBottom w:val="0"/>
      <w:divBdr>
        <w:top w:val="none" w:sz="0" w:space="0" w:color="auto"/>
        <w:left w:val="none" w:sz="0" w:space="0" w:color="auto"/>
        <w:bottom w:val="none" w:sz="0" w:space="0" w:color="auto"/>
        <w:right w:val="none" w:sz="0" w:space="0" w:color="auto"/>
      </w:divBdr>
    </w:div>
    <w:div w:id="306596227">
      <w:bodyDiv w:val="1"/>
      <w:marLeft w:val="0"/>
      <w:marRight w:val="0"/>
      <w:marTop w:val="0"/>
      <w:marBottom w:val="0"/>
      <w:divBdr>
        <w:top w:val="none" w:sz="0" w:space="0" w:color="auto"/>
        <w:left w:val="none" w:sz="0" w:space="0" w:color="auto"/>
        <w:bottom w:val="none" w:sz="0" w:space="0" w:color="auto"/>
        <w:right w:val="none" w:sz="0" w:space="0" w:color="auto"/>
      </w:divBdr>
    </w:div>
    <w:div w:id="309939350">
      <w:bodyDiv w:val="1"/>
      <w:marLeft w:val="0"/>
      <w:marRight w:val="0"/>
      <w:marTop w:val="0"/>
      <w:marBottom w:val="0"/>
      <w:divBdr>
        <w:top w:val="none" w:sz="0" w:space="0" w:color="auto"/>
        <w:left w:val="none" w:sz="0" w:space="0" w:color="auto"/>
        <w:bottom w:val="none" w:sz="0" w:space="0" w:color="auto"/>
        <w:right w:val="none" w:sz="0" w:space="0" w:color="auto"/>
      </w:divBdr>
    </w:div>
    <w:div w:id="326639768">
      <w:bodyDiv w:val="1"/>
      <w:marLeft w:val="0"/>
      <w:marRight w:val="0"/>
      <w:marTop w:val="0"/>
      <w:marBottom w:val="0"/>
      <w:divBdr>
        <w:top w:val="none" w:sz="0" w:space="0" w:color="auto"/>
        <w:left w:val="none" w:sz="0" w:space="0" w:color="auto"/>
        <w:bottom w:val="none" w:sz="0" w:space="0" w:color="auto"/>
        <w:right w:val="none" w:sz="0" w:space="0" w:color="auto"/>
      </w:divBdr>
    </w:div>
    <w:div w:id="329069204">
      <w:bodyDiv w:val="1"/>
      <w:marLeft w:val="0"/>
      <w:marRight w:val="0"/>
      <w:marTop w:val="0"/>
      <w:marBottom w:val="0"/>
      <w:divBdr>
        <w:top w:val="none" w:sz="0" w:space="0" w:color="auto"/>
        <w:left w:val="none" w:sz="0" w:space="0" w:color="auto"/>
        <w:bottom w:val="none" w:sz="0" w:space="0" w:color="auto"/>
        <w:right w:val="none" w:sz="0" w:space="0" w:color="auto"/>
      </w:divBdr>
    </w:div>
    <w:div w:id="359472834">
      <w:bodyDiv w:val="1"/>
      <w:marLeft w:val="0"/>
      <w:marRight w:val="0"/>
      <w:marTop w:val="0"/>
      <w:marBottom w:val="0"/>
      <w:divBdr>
        <w:top w:val="none" w:sz="0" w:space="0" w:color="auto"/>
        <w:left w:val="none" w:sz="0" w:space="0" w:color="auto"/>
        <w:bottom w:val="none" w:sz="0" w:space="0" w:color="auto"/>
        <w:right w:val="none" w:sz="0" w:space="0" w:color="auto"/>
      </w:divBdr>
    </w:div>
    <w:div w:id="369113239">
      <w:bodyDiv w:val="1"/>
      <w:marLeft w:val="0"/>
      <w:marRight w:val="0"/>
      <w:marTop w:val="0"/>
      <w:marBottom w:val="0"/>
      <w:divBdr>
        <w:top w:val="none" w:sz="0" w:space="0" w:color="auto"/>
        <w:left w:val="none" w:sz="0" w:space="0" w:color="auto"/>
        <w:bottom w:val="none" w:sz="0" w:space="0" w:color="auto"/>
        <w:right w:val="none" w:sz="0" w:space="0" w:color="auto"/>
      </w:divBdr>
    </w:div>
    <w:div w:id="411270935">
      <w:bodyDiv w:val="1"/>
      <w:marLeft w:val="0"/>
      <w:marRight w:val="0"/>
      <w:marTop w:val="0"/>
      <w:marBottom w:val="0"/>
      <w:divBdr>
        <w:top w:val="none" w:sz="0" w:space="0" w:color="auto"/>
        <w:left w:val="none" w:sz="0" w:space="0" w:color="auto"/>
        <w:bottom w:val="none" w:sz="0" w:space="0" w:color="auto"/>
        <w:right w:val="none" w:sz="0" w:space="0" w:color="auto"/>
      </w:divBdr>
    </w:div>
    <w:div w:id="412164265">
      <w:bodyDiv w:val="1"/>
      <w:marLeft w:val="0"/>
      <w:marRight w:val="0"/>
      <w:marTop w:val="0"/>
      <w:marBottom w:val="0"/>
      <w:divBdr>
        <w:top w:val="none" w:sz="0" w:space="0" w:color="auto"/>
        <w:left w:val="none" w:sz="0" w:space="0" w:color="auto"/>
        <w:bottom w:val="none" w:sz="0" w:space="0" w:color="auto"/>
        <w:right w:val="none" w:sz="0" w:space="0" w:color="auto"/>
      </w:divBdr>
    </w:div>
    <w:div w:id="421952140">
      <w:bodyDiv w:val="1"/>
      <w:marLeft w:val="0"/>
      <w:marRight w:val="0"/>
      <w:marTop w:val="0"/>
      <w:marBottom w:val="0"/>
      <w:divBdr>
        <w:top w:val="none" w:sz="0" w:space="0" w:color="auto"/>
        <w:left w:val="none" w:sz="0" w:space="0" w:color="auto"/>
        <w:bottom w:val="none" w:sz="0" w:space="0" w:color="auto"/>
        <w:right w:val="none" w:sz="0" w:space="0" w:color="auto"/>
      </w:divBdr>
    </w:div>
    <w:div w:id="437214231">
      <w:bodyDiv w:val="1"/>
      <w:marLeft w:val="0"/>
      <w:marRight w:val="0"/>
      <w:marTop w:val="0"/>
      <w:marBottom w:val="0"/>
      <w:divBdr>
        <w:top w:val="none" w:sz="0" w:space="0" w:color="auto"/>
        <w:left w:val="none" w:sz="0" w:space="0" w:color="auto"/>
        <w:bottom w:val="none" w:sz="0" w:space="0" w:color="auto"/>
        <w:right w:val="none" w:sz="0" w:space="0" w:color="auto"/>
      </w:divBdr>
    </w:div>
    <w:div w:id="439033268">
      <w:bodyDiv w:val="1"/>
      <w:marLeft w:val="0"/>
      <w:marRight w:val="0"/>
      <w:marTop w:val="0"/>
      <w:marBottom w:val="0"/>
      <w:divBdr>
        <w:top w:val="none" w:sz="0" w:space="0" w:color="auto"/>
        <w:left w:val="none" w:sz="0" w:space="0" w:color="auto"/>
        <w:bottom w:val="none" w:sz="0" w:space="0" w:color="auto"/>
        <w:right w:val="none" w:sz="0" w:space="0" w:color="auto"/>
      </w:divBdr>
    </w:div>
    <w:div w:id="457332416">
      <w:bodyDiv w:val="1"/>
      <w:marLeft w:val="0"/>
      <w:marRight w:val="0"/>
      <w:marTop w:val="0"/>
      <w:marBottom w:val="0"/>
      <w:divBdr>
        <w:top w:val="none" w:sz="0" w:space="0" w:color="auto"/>
        <w:left w:val="none" w:sz="0" w:space="0" w:color="auto"/>
        <w:bottom w:val="none" w:sz="0" w:space="0" w:color="auto"/>
        <w:right w:val="none" w:sz="0" w:space="0" w:color="auto"/>
      </w:divBdr>
      <w:divsChild>
        <w:div w:id="895049308">
          <w:marLeft w:val="547"/>
          <w:marRight w:val="0"/>
          <w:marTop w:val="0"/>
          <w:marBottom w:val="0"/>
          <w:divBdr>
            <w:top w:val="none" w:sz="0" w:space="0" w:color="auto"/>
            <w:left w:val="none" w:sz="0" w:space="0" w:color="auto"/>
            <w:bottom w:val="none" w:sz="0" w:space="0" w:color="auto"/>
            <w:right w:val="none" w:sz="0" w:space="0" w:color="auto"/>
          </w:divBdr>
        </w:div>
      </w:divsChild>
    </w:div>
    <w:div w:id="481044022">
      <w:bodyDiv w:val="1"/>
      <w:marLeft w:val="0"/>
      <w:marRight w:val="0"/>
      <w:marTop w:val="0"/>
      <w:marBottom w:val="0"/>
      <w:divBdr>
        <w:top w:val="none" w:sz="0" w:space="0" w:color="auto"/>
        <w:left w:val="none" w:sz="0" w:space="0" w:color="auto"/>
        <w:bottom w:val="none" w:sz="0" w:space="0" w:color="auto"/>
        <w:right w:val="none" w:sz="0" w:space="0" w:color="auto"/>
      </w:divBdr>
    </w:div>
    <w:div w:id="488601563">
      <w:bodyDiv w:val="1"/>
      <w:marLeft w:val="0"/>
      <w:marRight w:val="0"/>
      <w:marTop w:val="0"/>
      <w:marBottom w:val="0"/>
      <w:divBdr>
        <w:top w:val="none" w:sz="0" w:space="0" w:color="auto"/>
        <w:left w:val="none" w:sz="0" w:space="0" w:color="auto"/>
        <w:bottom w:val="none" w:sz="0" w:space="0" w:color="auto"/>
        <w:right w:val="none" w:sz="0" w:space="0" w:color="auto"/>
      </w:divBdr>
    </w:div>
    <w:div w:id="502209656">
      <w:bodyDiv w:val="1"/>
      <w:marLeft w:val="0"/>
      <w:marRight w:val="0"/>
      <w:marTop w:val="0"/>
      <w:marBottom w:val="0"/>
      <w:divBdr>
        <w:top w:val="none" w:sz="0" w:space="0" w:color="auto"/>
        <w:left w:val="none" w:sz="0" w:space="0" w:color="auto"/>
        <w:bottom w:val="none" w:sz="0" w:space="0" w:color="auto"/>
        <w:right w:val="none" w:sz="0" w:space="0" w:color="auto"/>
      </w:divBdr>
    </w:div>
    <w:div w:id="504975199">
      <w:bodyDiv w:val="1"/>
      <w:marLeft w:val="0"/>
      <w:marRight w:val="0"/>
      <w:marTop w:val="0"/>
      <w:marBottom w:val="0"/>
      <w:divBdr>
        <w:top w:val="none" w:sz="0" w:space="0" w:color="auto"/>
        <w:left w:val="none" w:sz="0" w:space="0" w:color="auto"/>
        <w:bottom w:val="none" w:sz="0" w:space="0" w:color="auto"/>
        <w:right w:val="none" w:sz="0" w:space="0" w:color="auto"/>
      </w:divBdr>
    </w:div>
    <w:div w:id="505708450">
      <w:bodyDiv w:val="1"/>
      <w:marLeft w:val="0"/>
      <w:marRight w:val="0"/>
      <w:marTop w:val="0"/>
      <w:marBottom w:val="0"/>
      <w:divBdr>
        <w:top w:val="none" w:sz="0" w:space="0" w:color="auto"/>
        <w:left w:val="none" w:sz="0" w:space="0" w:color="auto"/>
        <w:bottom w:val="none" w:sz="0" w:space="0" w:color="auto"/>
        <w:right w:val="none" w:sz="0" w:space="0" w:color="auto"/>
      </w:divBdr>
    </w:div>
    <w:div w:id="514345348">
      <w:bodyDiv w:val="1"/>
      <w:marLeft w:val="0"/>
      <w:marRight w:val="0"/>
      <w:marTop w:val="0"/>
      <w:marBottom w:val="0"/>
      <w:divBdr>
        <w:top w:val="none" w:sz="0" w:space="0" w:color="auto"/>
        <w:left w:val="none" w:sz="0" w:space="0" w:color="auto"/>
        <w:bottom w:val="none" w:sz="0" w:space="0" w:color="auto"/>
        <w:right w:val="none" w:sz="0" w:space="0" w:color="auto"/>
      </w:divBdr>
    </w:div>
    <w:div w:id="527644009">
      <w:bodyDiv w:val="1"/>
      <w:marLeft w:val="0"/>
      <w:marRight w:val="0"/>
      <w:marTop w:val="0"/>
      <w:marBottom w:val="0"/>
      <w:divBdr>
        <w:top w:val="none" w:sz="0" w:space="0" w:color="auto"/>
        <w:left w:val="none" w:sz="0" w:space="0" w:color="auto"/>
        <w:bottom w:val="none" w:sz="0" w:space="0" w:color="auto"/>
        <w:right w:val="none" w:sz="0" w:space="0" w:color="auto"/>
      </w:divBdr>
    </w:div>
    <w:div w:id="535433545">
      <w:bodyDiv w:val="1"/>
      <w:marLeft w:val="0"/>
      <w:marRight w:val="0"/>
      <w:marTop w:val="0"/>
      <w:marBottom w:val="0"/>
      <w:divBdr>
        <w:top w:val="none" w:sz="0" w:space="0" w:color="auto"/>
        <w:left w:val="none" w:sz="0" w:space="0" w:color="auto"/>
        <w:bottom w:val="none" w:sz="0" w:space="0" w:color="auto"/>
        <w:right w:val="none" w:sz="0" w:space="0" w:color="auto"/>
      </w:divBdr>
    </w:div>
    <w:div w:id="539368187">
      <w:bodyDiv w:val="1"/>
      <w:marLeft w:val="0"/>
      <w:marRight w:val="0"/>
      <w:marTop w:val="0"/>
      <w:marBottom w:val="0"/>
      <w:divBdr>
        <w:top w:val="none" w:sz="0" w:space="0" w:color="auto"/>
        <w:left w:val="none" w:sz="0" w:space="0" w:color="auto"/>
        <w:bottom w:val="none" w:sz="0" w:space="0" w:color="auto"/>
        <w:right w:val="none" w:sz="0" w:space="0" w:color="auto"/>
      </w:divBdr>
    </w:div>
    <w:div w:id="567038126">
      <w:bodyDiv w:val="1"/>
      <w:marLeft w:val="0"/>
      <w:marRight w:val="0"/>
      <w:marTop w:val="0"/>
      <w:marBottom w:val="0"/>
      <w:divBdr>
        <w:top w:val="none" w:sz="0" w:space="0" w:color="auto"/>
        <w:left w:val="none" w:sz="0" w:space="0" w:color="auto"/>
        <w:bottom w:val="none" w:sz="0" w:space="0" w:color="auto"/>
        <w:right w:val="none" w:sz="0" w:space="0" w:color="auto"/>
      </w:divBdr>
    </w:div>
    <w:div w:id="570042074">
      <w:bodyDiv w:val="1"/>
      <w:marLeft w:val="0"/>
      <w:marRight w:val="0"/>
      <w:marTop w:val="0"/>
      <w:marBottom w:val="0"/>
      <w:divBdr>
        <w:top w:val="none" w:sz="0" w:space="0" w:color="auto"/>
        <w:left w:val="none" w:sz="0" w:space="0" w:color="auto"/>
        <w:bottom w:val="none" w:sz="0" w:space="0" w:color="auto"/>
        <w:right w:val="none" w:sz="0" w:space="0" w:color="auto"/>
      </w:divBdr>
    </w:div>
    <w:div w:id="579019505">
      <w:bodyDiv w:val="1"/>
      <w:marLeft w:val="0"/>
      <w:marRight w:val="0"/>
      <w:marTop w:val="0"/>
      <w:marBottom w:val="0"/>
      <w:divBdr>
        <w:top w:val="none" w:sz="0" w:space="0" w:color="auto"/>
        <w:left w:val="none" w:sz="0" w:space="0" w:color="auto"/>
        <w:bottom w:val="none" w:sz="0" w:space="0" w:color="auto"/>
        <w:right w:val="none" w:sz="0" w:space="0" w:color="auto"/>
      </w:divBdr>
    </w:div>
    <w:div w:id="588008289">
      <w:bodyDiv w:val="1"/>
      <w:marLeft w:val="0"/>
      <w:marRight w:val="0"/>
      <w:marTop w:val="0"/>
      <w:marBottom w:val="0"/>
      <w:divBdr>
        <w:top w:val="none" w:sz="0" w:space="0" w:color="auto"/>
        <w:left w:val="none" w:sz="0" w:space="0" w:color="auto"/>
        <w:bottom w:val="none" w:sz="0" w:space="0" w:color="auto"/>
        <w:right w:val="none" w:sz="0" w:space="0" w:color="auto"/>
      </w:divBdr>
    </w:div>
    <w:div w:id="635719654">
      <w:bodyDiv w:val="1"/>
      <w:marLeft w:val="0"/>
      <w:marRight w:val="0"/>
      <w:marTop w:val="0"/>
      <w:marBottom w:val="0"/>
      <w:divBdr>
        <w:top w:val="none" w:sz="0" w:space="0" w:color="auto"/>
        <w:left w:val="none" w:sz="0" w:space="0" w:color="auto"/>
        <w:bottom w:val="none" w:sz="0" w:space="0" w:color="auto"/>
        <w:right w:val="none" w:sz="0" w:space="0" w:color="auto"/>
      </w:divBdr>
    </w:div>
    <w:div w:id="649598121">
      <w:bodyDiv w:val="1"/>
      <w:marLeft w:val="0"/>
      <w:marRight w:val="0"/>
      <w:marTop w:val="0"/>
      <w:marBottom w:val="0"/>
      <w:divBdr>
        <w:top w:val="none" w:sz="0" w:space="0" w:color="auto"/>
        <w:left w:val="none" w:sz="0" w:space="0" w:color="auto"/>
        <w:bottom w:val="none" w:sz="0" w:space="0" w:color="auto"/>
        <w:right w:val="none" w:sz="0" w:space="0" w:color="auto"/>
      </w:divBdr>
    </w:div>
    <w:div w:id="658341834">
      <w:bodyDiv w:val="1"/>
      <w:marLeft w:val="0"/>
      <w:marRight w:val="0"/>
      <w:marTop w:val="0"/>
      <w:marBottom w:val="0"/>
      <w:divBdr>
        <w:top w:val="none" w:sz="0" w:space="0" w:color="auto"/>
        <w:left w:val="none" w:sz="0" w:space="0" w:color="auto"/>
        <w:bottom w:val="none" w:sz="0" w:space="0" w:color="auto"/>
        <w:right w:val="none" w:sz="0" w:space="0" w:color="auto"/>
      </w:divBdr>
    </w:div>
    <w:div w:id="679545827">
      <w:bodyDiv w:val="1"/>
      <w:marLeft w:val="0"/>
      <w:marRight w:val="0"/>
      <w:marTop w:val="0"/>
      <w:marBottom w:val="0"/>
      <w:divBdr>
        <w:top w:val="none" w:sz="0" w:space="0" w:color="auto"/>
        <w:left w:val="none" w:sz="0" w:space="0" w:color="auto"/>
        <w:bottom w:val="none" w:sz="0" w:space="0" w:color="auto"/>
        <w:right w:val="none" w:sz="0" w:space="0" w:color="auto"/>
      </w:divBdr>
    </w:div>
    <w:div w:id="695930314">
      <w:bodyDiv w:val="1"/>
      <w:marLeft w:val="0"/>
      <w:marRight w:val="0"/>
      <w:marTop w:val="0"/>
      <w:marBottom w:val="0"/>
      <w:divBdr>
        <w:top w:val="none" w:sz="0" w:space="0" w:color="auto"/>
        <w:left w:val="none" w:sz="0" w:space="0" w:color="auto"/>
        <w:bottom w:val="none" w:sz="0" w:space="0" w:color="auto"/>
        <w:right w:val="none" w:sz="0" w:space="0" w:color="auto"/>
      </w:divBdr>
    </w:div>
    <w:div w:id="696465312">
      <w:bodyDiv w:val="1"/>
      <w:marLeft w:val="0"/>
      <w:marRight w:val="0"/>
      <w:marTop w:val="0"/>
      <w:marBottom w:val="0"/>
      <w:divBdr>
        <w:top w:val="none" w:sz="0" w:space="0" w:color="auto"/>
        <w:left w:val="none" w:sz="0" w:space="0" w:color="auto"/>
        <w:bottom w:val="none" w:sz="0" w:space="0" w:color="auto"/>
        <w:right w:val="none" w:sz="0" w:space="0" w:color="auto"/>
      </w:divBdr>
    </w:div>
    <w:div w:id="700207154">
      <w:bodyDiv w:val="1"/>
      <w:marLeft w:val="0"/>
      <w:marRight w:val="0"/>
      <w:marTop w:val="0"/>
      <w:marBottom w:val="0"/>
      <w:divBdr>
        <w:top w:val="none" w:sz="0" w:space="0" w:color="auto"/>
        <w:left w:val="none" w:sz="0" w:space="0" w:color="auto"/>
        <w:bottom w:val="none" w:sz="0" w:space="0" w:color="auto"/>
        <w:right w:val="none" w:sz="0" w:space="0" w:color="auto"/>
      </w:divBdr>
    </w:div>
    <w:div w:id="701979751">
      <w:bodyDiv w:val="1"/>
      <w:marLeft w:val="0"/>
      <w:marRight w:val="0"/>
      <w:marTop w:val="0"/>
      <w:marBottom w:val="0"/>
      <w:divBdr>
        <w:top w:val="none" w:sz="0" w:space="0" w:color="auto"/>
        <w:left w:val="none" w:sz="0" w:space="0" w:color="auto"/>
        <w:bottom w:val="none" w:sz="0" w:space="0" w:color="auto"/>
        <w:right w:val="none" w:sz="0" w:space="0" w:color="auto"/>
      </w:divBdr>
    </w:div>
    <w:div w:id="706413179">
      <w:bodyDiv w:val="1"/>
      <w:marLeft w:val="0"/>
      <w:marRight w:val="0"/>
      <w:marTop w:val="0"/>
      <w:marBottom w:val="0"/>
      <w:divBdr>
        <w:top w:val="none" w:sz="0" w:space="0" w:color="auto"/>
        <w:left w:val="none" w:sz="0" w:space="0" w:color="auto"/>
        <w:bottom w:val="none" w:sz="0" w:space="0" w:color="auto"/>
        <w:right w:val="none" w:sz="0" w:space="0" w:color="auto"/>
      </w:divBdr>
    </w:div>
    <w:div w:id="709375921">
      <w:bodyDiv w:val="1"/>
      <w:marLeft w:val="0"/>
      <w:marRight w:val="0"/>
      <w:marTop w:val="0"/>
      <w:marBottom w:val="0"/>
      <w:divBdr>
        <w:top w:val="none" w:sz="0" w:space="0" w:color="auto"/>
        <w:left w:val="none" w:sz="0" w:space="0" w:color="auto"/>
        <w:bottom w:val="none" w:sz="0" w:space="0" w:color="auto"/>
        <w:right w:val="none" w:sz="0" w:space="0" w:color="auto"/>
      </w:divBdr>
    </w:div>
    <w:div w:id="715350919">
      <w:bodyDiv w:val="1"/>
      <w:marLeft w:val="0"/>
      <w:marRight w:val="0"/>
      <w:marTop w:val="0"/>
      <w:marBottom w:val="0"/>
      <w:divBdr>
        <w:top w:val="none" w:sz="0" w:space="0" w:color="auto"/>
        <w:left w:val="none" w:sz="0" w:space="0" w:color="auto"/>
        <w:bottom w:val="none" w:sz="0" w:space="0" w:color="auto"/>
        <w:right w:val="none" w:sz="0" w:space="0" w:color="auto"/>
      </w:divBdr>
    </w:div>
    <w:div w:id="716778589">
      <w:bodyDiv w:val="1"/>
      <w:marLeft w:val="0"/>
      <w:marRight w:val="0"/>
      <w:marTop w:val="0"/>
      <w:marBottom w:val="0"/>
      <w:divBdr>
        <w:top w:val="none" w:sz="0" w:space="0" w:color="auto"/>
        <w:left w:val="none" w:sz="0" w:space="0" w:color="auto"/>
        <w:bottom w:val="none" w:sz="0" w:space="0" w:color="auto"/>
        <w:right w:val="none" w:sz="0" w:space="0" w:color="auto"/>
      </w:divBdr>
    </w:div>
    <w:div w:id="722288865">
      <w:bodyDiv w:val="1"/>
      <w:marLeft w:val="0"/>
      <w:marRight w:val="0"/>
      <w:marTop w:val="0"/>
      <w:marBottom w:val="0"/>
      <w:divBdr>
        <w:top w:val="none" w:sz="0" w:space="0" w:color="auto"/>
        <w:left w:val="none" w:sz="0" w:space="0" w:color="auto"/>
        <w:bottom w:val="none" w:sz="0" w:space="0" w:color="auto"/>
        <w:right w:val="none" w:sz="0" w:space="0" w:color="auto"/>
      </w:divBdr>
    </w:div>
    <w:div w:id="725646299">
      <w:bodyDiv w:val="1"/>
      <w:marLeft w:val="0"/>
      <w:marRight w:val="0"/>
      <w:marTop w:val="0"/>
      <w:marBottom w:val="0"/>
      <w:divBdr>
        <w:top w:val="none" w:sz="0" w:space="0" w:color="auto"/>
        <w:left w:val="none" w:sz="0" w:space="0" w:color="auto"/>
        <w:bottom w:val="none" w:sz="0" w:space="0" w:color="auto"/>
        <w:right w:val="none" w:sz="0" w:space="0" w:color="auto"/>
      </w:divBdr>
    </w:div>
    <w:div w:id="732776239">
      <w:bodyDiv w:val="1"/>
      <w:marLeft w:val="0"/>
      <w:marRight w:val="0"/>
      <w:marTop w:val="0"/>
      <w:marBottom w:val="0"/>
      <w:divBdr>
        <w:top w:val="none" w:sz="0" w:space="0" w:color="auto"/>
        <w:left w:val="none" w:sz="0" w:space="0" w:color="auto"/>
        <w:bottom w:val="none" w:sz="0" w:space="0" w:color="auto"/>
        <w:right w:val="none" w:sz="0" w:space="0" w:color="auto"/>
      </w:divBdr>
    </w:div>
    <w:div w:id="733313371">
      <w:bodyDiv w:val="1"/>
      <w:marLeft w:val="0"/>
      <w:marRight w:val="0"/>
      <w:marTop w:val="0"/>
      <w:marBottom w:val="0"/>
      <w:divBdr>
        <w:top w:val="none" w:sz="0" w:space="0" w:color="auto"/>
        <w:left w:val="none" w:sz="0" w:space="0" w:color="auto"/>
        <w:bottom w:val="none" w:sz="0" w:space="0" w:color="auto"/>
        <w:right w:val="none" w:sz="0" w:space="0" w:color="auto"/>
      </w:divBdr>
    </w:div>
    <w:div w:id="739063189">
      <w:bodyDiv w:val="1"/>
      <w:marLeft w:val="0"/>
      <w:marRight w:val="0"/>
      <w:marTop w:val="0"/>
      <w:marBottom w:val="0"/>
      <w:divBdr>
        <w:top w:val="none" w:sz="0" w:space="0" w:color="auto"/>
        <w:left w:val="none" w:sz="0" w:space="0" w:color="auto"/>
        <w:bottom w:val="none" w:sz="0" w:space="0" w:color="auto"/>
        <w:right w:val="none" w:sz="0" w:space="0" w:color="auto"/>
      </w:divBdr>
    </w:div>
    <w:div w:id="739403251">
      <w:bodyDiv w:val="1"/>
      <w:marLeft w:val="0"/>
      <w:marRight w:val="0"/>
      <w:marTop w:val="0"/>
      <w:marBottom w:val="0"/>
      <w:divBdr>
        <w:top w:val="none" w:sz="0" w:space="0" w:color="auto"/>
        <w:left w:val="none" w:sz="0" w:space="0" w:color="auto"/>
        <w:bottom w:val="none" w:sz="0" w:space="0" w:color="auto"/>
        <w:right w:val="none" w:sz="0" w:space="0" w:color="auto"/>
      </w:divBdr>
    </w:div>
    <w:div w:id="751314864">
      <w:bodyDiv w:val="1"/>
      <w:marLeft w:val="0"/>
      <w:marRight w:val="0"/>
      <w:marTop w:val="0"/>
      <w:marBottom w:val="0"/>
      <w:divBdr>
        <w:top w:val="none" w:sz="0" w:space="0" w:color="auto"/>
        <w:left w:val="none" w:sz="0" w:space="0" w:color="auto"/>
        <w:bottom w:val="none" w:sz="0" w:space="0" w:color="auto"/>
        <w:right w:val="none" w:sz="0" w:space="0" w:color="auto"/>
      </w:divBdr>
    </w:div>
    <w:div w:id="754404913">
      <w:bodyDiv w:val="1"/>
      <w:marLeft w:val="0"/>
      <w:marRight w:val="0"/>
      <w:marTop w:val="0"/>
      <w:marBottom w:val="0"/>
      <w:divBdr>
        <w:top w:val="none" w:sz="0" w:space="0" w:color="auto"/>
        <w:left w:val="none" w:sz="0" w:space="0" w:color="auto"/>
        <w:bottom w:val="none" w:sz="0" w:space="0" w:color="auto"/>
        <w:right w:val="none" w:sz="0" w:space="0" w:color="auto"/>
      </w:divBdr>
    </w:div>
    <w:div w:id="756051594">
      <w:bodyDiv w:val="1"/>
      <w:marLeft w:val="0"/>
      <w:marRight w:val="0"/>
      <w:marTop w:val="0"/>
      <w:marBottom w:val="0"/>
      <w:divBdr>
        <w:top w:val="none" w:sz="0" w:space="0" w:color="auto"/>
        <w:left w:val="none" w:sz="0" w:space="0" w:color="auto"/>
        <w:bottom w:val="none" w:sz="0" w:space="0" w:color="auto"/>
        <w:right w:val="none" w:sz="0" w:space="0" w:color="auto"/>
      </w:divBdr>
    </w:div>
    <w:div w:id="764543264">
      <w:bodyDiv w:val="1"/>
      <w:marLeft w:val="0"/>
      <w:marRight w:val="0"/>
      <w:marTop w:val="0"/>
      <w:marBottom w:val="0"/>
      <w:divBdr>
        <w:top w:val="none" w:sz="0" w:space="0" w:color="auto"/>
        <w:left w:val="none" w:sz="0" w:space="0" w:color="auto"/>
        <w:bottom w:val="none" w:sz="0" w:space="0" w:color="auto"/>
        <w:right w:val="none" w:sz="0" w:space="0" w:color="auto"/>
      </w:divBdr>
    </w:div>
    <w:div w:id="826675176">
      <w:bodyDiv w:val="1"/>
      <w:marLeft w:val="0"/>
      <w:marRight w:val="0"/>
      <w:marTop w:val="0"/>
      <w:marBottom w:val="0"/>
      <w:divBdr>
        <w:top w:val="none" w:sz="0" w:space="0" w:color="auto"/>
        <w:left w:val="none" w:sz="0" w:space="0" w:color="auto"/>
        <w:bottom w:val="none" w:sz="0" w:space="0" w:color="auto"/>
        <w:right w:val="none" w:sz="0" w:space="0" w:color="auto"/>
      </w:divBdr>
    </w:div>
    <w:div w:id="831288404">
      <w:bodyDiv w:val="1"/>
      <w:marLeft w:val="0"/>
      <w:marRight w:val="0"/>
      <w:marTop w:val="0"/>
      <w:marBottom w:val="0"/>
      <w:divBdr>
        <w:top w:val="none" w:sz="0" w:space="0" w:color="auto"/>
        <w:left w:val="none" w:sz="0" w:space="0" w:color="auto"/>
        <w:bottom w:val="none" w:sz="0" w:space="0" w:color="auto"/>
        <w:right w:val="none" w:sz="0" w:space="0" w:color="auto"/>
      </w:divBdr>
    </w:div>
    <w:div w:id="840581616">
      <w:bodyDiv w:val="1"/>
      <w:marLeft w:val="0"/>
      <w:marRight w:val="0"/>
      <w:marTop w:val="0"/>
      <w:marBottom w:val="0"/>
      <w:divBdr>
        <w:top w:val="none" w:sz="0" w:space="0" w:color="auto"/>
        <w:left w:val="none" w:sz="0" w:space="0" w:color="auto"/>
        <w:bottom w:val="none" w:sz="0" w:space="0" w:color="auto"/>
        <w:right w:val="none" w:sz="0" w:space="0" w:color="auto"/>
      </w:divBdr>
    </w:div>
    <w:div w:id="842404047">
      <w:bodyDiv w:val="1"/>
      <w:marLeft w:val="0"/>
      <w:marRight w:val="0"/>
      <w:marTop w:val="0"/>
      <w:marBottom w:val="0"/>
      <w:divBdr>
        <w:top w:val="none" w:sz="0" w:space="0" w:color="auto"/>
        <w:left w:val="none" w:sz="0" w:space="0" w:color="auto"/>
        <w:bottom w:val="none" w:sz="0" w:space="0" w:color="auto"/>
        <w:right w:val="none" w:sz="0" w:space="0" w:color="auto"/>
      </w:divBdr>
      <w:divsChild>
        <w:div w:id="1706178585">
          <w:marLeft w:val="1440"/>
          <w:marRight w:val="0"/>
          <w:marTop w:val="0"/>
          <w:marBottom w:val="0"/>
          <w:divBdr>
            <w:top w:val="none" w:sz="0" w:space="0" w:color="auto"/>
            <w:left w:val="none" w:sz="0" w:space="0" w:color="auto"/>
            <w:bottom w:val="none" w:sz="0" w:space="0" w:color="auto"/>
            <w:right w:val="none" w:sz="0" w:space="0" w:color="auto"/>
          </w:divBdr>
        </w:div>
      </w:divsChild>
    </w:div>
    <w:div w:id="847982623">
      <w:bodyDiv w:val="1"/>
      <w:marLeft w:val="0"/>
      <w:marRight w:val="0"/>
      <w:marTop w:val="0"/>
      <w:marBottom w:val="0"/>
      <w:divBdr>
        <w:top w:val="none" w:sz="0" w:space="0" w:color="auto"/>
        <w:left w:val="none" w:sz="0" w:space="0" w:color="auto"/>
        <w:bottom w:val="none" w:sz="0" w:space="0" w:color="auto"/>
        <w:right w:val="none" w:sz="0" w:space="0" w:color="auto"/>
      </w:divBdr>
    </w:div>
    <w:div w:id="870998339">
      <w:bodyDiv w:val="1"/>
      <w:marLeft w:val="0"/>
      <w:marRight w:val="0"/>
      <w:marTop w:val="0"/>
      <w:marBottom w:val="0"/>
      <w:divBdr>
        <w:top w:val="none" w:sz="0" w:space="0" w:color="auto"/>
        <w:left w:val="none" w:sz="0" w:space="0" w:color="auto"/>
        <w:bottom w:val="none" w:sz="0" w:space="0" w:color="auto"/>
        <w:right w:val="none" w:sz="0" w:space="0" w:color="auto"/>
      </w:divBdr>
      <w:divsChild>
        <w:div w:id="1941066182">
          <w:marLeft w:val="562"/>
          <w:marRight w:val="0"/>
          <w:marTop w:val="120"/>
          <w:marBottom w:val="120"/>
          <w:divBdr>
            <w:top w:val="none" w:sz="0" w:space="0" w:color="auto"/>
            <w:left w:val="none" w:sz="0" w:space="0" w:color="auto"/>
            <w:bottom w:val="none" w:sz="0" w:space="0" w:color="auto"/>
            <w:right w:val="none" w:sz="0" w:space="0" w:color="auto"/>
          </w:divBdr>
        </w:div>
      </w:divsChild>
    </w:div>
    <w:div w:id="913858804">
      <w:bodyDiv w:val="1"/>
      <w:marLeft w:val="0"/>
      <w:marRight w:val="0"/>
      <w:marTop w:val="0"/>
      <w:marBottom w:val="0"/>
      <w:divBdr>
        <w:top w:val="none" w:sz="0" w:space="0" w:color="auto"/>
        <w:left w:val="none" w:sz="0" w:space="0" w:color="auto"/>
        <w:bottom w:val="none" w:sz="0" w:space="0" w:color="auto"/>
        <w:right w:val="none" w:sz="0" w:space="0" w:color="auto"/>
      </w:divBdr>
    </w:div>
    <w:div w:id="923342496">
      <w:bodyDiv w:val="1"/>
      <w:marLeft w:val="0"/>
      <w:marRight w:val="0"/>
      <w:marTop w:val="0"/>
      <w:marBottom w:val="0"/>
      <w:divBdr>
        <w:top w:val="none" w:sz="0" w:space="0" w:color="auto"/>
        <w:left w:val="none" w:sz="0" w:space="0" w:color="auto"/>
        <w:bottom w:val="none" w:sz="0" w:space="0" w:color="auto"/>
        <w:right w:val="none" w:sz="0" w:space="0" w:color="auto"/>
      </w:divBdr>
    </w:div>
    <w:div w:id="947271342">
      <w:bodyDiv w:val="1"/>
      <w:marLeft w:val="0"/>
      <w:marRight w:val="0"/>
      <w:marTop w:val="0"/>
      <w:marBottom w:val="0"/>
      <w:divBdr>
        <w:top w:val="none" w:sz="0" w:space="0" w:color="auto"/>
        <w:left w:val="none" w:sz="0" w:space="0" w:color="auto"/>
        <w:bottom w:val="none" w:sz="0" w:space="0" w:color="auto"/>
        <w:right w:val="none" w:sz="0" w:space="0" w:color="auto"/>
      </w:divBdr>
    </w:div>
    <w:div w:id="947851185">
      <w:bodyDiv w:val="1"/>
      <w:marLeft w:val="0"/>
      <w:marRight w:val="0"/>
      <w:marTop w:val="0"/>
      <w:marBottom w:val="0"/>
      <w:divBdr>
        <w:top w:val="none" w:sz="0" w:space="0" w:color="auto"/>
        <w:left w:val="none" w:sz="0" w:space="0" w:color="auto"/>
        <w:bottom w:val="none" w:sz="0" w:space="0" w:color="auto"/>
        <w:right w:val="none" w:sz="0" w:space="0" w:color="auto"/>
      </w:divBdr>
    </w:div>
    <w:div w:id="951740902">
      <w:bodyDiv w:val="1"/>
      <w:marLeft w:val="0"/>
      <w:marRight w:val="0"/>
      <w:marTop w:val="0"/>
      <w:marBottom w:val="0"/>
      <w:divBdr>
        <w:top w:val="none" w:sz="0" w:space="0" w:color="auto"/>
        <w:left w:val="none" w:sz="0" w:space="0" w:color="auto"/>
        <w:bottom w:val="none" w:sz="0" w:space="0" w:color="auto"/>
        <w:right w:val="none" w:sz="0" w:space="0" w:color="auto"/>
      </w:divBdr>
    </w:div>
    <w:div w:id="951940180">
      <w:bodyDiv w:val="1"/>
      <w:marLeft w:val="0"/>
      <w:marRight w:val="0"/>
      <w:marTop w:val="0"/>
      <w:marBottom w:val="0"/>
      <w:divBdr>
        <w:top w:val="none" w:sz="0" w:space="0" w:color="auto"/>
        <w:left w:val="none" w:sz="0" w:space="0" w:color="auto"/>
        <w:bottom w:val="none" w:sz="0" w:space="0" w:color="auto"/>
        <w:right w:val="none" w:sz="0" w:space="0" w:color="auto"/>
      </w:divBdr>
    </w:div>
    <w:div w:id="973801500">
      <w:bodyDiv w:val="1"/>
      <w:marLeft w:val="0"/>
      <w:marRight w:val="0"/>
      <w:marTop w:val="0"/>
      <w:marBottom w:val="0"/>
      <w:divBdr>
        <w:top w:val="none" w:sz="0" w:space="0" w:color="auto"/>
        <w:left w:val="none" w:sz="0" w:space="0" w:color="auto"/>
        <w:bottom w:val="none" w:sz="0" w:space="0" w:color="auto"/>
        <w:right w:val="none" w:sz="0" w:space="0" w:color="auto"/>
      </w:divBdr>
    </w:div>
    <w:div w:id="978533273">
      <w:bodyDiv w:val="1"/>
      <w:marLeft w:val="0"/>
      <w:marRight w:val="0"/>
      <w:marTop w:val="0"/>
      <w:marBottom w:val="0"/>
      <w:divBdr>
        <w:top w:val="none" w:sz="0" w:space="0" w:color="auto"/>
        <w:left w:val="none" w:sz="0" w:space="0" w:color="auto"/>
        <w:bottom w:val="none" w:sz="0" w:space="0" w:color="auto"/>
        <w:right w:val="none" w:sz="0" w:space="0" w:color="auto"/>
      </w:divBdr>
    </w:div>
    <w:div w:id="984049480">
      <w:bodyDiv w:val="1"/>
      <w:marLeft w:val="0"/>
      <w:marRight w:val="0"/>
      <w:marTop w:val="0"/>
      <w:marBottom w:val="0"/>
      <w:divBdr>
        <w:top w:val="none" w:sz="0" w:space="0" w:color="auto"/>
        <w:left w:val="none" w:sz="0" w:space="0" w:color="auto"/>
        <w:bottom w:val="none" w:sz="0" w:space="0" w:color="auto"/>
        <w:right w:val="none" w:sz="0" w:space="0" w:color="auto"/>
      </w:divBdr>
    </w:div>
    <w:div w:id="994720786">
      <w:bodyDiv w:val="1"/>
      <w:marLeft w:val="0"/>
      <w:marRight w:val="0"/>
      <w:marTop w:val="0"/>
      <w:marBottom w:val="0"/>
      <w:divBdr>
        <w:top w:val="none" w:sz="0" w:space="0" w:color="auto"/>
        <w:left w:val="none" w:sz="0" w:space="0" w:color="auto"/>
        <w:bottom w:val="none" w:sz="0" w:space="0" w:color="auto"/>
        <w:right w:val="none" w:sz="0" w:space="0" w:color="auto"/>
      </w:divBdr>
    </w:div>
    <w:div w:id="995301858">
      <w:bodyDiv w:val="1"/>
      <w:marLeft w:val="0"/>
      <w:marRight w:val="0"/>
      <w:marTop w:val="0"/>
      <w:marBottom w:val="0"/>
      <w:divBdr>
        <w:top w:val="none" w:sz="0" w:space="0" w:color="auto"/>
        <w:left w:val="none" w:sz="0" w:space="0" w:color="auto"/>
        <w:bottom w:val="none" w:sz="0" w:space="0" w:color="auto"/>
        <w:right w:val="none" w:sz="0" w:space="0" w:color="auto"/>
      </w:divBdr>
    </w:div>
    <w:div w:id="1009913918">
      <w:bodyDiv w:val="1"/>
      <w:marLeft w:val="0"/>
      <w:marRight w:val="0"/>
      <w:marTop w:val="0"/>
      <w:marBottom w:val="0"/>
      <w:divBdr>
        <w:top w:val="none" w:sz="0" w:space="0" w:color="auto"/>
        <w:left w:val="none" w:sz="0" w:space="0" w:color="auto"/>
        <w:bottom w:val="none" w:sz="0" w:space="0" w:color="auto"/>
        <w:right w:val="none" w:sz="0" w:space="0" w:color="auto"/>
      </w:divBdr>
    </w:div>
    <w:div w:id="1028020807">
      <w:bodyDiv w:val="1"/>
      <w:marLeft w:val="0"/>
      <w:marRight w:val="0"/>
      <w:marTop w:val="0"/>
      <w:marBottom w:val="0"/>
      <w:divBdr>
        <w:top w:val="none" w:sz="0" w:space="0" w:color="auto"/>
        <w:left w:val="none" w:sz="0" w:space="0" w:color="auto"/>
        <w:bottom w:val="none" w:sz="0" w:space="0" w:color="auto"/>
        <w:right w:val="none" w:sz="0" w:space="0" w:color="auto"/>
      </w:divBdr>
    </w:div>
    <w:div w:id="1032345853">
      <w:bodyDiv w:val="1"/>
      <w:marLeft w:val="0"/>
      <w:marRight w:val="0"/>
      <w:marTop w:val="0"/>
      <w:marBottom w:val="0"/>
      <w:divBdr>
        <w:top w:val="none" w:sz="0" w:space="0" w:color="auto"/>
        <w:left w:val="none" w:sz="0" w:space="0" w:color="auto"/>
        <w:bottom w:val="none" w:sz="0" w:space="0" w:color="auto"/>
        <w:right w:val="none" w:sz="0" w:space="0" w:color="auto"/>
      </w:divBdr>
    </w:div>
    <w:div w:id="1061710432">
      <w:bodyDiv w:val="1"/>
      <w:marLeft w:val="0"/>
      <w:marRight w:val="0"/>
      <w:marTop w:val="0"/>
      <w:marBottom w:val="0"/>
      <w:divBdr>
        <w:top w:val="none" w:sz="0" w:space="0" w:color="auto"/>
        <w:left w:val="none" w:sz="0" w:space="0" w:color="auto"/>
        <w:bottom w:val="none" w:sz="0" w:space="0" w:color="auto"/>
        <w:right w:val="none" w:sz="0" w:space="0" w:color="auto"/>
      </w:divBdr>
    </w:div>
    <w:div w:id="1063604788">
      <w:bodyDiv w:val="1"/>
      <w:marLeft w:val="0"/>
      <w:marRight w:val="0"/>
      <w:marTop w:val="0"/>
      <w:marBottom w:val="0"/>
      <w:divBdr>
        <w:top w:val="none" w:sz="0" w:space="0" w:color="auto"/>
        <w:left w:val="none" w:sz="0" w:space="0" w:color="auto"/>
        <w:bottom w:val="none" w:sz="0" w:space="0" w:color="auto"/>
        <w:right w:val="none" w:sz="0" w:space="0" w:color="auto"/>
      </w:divBdr>
    </w:div>
    <w:div w:id="1129274737">
      <w:bodyDiv w:val="1"/>
      <w:marLeft w:val="0"/>
      <w:marRight w:val="0"/>
      <w:marTop w:val="0"/>
      <w:marBottom w:val="0"/>
      <w:divBdr>
        <w:top w:val="none" w:sz="0" w:space="0" w:color="auto"/>
        <w:left w:val="none" w:sz="0" w:space="0" w:color="auto"/>
        <w:bottom w:val="none" w:sz="0" w:space="0" w:color="auto"/>
        <w:right w:val="none" w:sz="0" w:space="0" w:color="auto"/>
      </w:divBdr>
    </w:div>
    <w:div w:id="1129668968">
      <w:bodyDiv w:val="1"/>
      <w:marLeft w:val="0"/>
      <w:marRight w:val="0"/>
      <w:marTop w:val="0"/>
      <w:marBottom w:val="0"/>
      <w:divBdr>
        <w:top w:val="none" w:sz="0" w:space="0" w:color="auto"/>
        <w:left w:val="none" w:sz="0" w:space="0" w:color="auto"/>
        <w:bottom w:val="none" w:sz="0" w:space="0" w:color="auto"/>
        <w:right w:val="none" w:sz="0" w:space="0" w:color="auto"/>
      </w:divBdr>
    </w:div>
    <w:div w:id="1135372557">
      <w:bodyDiv w:val="1"/>
      <w:marLeft w:val="0"/>
      <w:marRight w:val="0"/>
      <w:marTop w:val="0"/>
      <w:marBottom w:val="0"/>
      <w:divBdr>
        <w:top w:val="none" w:sz="0" w:space="0" w:color="auto"/>
        <w:left w:val="none" w:sz="0" w:space="0" w:color="auto"/>
        <w:bottom w:val="none" w:sz="0" w:space="0" w:color="auto"/>
        <w:right w:val="none" w:sz="0" w:space="0" w:color="auto"/>
      </w:divBdr>
    </w:div>
    <w:div w:id="1153645738">
      <w:bodyDiv w:val="1"/>
      <w:marLeft w:val="0"/>
      <w:marRight w:val="0"/>
      <w:marTop w:val="0"/>
      <w:marBottom w:val="0"/>
      <w:divBdr>
        <w:top w:val="none" w:sz="0" w:space="0" w:color="auto"/>
        <w:left w:val="none" w:sz="0" w:space="0" w:color="auto"/>
        <w:bottom w:val="none" w:sz="0" w:space="0" w:color="auto"/>
        <w:right w:val="none" w:sz="0" w:space="0" w:color="auto"/>
      </w:divBdr>
    </w:div>
    <w:div w:id="1169902772">
      <w:bodyDiv w:val="1"/>
      <w:marLeft w:val="0"/>
      <w:marRight w:val="0"/>
      <w:marTop w:val="0"/>
      <w:marBottom w:val="0"/>
      <w:divBdr>
        <w:top w:val="none" w:sz="0" w:space="0" w:color="auto"/>
        <w:left w:val="none" w:sz="0" w:space="0" w:color="auto"/>
        <w:bottom w:val="none" w:sz="0" w:space="0" w:color="auto"/>
        <w:right w:val="none" w:sz="0" w:space="0" w:color="auto"/>
      </w:divBdr>
    </w:div>
    <w:div w:id="1176266789">
      <w:bodyDiv w:val="1"/>
      <w:marLeft w:val="0"/>
      <w:marRight w:val="0"/>
      <w:marTop w:val="0"/>
      <w:marBottom w:val="0"/>
      <w:divBdr>
        <w:top w:val="none" w:sz="0" w:space="0" w:color="auto"/>
        <w:left w:val="none" w:sz="0" w:space="0" w:color="auto"/>
        <w:bottom w:val="none" w:sz="0" w:space="0" w:color="auto"/>
        <w:right w:val="none" w:sz="0" w:space="0" w:color="auto"/>
      </w:divBdr>
    </w:div>
    <w:div w:id="1193957236">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196692015">
      <w:bodyDiv w:val="1"/>
      <w:marLeft w:val="0"/>
      <w:marRight w:val="0"/>
      <w:marTop w:val="0"/>
      <w:marBottom w:val="0"/>
      <w:divBdr>
        <w:top w:val="none" w:sz="0" w:space="0" w:color="auto"/>
        <w:left w:val="none" w:sz="0" w:space="0" w:color="auto"/>
        <w:bottom w:val="none" w:sz="0" w:space="0" w:color="auto"/>
        <w:right w:val="none" w:sz="0" w:space="0" w:color="auto"/>
      </w:divBdr>
    </w:div>
    <w:div w:id="1196768177">
      <w:bodyDiv w:val="1"/>
      <w:marLeft w:val="0"/>
      <w:marRight w:val="0"/>
      <w:marTop w:val="0"/>
      <w:marBottom w:val="0"/>
      <w:divBdr>
        <w:top w:val="none" w:sz="0" w:space="0" w:color="auto"/>
        <w:left w:val="none" w:sz="0" w:space="0" w:color="auto"/>
        <w:bottom w:val="none" w:sz="0" w:space="0" w:color="auto"/>
        <w:right w:val="none" w:sz="0" w:space="0" w:color="auto"/>
      </w:divBdr>
    </w:div>
    <w:div w:id="1203443091">
      <w:bodyDiv w:val="1"/>
      <w:marLeft w:val="0"/>
      <w:marRight w:val="0"/>
      <w:marTop w:val="0"/>
      <w:marBottom w:val="0"/>
      <w:divBdr>
        <w:top w:val="none" w:sz="0" w:space="0" w:color="auto"/>
        <w:left w:val="none" w:sz="0" w:space="0" w:color="auto"/>
        <w:bottom w:val="none" w:sz="0" w:space="0" w:color="auto"/>
        <w:right w:val="none" w:sz="0" w:space="0" w:color="auto"/>
      </w:divBdr>
    </w:div>
    <w:div w:id="1203857423">
      <w:bodyDiv w:val="1"/>
      <w:marLeft w:val="0"/>
      <w:marRight w:val="0"/>
      <w:marTop w:val="0"/>
      <w:marBottom w:val="0"/>
      <w:divBdr>
        <w:top w:val="none" w:sz="0" w:space="0" w:color="auto"/>
        <w:left w:val="none" w:sz="0" w:space="0" w:color="auto"/>
        <w:bottom w:val="none" w:sz="0" w:space="0" w:color="auto"/>
        <w:right w:val="none" w:sz="0" w:space="0" w:color="auto"/>
      </w:divBdr>
    </w:div>
    <w:div w:id="1206328853">
      <w:bodyDiv w:val="1"/>
      <w:marLeft w:val="0"/>
      <w:marRight w:val="0"/>
      <w:marTop w:val="0"/>
      <w:marBottom w:val="0"/>
      <w:divBdr>
        <w:top w:val="none" w:sz="0" w:space="0" w:color="auto"/>
        <w:left w:val="none" w:sz="0" w:space="0" w:color="auto"/>
        <w:bottom w:val="none" w:sz="0" w:space="0" w:color="auto"/>
        <w:right w:val="none" w:sz="0" w:space="0" w:color="auto"/>
      </w:divBdr>
    </w:div>
    <w:div w:id="1240290067">
      <w:bodyDiv w:val="1"/>
      <w:marLeft w:val="0"/>
      <w:marRight w:val="0"/>
      <w:marTop w:val="0"/>
      <w:marBottom w:val="0"/>
      <w:divBdr>
        <w:top w:val="none" w:sz="0" w:space="0" w:color="auto"/>
        <w:left w:val="none" w:sz="0" w:space="0" w:color="auto"/>
        <w:bottom w:val="none" w:sz="0" w:space="0" w:color="auto"/>
        <w:right w:val="none" w:sz="0" w:space="0" w:color="auto"/>
      </w:divBdr>
    </w:div>
    <w:div w:id="1242333093">
      <w:bodyDiv w:val="1"/>
      <w:marLeft w:val="0"/>
      <w:marRight w:val="0"/>
      <w:marTop w:val="0"/>
      <w:marBottom w:val="0"/>
      <w:divBdr>
        <w:top w:val="none" w:sz="0" w:space="0" w:color="auto"/>
        <w:left w:val="none" w:sz="0" w:space="0" w:color="auto"/>
        <w:bottom w:val="none" w:sz="0" w:space="0" w:color="auto"/>
        <w:right w:val="none" w:sz="0" w:space="0" w:color="auto"/>
      </w:divBdr>
    </w:div>
    <w:div w:id="1260334262">
      <w:bodyDiv w:val="1"/>
      <w:marLeft w:val="0"/>
      <w:marRight w:val="0"/>
      <w:marTop w:val="0"/>
      <w:marBottom w:val="0"/>
      <w:divBdr>
        <w:top w:val="none" w:sz="0" w:space="0" w:color="auto"/>
        <w:left w:val="none" w:sz="0" w:space="0" w:color="auto"/>
        <w:bottom w:val="none" w:sz="0" w:space="0" w:color="auto"/>
        <w:right w:val="none" w:sz="0" w:space="0" w:color="auto"/>
      </w:divBdr>
    </w:div>
    <w:div w:id="1276711371">
      <w:bodyDiv w:val="1"/>
      <w:marLeft w:val="0"/>
      <w:marRight w:val="0"/>
      <w:marTop w:val="0"/>
      <w:marBottom w:val="0"/>
      <w:divBdr>
        <w:top w:val="none" w:sz="0" w:space="0" w:color="auto"/>
        <w:left w:val="none" w:sz="0" w:space="0" w:color="auto"/>
        <w:bottom w:val="none" w:sz="0" w:space="0" w:color="auto"/>
        <w:right w:val="none" w:sz="0" w:space="0" w:color="auto"/>
      </w:divBdr>
    </w:div>
    <w:div w:id="1279801563">
      <w:bodyDiv w:val="1"/>
      <w:marLeft w:val="0"/>
      <w:marRight w:val="0"/>
      <w:marTop w:val="0"/>
      <w:marBottom w:val="0"/>
      <w:divBdr>
        <w:top w:val="none" w:sz="0" w:space="0" w:color="auto"/>
        <w:left w:val="none" w:sz="0" w:space="0" w:color="auto"/>
        <w:bottom w:val="none" w:sz="0" w:space="0" w:color="auto"/>
        <w:right w:val="none" w:sz="0" w:space="0" w:color="auto"/>
      </w:divBdr>
    </w:div>
    <w:div w:id="1280841489">
      <w:bodyDiv w:val="1"/>
      <w:marLeft w:val="0"/>
      <w:marRight w:val="0"/>
      <w:marTop w:val="0"/>
      <w:marBottom w:val="0"/>
      <w:divBdr>
        <w:top w:val="none" w:sz="0" w:space="0" w:color="auto"/>
        <w:left w:val="none" w:sz="0" w:space="0" w:color="auto"/>
        <w:bottom w:val="none" w:sz="0" w:space="0" w:color="auto"/>
        <w:right w:val="none" w:sz="0" w:space="0" w:color="auto"/>
      </w:divBdr>
    </w:div>
    <w:div w:id="1281838296">
      <w:bodyDiv w:val="1"/>
      <w:marLeft w:val="0"/>
      <w:marRight w:val="0"/>
      <w:marTop w:val="0"/>
      <w:marBottom w:val="0"/>
      <w:divBdr>
        <w:top w:val="none" w:sz="0" w:space="0" w:color="auto"/>
        <w:left w:val="none" w:sz="0" w:space="0" w:color="auto"/>
        <w:bottom w:val="none" w:sz="0" w:space="0" w:color="auto"/>
        <w:right w:val="none" w:sz="0" w:space="0" w:color="auto"/>
      </w:divBdr>
    </w:div>
    <w:div w:id="1284001818">
      <w:bodyDiv w:val="1"/>
      <w:marLeft w:val="0"/>
      <w:marRight w:val="0"/>
      <w:marTop w:val="0"/>
      <w:marBottom w:val="0"/>
      <w:divBdr>
        <w:top w:val="none" w:sz="0" w:space="0" w:color="auto"/>
        <w:left w:val="none" w:sz="0" w:space="0" w:color="auto"/>
        <w:bottom w:val="none" w:sz="0" w:space="0" w:color="auto"/>
        <w:right w:val="none" w:sz="0" w:space="0" w:color="auto"/>
      </w:divBdr>
    </w:div>
    <w:div w:id="1286079416">
      <w:bodyDiv w:val="1"/>
      <w:marLeft w:val="0"/>
      <w:marRight w:val="0"/>
      <w:marTop w:val="0"/>
      <w:marBottom w:val="0"/>
      <w:divBdr>
        <w:top w:val="none" w:sz="0" w:space="0" w:color="auto"/>
        <w:left w:val="none" w:sz="0" w:space="0" w:color="auto"/>
        <w:bottom w:val="none" w:sz="0" w:space="0" w:color="auto"/>
        <w:right w:val="none" w:sz="0" w:space="0" w:color="auto"/>
      </w:divBdr>
    </w:div>
    <w:div w:id="1286697422">
      <w:bodyDiv w:val="1"/>
      <w:marLeft w:val="0"/>
      <w:marRight w:val="0"/>
      <w:marTop w:val="0"/>
      <w:marBottom w:val="0"/>
      <w:divBdr>
        <w:top w:val="none" w:sz="0" w:space="0" w:color="auto"/>
        <w:left w:val="none" w:sz="0" w:space="0" w:color="auto"/>
        <w:bottom w:val="none" w:sz="0" w:space="0" w:color="auto"/>
        <w:right w:val="none" w:sz="0" w:space="0" w:color="auto"/>
      </w:divBdr>
    </w:div>
    <w:div w:id="1321076213">
      <w:bodyDiv w:val="1"/>
      <w:marLeft w:val="0"/>
      <w:marRight w:val="0"/>
      <w:marTop w:val="0"/>
      <w:marBottom w:val="0"/>
      <w:divBdr>
        <w:top w:val="none" w:sz="0" w:space="0" w:color="auto"/>
        <w:left w:val="none" w:sz="0" w:space="0" w:color="auto"/>
        <w:bottom w:val="none" w:sz="0" w:space="0" w:color="auto"/>
        <w:right w:val="none" w:sz="0" w:space="0" w:color="auto"/>
      </w:divBdr>
    </w:div>
    <w:div w:id="1339232904">
      <w:bodyDiv w:val="1"/>
      <w:marLeft w:val="0"/>
      <w:marRight w:val="0"/>
      <w:marTop w:val="0"/>
      <w:marBottom w:val="0"/>
      <w:divBdr>
        <w:top w:val="none" w:sz="0" w:space="0" w:color="auto"/>
        <w:left w:val="none" w:sz="0" w:space="0" w:color="auto"/>
        <w:bottom w:val="none" w:sz="0" w:space="0" w:color="auto"/>
        <w:right w:val="none" w:sz="0" w:space="0" w:color="auto"/>
      </w:divBdr>
    </w:div>
    <w:div w:id="1344285431">
      <w:bodyDiv w:val="1"/>
      <w:marLeft w:val="0"/>
      <w:marRight w:val="0"/>
      <w:marTop w:val="0"/>
      <w:marBottom w:val="0"/>
      <w:divBdr>
        <w:top w:val="none" w:sz="0" w:space="0" w:color="auto"/>
        <w:left w:val="none" w:sz="0" w:space="0" w:color="auto"/>
        <w:bottom w:val="none" w:sz="0" w:space="0" w:color="auto"/>
        <w:right w:val="none" w:sz="0" w:space="0" w:color="auto"/>
      </w:divBdr>
    </w:div>
    <w:div w:id="1348286781">
      <w:bodyDiv w:val="1"/>
      <w:marLeft w:val="0"/>
      <w:marRight w:val="0"/>
      <w:marTop w:val="0"/>
      <w:marBottom w:val="0"/>
      <w:divBdr>
        <w:top w:val="none" w:sz="0" w:space="0" w:color="auto"/>
        <w:left w:val="none" w:sz="0" w:space="0" w:color="auto"/>
        <w:bottom w:val="none" w:sz="0" w:space="0" w:color="auto"/>
        <w:right w:val="none" w:sz="0" w:space="0" w:color="auto"/>
      </w:divBdr>
    </w:div>
    <w:div w:id="1357345607">
      <w:bodyDiv w:val="1"/>
      <w:marLeft w:val="0"/>
      <w:marRight w:val="0"/>
      <w:marTop w:val="0"/>
      <w:marBottom w:val="0"/>
      <w:divBdr>
        <w:top w:val="none" w:sz="0" w:space="0" w:color="auto"/>
        <w:left w:val="none" w:sz="0" w:space="0" w:color="auto"/>
        <w:bottom w:val="none" w:sz="0" w:space="0" w:color="auto"/>
        <w:right w:val="none" w:sz="0" w:space="0" w:color="auto"/>
      </w:divBdr>
    </w:div>
    <w:div w:id="1365135923">
      <w:bodyDiv w:val="1"/>
      <w:marLeft w:val="0"/>
      <w:marRight w:val="0"/>
      <w:marTop w:val="0"/>
      <w:marBottom w:val="0"/>
      <w:divBdr>
        <w:top w:val="none" w:sz="0" w:space="0" w:color="auto"/>
        <w:left w:val="none" w:sz="0" w:space="0" w:color="auto"/>
        <w:bottom w:val="none" w:sz="0" w:space="0" w:color="auto"/>
        <w:right w:val="none" w:sz="0" w:space="0" w:color="auto"/>
      </w:divBdr>
    </w:div>
    <w:div w:id="1379624889">
      <w:bodyDiv w:val="1"/>
      <w:marLeft w:val="0"/>
      <w:marRight w:val="0"/>
      <w:marTop w:val="0"/>
      <w:marBottom w:val="0"/>
      <w:divBdr>
        <w:top w:val="none" w:sz="0" w:space="0" w:color="auto"/>
        <w:left w:val="none" w:sz="0" w:space="0" w:color="auto"/>
        <w:bottom w:val="none" w:sz="0" w:space="0" w:color="auto"/>
        <w:right w:val="none" w:sz="0" w:space="0" w:color="auto"/>
      </w:divBdr>
    </w:div>
    <w:div w:id="1384326560">
      <w:bodyDiv w:val="1"/>
      <w:marLeft w:val="0"/>
      <w:marRight w:val="0"/>
      <w:marTop w:val="0"/>
      <w:marBottom w:val="0"/>
      <w:divBdr>
        <w:top w:val="none" w:sz="0" w:space="0" w:color="auto"/>
        <w:left w:val="none" w:sz="0" w:space="0" w:color="auto"/>
        <w:bottom w:val="none" w:sz="0" w:space="0" w:color="auto"/>
        <w:right w:val="none" w:sz="0" w:space="0" w:color="auto"/>
      </w:divBdr>
    </w:div>
    <w:div w:id="1411852201">
      <w:bodyDiv w:val="1"/>
      <w:marLeft w:val="0"/>
      <w:marRight w:val="0"/>
      <w:marTop w:val="0"/>
      <w:marBottom w:val="0"/>
      <w:divBdr>
        <w:top w:val="none" w:sz="0" w:space="0" w:color="auto"/>
        <w:left w:val="none" w:sz="0" w:space="0" w:color="auto"/>
        <w:bottom w:val="none" w:sz="0" w:space="0" w:color="auto"/>
        <w:right w:val="none" w:sz="0" w:space="0" w:color="auto"/>
      </w:divBdr>
    </w:div>
    <w:div w:id="1419668461">
      <w:bodyDiv w:val="1"/>
      <w:marLeft w:val="0"/>
      <w:marRight w:val="0"/>
      <w:marTop w:val="0"/>
      <w:marBottom w:val="0"/>
      <w:divBdr>
        <w:top w:val="none" w:sz="0" w:space="0" w:color="auto"/>
        <w:left w:val="none" w:sz="0" w:space="0" w:color="auto"/>
        <w:bottom w:val="none" w:sz="0" w:space="0" w:color="auto"/>
        <w:right w:val="none" w:sz="0" w:space="0" w:color="auto"/>
      </w:divBdr>
    </w:div>
    <w:div w:id="1454908546">
      <w:bodyDiv w:val="1"/>
      <w:marLeft w:val="0"/>
      <w:marRight w:val="0"/>
      <w:marTop w:val="0"/>
      <w:marBottom w:val="0"/>
      <w:divBdr>
        <w:top w:val="none" w:sz="0" w:space="0" w:color="auto"/>
        <w:left w:val="none" w:sz="0" w:space="0" w:color="auto"/>
        <w:bottom w:val="none" w:sz="0" w:space="0" w:color="auto"/>
        <w:right w:val="none" w:sz="0" w:space="0" w:color="auto"/>
      </w:divBdr>
    </w:div>
    <w:div w:id="1459300864">
      <w:bodyDiv w:val="1"/>
      <w:marLeft w:val="0"/>
      <w:marRight w:val="0"/>
      <w:marTop w:val="0"/>
      <w:marBottom w:val="0"/>
      <w:divBdr>
        <w:top w:val="none" w:sz="0" w:space="0" w:color="auto"/>
        <w:left w:val="none" w:sz="0" w:space="0" w:color="auto"/>
        <w:bottom w:val="none" w:sz="0" w:space="0" w:color="auto"/>
        <w:right w:val="none" w:sz="0" w:space="0" w:color="auto"/>
      </w:divBdr>
    </w:div>
    <w:div w:id="1475444099">
      <w:bodyDiv w:val="1"/>
      <w:marLeft w:val="0"/>
      <w:marRight w:val="0"/>
      <w:marTop w:val="0"/>
      <w:marBottom w:val="0"/>
      <w:divBdr>
        <w:top w:val="none" w:sz="0" w:space="0" w:color="auto"/>
        <w:left w:val="none" w:sz="0" w:space="0" w:color="auto"/>
        <w:bottom w:val="none" w:sz="0" w:space="0" w:color="auto"/>
        <w:right w:val="none" w:sz="0" w:space="0" w:color="auto"/>
      </w:divBdr>
    </w:div>
    <w:div w:id="1508668100">
      <w:bodyDiv w:val="1"/>
      <w:marLeft w:val="0"/>
      <w:marRight w:val="0"/>
      <w:marTop w:val="0"/>
      <w:marBottom w:val="0"/>
      <w:divBdr>
        <w:top w:val="none" w:sz="0" w:space="0" w:color="auto"/>
        <w:left w:val="none" w:sz="0" w:space="0" w:color="auto"/>
        <w:bottom w:val="none" w:sz="0" w:space="0" w:color="auto"/>
        <w:right w:val="none" w:sz="0" w:space="0" w:color="auto"/>
      </w:divBdr>
    </w:div>
    <w:div w:id="1553954549">
      <w:bodyDiv w:val="1"/>
      <w:marLeft w:val="0"/>
      <w:marRight w:val="0"/>
      <w:marTop w:val="0"/>
      <w:marBottom w:val="0"/>
      <w:divBdr>
        <w:top w:val="none" w:sz="0" w:space="0" w:color="auto"/>
        <w:left w:val="none" w:sz="0" w:space="0" w:color="auto"/>
        <w:bottom w:val="none" w:sz="0" w:space="0" w:color="auto"/>
        <w:right w:val="none" w:sz="0" w:space="0" w:color="auto"/>
      </w:divBdr>
      <w:divsChild>
        <w:div w:id="1046953841">
          <w:marLeft w:val="1440"/>
          <w:marRight w:val="0"/>
          <w:marTop w:val="240"/>
          <w:marBottom w:val="0"/>
          <w:divBdr>
            <w:top w:val="none" w:sz="0" w:space="0" w:color="auto"/>
            <w:left w:val="none" w:sz="0" w:space="0" w:color="auto"/>
            <w:bottom w:val="none" w:sz="0" w:space="0" w:color="auto"/>
            <w:right w:val="none" w:sz="0" w:space="0" w:color="auto"/>
          </w:divBdr>
        </w:div>
        <w:div w:id="1819027634">
          <w:marLeft w:val="1440"/>
          <w:marRight w:val="0"/>
          <w:marTop w:val="240"/>
          <w:marBottom w:val="0"/>
          <w:divBdr>
            <w:top w:val="none" w:sz="0" w:space="0" w:color="auto"/>
            <w:left w:val="none" w:sz="0" w:space="0" w:color="auto"/>
            <w:bottom w:val="none" w:sz="0" w:space="0" w:color="auto"/>
            <w:right w:val="none" w:sz="0" w:space="0" w:color="auto"/>
          </w:divBdr>
        </w:div>
        <w:div w:id="2007708104">
          <w:marLeft w:val="1440"/>
          <w:marRight w:val="0"/>
          <w:marTop w:val="240"/>
          <w:marBottom w:val="0"/>
          <w:divBdr>
            <w:top w:val="none" w:sz="0" w:space="0" w:color="auto"/>
            <w:left w:val="none" w:sz="0" w:space="0" w:color="auto"/>
            <w:bottom w:val="none" w:sz="0" w:space="0" w:color="auto"/>
            <w:right w:val="none" w:sz="0" w:space="0" w:color="auto"/>
          </w:divBdr>
        </w:div>
      </w:divsChild>
    </w:div>
    <w:div w:id="1563523250">
      <w:bodyDiv w:val="1"/>
      <w:marLeft w:val="0"/>
      <w:marRight w:val="0"/>
      <w:marTop w:val="0"/>
      <w:marBottom w:val="0"/>
      <w:divBdr>
        <w:top w:val="none" w:sz="0" w:space="0" w:color="auto"/>
        <w:left w:val="none" w:sz="0" w:space="0" w:color="auto"/>
        <w:bottom w:val="none" w:sz="0" w:space="0" w:color="auto"/>
        <w:right w:val="none" w:sz="0" w:space="0" w:color="auto"/>
      </w:divBdr>
    </w:div>
    <w:div w:id="1591239043">
      <w:bodyDiv w:val="1"/>
      <w:marLeft w:val="0"/>
      <w:marRight w:val="0"/>
      <w:marTop w:val="0"/>
      <w:marBottom w:val="0"/>
      <w:divBdr>
        <w:top w:val="none" w:sz="0" w:space="0" w:color="auto"/>
        <w:left w:val="none" w:sz="0" w:space="0" w:color="auto"/>
        <w:bottom w:val="none" w:sz="0" w:space="0" w:color="auto"/>
        <w:right w:val="none" w:sz="0" w:space="0" w:color="auto"/>
      </w:divBdr>
    </w:div>
    <w:div w:id="1607809567">
      <w:bodyDiv w:val="1"/>
      <w:marLeft w:val="0"/>
      <w:marRight w:val="0"/>
      <w:marTop w:val="0"/>
      <w:marBottom w:val="0"/>
      <w:divBdr>
        <w:top w:val="none" w:sz="0" w:space="0" w:color="auto"/>
        <w:left w:val="none" w:sz="0" w:space="0" w:color="auto"/>
        <w:bottom w:val="none" w:sz="0" w:space="0" w:color="auto"/>
        <w:right w:val="none" w:sz="0" w:space="0" w:color="auto"/>
      </w:divBdr>
    </w:div>
    <w:div w:id="1614510459">
      <w:bodyDiv w:val="1"/>
      <w:marLeft w:val="0"/>
      <w:marRight w:val="0"/>
      <w:marTop w:val="0"/>
      <w:marBottom w:val="0"/>
      <w:divBdr>
        <w:top w:val="none" w:sz="0" w:space="0" w:color="auto"/>
        <w:left w:val="none" w:sz="0" w:space="0" w:color="auto"/>
        <w:bottom w:val="none" w:sz="0" w:space="0" w:color="auto"/>
        <w:right w:val="none" w:sz="0" w:space="0" w:color="auto"/>
      </w:divBdr>
    </w:div>
    <w:div w:id="1624923512">
      <w:bodyDiv w:val="1"/>
      <w:marLeft w:val="0"/>
      <w:marRight w:val="0"/>
      <w:marTop w:val="0"/>
      <w:marBottom w:val="0"/>
      <w:divBdr>
        <w:top w:val="none" w:sz="0" w:space="0" w:color="auto"/>
        <w:left w:val="none" w:sz="0" w:space="0" w:color="auto"/>
        <w:bottom w:val="none" w:sz="0" w:space="0" w:color="auto"/>
        <w:right w:val="none" w:sz="0" w:space="0" w:color="auto"/>
      </w:divBdr>
    </w:div>
    <w:div w:id="1638800011">
      <w:bodyDiv w:val="1"/>
      <w:marLeft w:val="0"/>
      <w:marRight w:val="0"/>
      <w:marTop w:val="0"/>
      <w:marBottom w:val="0"/>
      <w:divBdr>
        <w:top w:val="none" w:sz="0" w:space="0" w:color="auto"/>
        <w:left w:val="none" w:sz="0" w:space="0" w:color="auto"/>
        <w:bottom w:val="none" w:sz="0" w:space="0" w:color="auto"/>
        <w:right w:val="none" w:sz="0" w:space="0" w:color="auto"/>
      </w:divBdr>
    </w:div>
    <w:div w:id="1661418648">
      <w:bodyDiv w:val="1"/>
      <w:marLeft w:val="0"/>
      <w:marRight w:val="0"/>
      <w:marTop w:val="0"/>
      <w:marBottom w:val="0"/>
      <w:divBdr>
        <w:top w:val="none" w:sz="0" w:space="0" w:color="auto"/>
        <w:left w:val="none" w:sz="0" w:space="0" w:color="auto"/>
        <w:bottom w:val="none" w:sz="0" w:space="0" w:color="auto"/>
        <w:right w:val="none" w:sz="0" w:space="0" w:color="auto"/>
      </w:divBdr>
    </w:div>
    <w:div w:id="1673222905">
      <w:bodyDiv w:val="1"/>
      <w:marLeft w:val="0"/>
      <w:marRight w:val="0"/>
      <w:marTop w:val="0"/>
      <w:marBottom w:val="0"/>
      <w:divBdr>
        <w:top w:val="none" w:sz="0" w:space="0" w:color="auto"/>
        <w:left w:val="none" w:sz="0" w:space="0" w:color="auto"/>
        <w:bottom w:val="none" w:sz="0" w:space="0" w:color="auto"/>
        <w:right w:val="none" w:sz="0" w:space="0" w:color="auto"/>
      </w:divBdr>
    </w:div>
    <w:div w:id="1684698777">
      <w:bodyDiv w:val="1"/>
      <w:marLeft w:val="0"/>
      <w:marRight w:val="0"/>
      <w:marTop w:val="0"/>
      <w:marBottom w:val="0"/>
      <w:divBdr>
        <w:top w:val="none" w:sz="0" w:space="0" w:color="auto"/>
        <w:left w:val="none" w:sz="0" w:space="0" w:color="auto"/>
        <w:bottom w:val="none" w:sz="0" w:space="0" w:color="auto"/>
        <w:right w:val="none" w:sz="0" w:space="0" w:color="auto"/>
      </w:divBdr>
    </w:div>
    <w:div w:id="1687903332">
      <w:bodyDiv w:val="1"/>
      <w:marLeft w:val="0"/>
      <w:marRight w:val="0"/>
      <w:marTop w:val="0"/>
      <w:marBottom w:val="0"/>
      <w:divBdr>
        <w:top w:val="none" w:sz="0" w:space="0" w:color="auto"/>
        <w:left w:val="none" w:sz="0" w:space="0" w:color="auto"/>
        <w:bottom w:val="none" w:sz="0" w:space="0" w:color="auto"/>
        <w:right w:val="none" w:sz="0" w:space="0" w:color="auto"/>
      </w:divBdr>
    </w:div>
    <w:div w:id="1689719144">
      <w:bodyDiv w:val="1"/>
      <w:marLeft w:val="0"/>
      <w:marRight w:val="0"/>
      <w:marTop w:val="0"/>
      <w:marBottom w:val="0"/>
      <w:divBdr>
        <w:top w:val="none" w:sz="0" w:space="0" w:color="auto"/>
        <w:left w:val="none" w:sz="0" w:space="0" w:color="auto"/>
        <w:bottom w:val="none" w:sz="0" w:space="0" w:color="auto"/>
        <w:right w:val="none" w:sz="0" w:space="0" w:color="auto"/>
      </w:divBdr>
    </w:div>
    <w:div w:id="1689983569">
      <w:bodyDiv w:val="1"/>
      <w:marLeft w:val="0"/>
      <w:marRight w:val="0"/>
      <w:marTop w:val="0"/>
      <w:marBottom w:val="0"/>
      <w:divBdr>
        <w:top w:val="none" w:sz="0" w:space="0" w:color="auto"/>
        <w:left w:val="none" w:sz="0" w:space="0" w:color="auto"/>
        <w:bottom w:val="none" w:sz="0" w:space="0" w:color="auto"/>
        <w:right w:val="none" w:sz="0" w:space="0" w:color="auto"/>
      </w:divBdr>
    </w:div>
    <w:div w:id="1721830772">
      <w:bodyDiv w:val="1"/>
      <w:marLeft w:val="0"/>
      <w:marRight w:val="0"/>
      <w:marTop w:val="0"/>
      <w:marBottom w:val="0"/>
      <w:divBdr>
        <w:top w:val="none" w:sz="0" w:space="0" w:color="auto"/>
        <w:left w:val="none" w:sz="0" w:space="0" w:color="auto"/>
        <w:bottom w:val="none" w:sz="0" w:space="0" w:color="auto"/>
        <w:right w:val="none" w:sz="0" w:space="0" w:color="auto"/>
      </w:divBdr>
    </w:div>
    <w:div w:id="1724139015">
      <w:bodyDiv w:val="1"/>
      <w:marLeft w:val="0"/>
      <w:marRight w:val="0"/>
      <w:marTop w:val="0"/>
      <w:marBottom w:val="0"/>
      <w:divBdr>
        <w:top w:val="none" w:sz="0" w:space="0" w:color="auto"/>
        <w:left w:val="none" w:sz="0" w:space="0" w:color="auto"/>
        <w:bottom w:val="none" w:sz="0" w:space="0" w:color="auto"/>
        <w:right w:val="none" w:sz="0" w:space="0" w:color="auto"/>
      </w:divBdr>
    </w:div>
    <w:div w:id="1746804861">
      <w:bodyDiv w:val="1"/>
      <w:marLeft w:val="0"/>
      <w:marRight w:val="0"/>
      <w:marTop w:val="0"/>
      <w:marBottom w:val="0"/>
      <w:divBdr>
        <w:top w:val="none" w:sz="0" w:space="0" w:color="auto"/>
        <w:left w:val="none" w:sz="0" w:space="0" w:color="auto"/>
        <w:bottom w:val="none" w:sz="0" w:space="0" w:color="auto"/>
        <w:right w:val="none" w:sz="0" w:space="0" w:color="auto"/>
      </w:divBdr>
    </w:div>
    <w:div w:id="1751150798">
      <w:bodyDiv w:val="1"/>
      <w:marLeft w:val="0"/>
      <w:marRight w:val="0"/>
      <w:marTop w:val="0"/>
      <w:marBottom w:val="0"/>
      <w:divBdr>
        <w:top w:val="none" w:sz="0" w:space="0" w:color="auto"/>
        <w:left w:val="none" w:sz="0" w:space="0" w:color="auto"/>
        <w:bottom w:val="none" w:sz="0" w:space="0" w:color="auto"/>
        <w:right w:val="none" w:sz="0" w:space="0" w:color="auto"/>
      </w:divBdr>
    </w:div>
    <w:div w:id="1758944009">
      <w:bodyDiv w:val="1"/>
      <w:marLeft w:val="0"/>
      <w:marRight w:val="0"/>
      <w:marTop w:val="0"/>
      <w:marBottom w:val="0"/>
      <w:divBdr>
        <w:top w:val="none" w:sz="0" w:space="0" w:color="auto"/>
        <w:left w:val="none" w:sz="0" w:space="0" w:color="auto"/>
        <w:bottom w:val="none" w:sz="0" w:space="0" w:color="auto"/>
        <w:right w:val="none" w:sz="0" w:space="0" w:color="auto"/>
      </w:divBdr>
    </w:div>
    <w:div w:id="1763334038">
      <w:bodyDiv w:val="1"/>
      <w:marLeft w:val="0"/>
      <w:marRight w:val="0"/>
      <w:marTop w:val="0"/>
      <w:marBottom w:val="0"/>
      <w:divBdr>
        <w:top w:val="none" w:sz="0" w:space="0" w:color="auto"/>
        <w:left w:val="none" w:sz="0" w:space="0" w:color="auto"/>
        <w:bottom w:val="none" w:sz="0" w:space="0" w:color="auto"/>
        <w:right w:val="none" w:sz="0" w:space="0" w:color="auto"/>
      </w:divBdr>
    </w:div>
    <w:div w:id="1775587226">
      <w:bodyDiv w:val="1"/>
      <w:marLeft w:val="0"/>
      <w:marRight w:val="0"/>
      <w:marTop w:val="0"/>
      <w:marBottom w:val="0"/>
      <w:divBdr>
        <w:top w:val="none" w:sz="0" w:space="0" w:color="auto"/>
        <w:left w:val="none" w:sz="0" w:space="0" w:color="auto"/>
        <w:bottom w:val="none" w:sz="0" w:space="0" w:color="auto"/>
        <w:right w:val="none" w:sz="0" w:space="0" w:color="auto"/>
      </w:divBdr>
    </w:div>
    <w:div w:id="1784836256">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37459707">
      <w:bodyDiv w:val="1"/>
      <w:marLeft w:val="0"/>
      <w:marRight w:val="0"/>
      <w:marTop w:val="0"/>
      <w:marBottom w:val="0"/>
      <w:divBdr>
        <w:top w:val="none" w:sz="0" w:space="0" w:color="auto"/>
        <w:left w:val="none" w:sz="0" w:space="0" w:color="auto"/>
        <w:bottom w:val="none" w:sz="0" w:space="0" w:color="auto"/>
        <w:right w:val="none" w:sz="0" w:space="0" w:color="auto"/>
      </w:divBdr>
    </w:div>
    <w:div w:id="1838838730">
      <w:bodyDiv w:val="1"/>
      <w:marLeft w:val="0"/>
      <w:marRight w:val="0"/>
      <w:marTop w:val="0"/>
      <w:marBottom w:val="0"/>
      <w:divBdr>
        <w:top w:val="none" w:sz="0" w:space="0" w:color="auto"/>
        <w:left w:val="none" w:sz="0" w:space="0" w:color="auto"/>
        <w:bottom w:val="none" w:sz="0" w:space="0" w:color="auto"/>
        <w:right w:val="none" w:sz="0" w:space="0" w:color="auto"/>
      </w:divBdr>
    </w:div>
    <w:div w:id="1848668535">
      <w:bodyDiv w:val="1"/>
      <w:marLeft w:val="0"/>
      <w:marRight w:val="0"/>
      <w:marTop w:val="0"/>
      <w:marBottom w:val="0"/>
      <w:divBdr>
        <w:top w:val="none" w:sz="0" w:space="0" w:color="auto"/>
        <w:left w:val="none" w:sz="0" w:space="0" w:color="auto"/>
        <w:bottom w:val="none" w:sz="0" w:space="0" w:color="auto"/>
        <w:right w:val="none" w:sz="0" w:space="0" w:color="auto"/>
      </w:divBdr>
    </w:div>
    <w:div w:id="1850753536">
      <w:bodyDiv w:val="1"/>
      <w:marLeft w:val="0"/>
      <w:marRight w:val="0"/>
      <w:marTop w:val="0"/>
      <w:marBottom w:val="0"/>
      <w:divBdr>
        <w:top w:val="none" w:sz="0" w:space="0" w:color="auto"/>
        <w:left w:val="none" w:sz="0" w:space="0" w:color="auto"/>
        <w:bottom w:val="none" w:sz="0" w:space="0" w:color="auto"/>
        <w:right w:val="none" w:sz="0" w:space="0" w:color="auto"/>
      </w:divBdr>
    </w:div>
    <w:div w:id="1876189920">
      <w:bodyDiv w:val="1"/>
      <w:marLeft w:val="0"/>
      <w:marRight w:val="0"/>
      <w:marTop w:val="0"/>
      <w:marBottom w:val="0"/>
      <w:divBdr>
        <w:top w:val="none" w:sz="0" w:space="0" w:color="auto"/>
        <w:left w:val="none" w:sz="0" w:space="0" w:color="auto"/>
        <w:bottom w:val="none" w:sz="0" w:space="0" w:color="auto"/>
        <w:right w:val="none" w:sz="0" w:space="0" w:color="auto"/>
      </w:divBdr>
    </w:div>
    <w:div w:id="1890990876">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sChild>
        <w:div w:id="390689074">
          <w:marLeft w:val="446"/>
          <w:marRight w:val="0"/>
          <w:marTop w:val="120"/>
          <w:marBottom w:val="0"/>
          <w:divBdr>
            <w:top w:val="none" w:sz="0" w:space="0" w:color="auto"/>
            <w:left w:val="none" w:sz="0" w:space="0" w:color="auto"/>
            <w:bottom w:val="none" w:sz="0" w:space="0" w:color="auto"/>
            <w:right w:val="none" w:sz="0" w:space="0" w:color="auto"/>
          </w:divBdr>
        </w:div>
        <w:div w:id="853805868">
          <w:marLeft w:val="446"/>
          <w:marRight w:val="0"/>
          <w:marTop w:val="120"/>
          <w:marBottom w:val="0"/>
          <w:divBdr>
            <w:top w:val="none" w:sz="0" w:space="0" w:color="auto"/>
            <w:left w:val="none" w:sz="0" w:space="0" w:color="auto"/>
            <w:bottom w:val="none" w:sz="0" w:space="0" w:color="auto"/>
            <w:right w:val="none" w:sz="0" w:space="0" w:color="auto"/>
          </w:divBdr>
        </w:div>
        <w:div w:id="954098217">
          <w:marLeft w:val="446"/>
          <w:marRight w:val="0"/>
          <w:marTop w:val="120"/>
          <w:marBottom w:val="0"/>
          <w:divBdr>
            <w:top w:val="none" w:sz="0" w:space="0" w:color="auto"/>
            <w:left w:val="none" w:sz="0" w:space="0" w:color="auto"/>
            <w:bottom w:val="none" w:sz="0" w:space="0" w:color="auto"/>
            <w:right w:val="none" w:sz="0" w:space="0" w:color="auto"/>
          </w:divBdr>
        </w:div>
      </w:divsChild>
    </w:div>
    <w:div w:id="1898780812">
      <w:bodyDiv w:val="1"/>
      <w:marLeft w:val="0"/>
      <w:marRight w:val="0"/>
      <w:marTop w:val="0"/>
      <w:marBottom w:val="0"/>
      <w:divBdr>
        <w:top w:val="none" w:sz="0" w:space="0" w:color="auto"/>
        <w:left w:val="none" w:sz="0" w:space="0" w:color="auto"/>
        <w:bottom w:val="none" w:sz="0" w:space="0" w:color="auto"/>
        <w:right w:val="none" w:sz="0" w:space="0" w:color="auto"/>
      </w:divBdr>
    </w:div>
    <w:div w:id="1909532381">
      <w:bodyDiv w:val="1"/>
      <w:marLeft w:val="0"/>
      <w:marRight w:val="0"/>
      <w:marTop w:val="0"/>
      <w:marBottom w:val="0"/>
      <w:divBdr>
        <w:top w:val="none" w:sz="0" w:space="0" w:color="auto"/>
        <w:left w:val="none" w:sz="0" w:space="0" w:color="auto"/>
        <w:bottom w:val="none" w:sz="0" w:space="0" w:color="auto"/>
        <w:right w:val="none" w:sz="0" w:space="0" w:color="auto"/>
      </w:divBdr>
    </w:div>
    <w:div w:id="1922792263">
      <w:bodyDiv w:val="1"/>
      <w:marLeft w:val="0"/>
      <w:marRight w:val="0"/>
      <w:marTop w:val="0"/>
      <w:marBottom w:val="0"/>
      <w:divBdr>
        <w:top w:val="none" w:sz="0" w:space="0" w:color="auto"/>
        <w:left w:val="none" w:sz="0" w:space="0" w:color="auto"/>
        <w:bottom w:val="none" w:sz="0" w:space="0" w:color="auto"/>
        <w:right w:val="none" w:sz="0" w:space="0" w:color="auto"/>
      </w:divBdr>
    </w:div>
    <w:div w:id="1925409429">
      <w:bodyDiv w:val="1"/>
      <w:marLeft w:val="0"/>
      <w:marRight w:val="0"/>
      <w:marTop w:val="0"/>
      <w:marBottom w:val="0"/>
      <w:divBdr>
        <w:top w:val="none" w:sz="0" w:space="0" w:color="auto"/>
        <w:left w:val="none" w:sz="0" w:space="0" w:color="auto"/>
        <w:bottom w:val="none" w:sz="0" w:space="0" w:color="auto"/>
        <w:right w:val="none" w:sz="0" w:space="0" w:color="auto"/>
      </w:divBdr>
    </w:div>
    <w:div w:id="1950890317">
      <w:bodyDiv w:val="1"/>
      <w:marLeft w:val="0"/>
      <w:marRight w:val="0"/>
      <w:marTop w:val="0"/>
      <w:marBottom w:val="0"/>
      <w:divBdr>
        <w:top w:val="none" w:sz="0" w:space="0" w:color="auto"/>
        <w:left w:val="none" w:sz="0" w:space="0" w:color="auto"/>
        <w:bottom w:val="none" w:sz="0" w:space="0" w:color="auto"/>
        <w:right w:val="none" w:sz="0" w:space="0" w:color="auto"/>
      </w:divBdr>
    </w:div>
    <w:div w:id="1958490984">
      <w:bodyDiv w:val="1"/>
      <w:marLeft w:val="0"/>
      <w:marRight w:val="0"/>
      <w:marTop w:val="0"/>
      <w:marBottom w:val="0"/>
      <w:divBdr>
        <w:top w:val="none" w:sz="0" w:space="0" w:color="auto"/>
        <w:left w:val="none" w:sz="0" w:space="0" w:color="auto"/>
        <w:bottom w:val="none" w:sz="0" w:space="0" w:color="auto"/>
        <w:right w:val="none" w:sz="0" w:space="0" w:color="auto"/>
      </w:divBdr>
    </w:div>
    <w:div w:id="1982533443">
      <w:bodyDiv w:val="1"/>
      <w:marLeft w:val="0"/>
      <w:marRight w:val="0"/>
      <w:marTop w:val="0"/>
      <w:marBottom w:val="0"/>
      <w:divBdr>
        <w:top w:val="none" w:sz="0" w:space="0" w:color="auto"/>
        <w:left w:val="none" w:sz="0" w:space="0" w:color="auto"/>
        <w:bottom w:val="none" w:sz="0" w:space="0" w:color="auto"/>
        <w:right w:val="none" w:sz="0" w:space="0" w:color="auto"/>
      </w:divBdr>
    </w:div>
    <w:div w:id="1989675371">
      <w:bodyDiv w:val="1"/>
      <w:marLeft w:val="0"/>
      <w:marRight w:val="0"/>
      <w:marTop w:val="0"/>
      <w:marBottom w:val="0"/>
      <w:divBdr>
        <w:top w:val="none" w:sz="0" w:space="0" w:color="auto"/>
        <w:left w:val="none" w:sz="0" w:space="0" w:color="auto"/>
        <w:bottom w:val="none" w:sz="0" w:space="0" w:color="auto"/>
        <w:right w:val="none" w:sz="0" w:space="0" w:color="auto"/>
      </w:divBdr>
    </w:div>
    <w:div w:id="2036151079">
      <w:bodyDiv w:val="1"/>
      <w:marLeft w:val="0"/>
      <w:marRight w:val="0"/>
      <w:marTop w:val="0"/>
      <w:marBottom w:val="0"/>
      <w:divBdr>
        <w:top w:val="none" w:sz="0" w:space="0" w:color="auto"/>
        <w:left w:val="none" w:sz="0" w:space="0" w:color="auto"/>
        <w:bottom w:val="none" w:sz="0" w:space="0" w:color="auto"/>
        <w:right w:val="none" w:sz="0" w:space="0" w:color="auto"/>
      </w:divBdr>
    </w:div>
    <w:div w:id="2046906704">
      <w:bodyDiv w:val="1"/>
      <w:marLeft w:val="0"/>
      <w:marRight w:val="0"/>
      <w:marTop w:val="0"/>
      <w:marBottom w:val="0"/>
      <w:divBdr>
        <w:top w:val="none" w:sz="0" w:space="0" w:color="auto"/>
        <w:left w:val="none" w:sz="0" w:space="0" w:color="auto"/>
        <w:bottom w:val="none" w:sz="0" w:space="0" w:color="auto"/>
        <w:right w:val="none" w:sz="0" w:space="0" w:color="auto"/>
      </w:divBdr>
    </w:div>
    <w:div w:id="2061975729">
      <w:bodyDiv w:val="1"/>
      <w:marLeft w:val="0"/>
      <w:marRight w:val="0"/>
      <w:marTop w:val="0"/>
      <w:marBottom w:val="0"/>
      <w:divBdr>
        <w:top w:val="none" w:sz="0" w:space="0" w:color="auto"/>
        <w:left w:val="none" w:sz="0" w:space="0" w:color="auto"/>
        <w:bottom w:val="none" w:sz="0" w:space="0" w:color="auto"/>
        <w:right w:val="none" w:sz="0" w:space="0" w:color="auto"/>
      </w:divBdr>
    </w:div>
    <w:div w:id="2077898964">
      <w:bodyDiv w:val="1"/>
      <w:marLeft w:val="0"/>
      <w:marRight w:val="0"/>
      <w:marTop w:val="0"/>
      <w:marBottom w:val="0"/>
      <w:divBdr>
        <w:top w:val="none" w:sz="0" w:space="0" w:color="auto"/>
        <w:left w:val="none" w:sz="0" w:space="0" w:color="auto"/>
        <w:bottom w:val="none" w:sz="0" w:space="0" w:color="auto"/>
        <w:right w:val="none" w:sz="0" w:space="0" w:color="auto"/>
      </w:divBdr>
    </w:div>
    <w:div w:id="2088182384">
      <w:bodyDiv w:val="1"/>
      <w:marLeft w:val="0"/>
      <w:marRight w:val="0"/>
      <w:marTop w:val="0"/>
      <w:marBottom w:val="0"/>
      <w:divBdr>
        <w:top w:val="none" w:sz="0" w:space="0" w:color="auto"/>
        <w:left w:val="none" w:sz="0" w:space="0" w:color="auto"/>
        <w:bottom w:val="none" w:sz="0" w:space="0" w:color="auto"/>
        <w:right w:val="none" w:sz="0" w:space="0" w:color="auto"/>
      </w:divBdr>
    </w:div>
    <w:div w:id="21416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3D1915-8E9C-4CCA-9AA8-795445AA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3523</Words>
  <Characters>19381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22859</CharactersWithSpaces>
  <SharedDoc>false</SharedDoc>
  <HLinks>
    <vt:vector size="180" baseType="variant">
      <vt:variant>
        <vt:i4>1245235</vt:i4>
      </vt:variant>
      <vt:variant>
        <vt:i4>176</vt:i4>
      </vt:variant>
      <vt:variant>
        <vt:i4>0</vt:i4>
      </vt:variant>
      <vt:variant>
        <vt:i4>5</vt:i4>
      </vt:variant>
      <vt:variant>
        <vt:lpwstr/>
      </vt:variant>
      <vt:variant>
        <vt:lpwstr>_Toc129697278</vt:lpwstr>
      </vt:variant>
      <vt:variant>
        <vt:i4>1245235</vt:i4>
      </vt:variant>
      <vt:variant>
        <vt:i4>170</vt:i4>
      </vt:variant>
      <vt:variant>
        <vt:i4>0</vt:i4>
      </vt:variant>
      <vt:variant>
        <vt:i4>5</vt:i4>
      </vt:variant>
      <vt:variant>
        <vt:lpwstr/>
      </vt:variant>
      <vt:variant>
        <vt:lpwstr>_Toc129697277</vt:lpwstr>
      </vt:variant>
      <vt:variant>
        <vt:i4>1245235</vt:i4>
      </vt:variant>
      <vt:variant>
        <vt:i4>164</vt:i4>
      </vt:variant>
      <vt:variant>
        <vt:i4>0</vt:i4>
      </vt:variant>
      <vt:variant>
        <vt:i4>5</vt:i4>
      </vt:variant>
      <vt:variant>
        <vt:lpwstr/>
      </vt:variant>
      <vt:variant>
        <vt:lpwstr>_Toc129697276</vt:lpwstr>
      </vt:variant>
      <vt:variant>
        <vt:i4>1245235</vt:i4>
      </vt:variant>
      <vt:variant>
        <vt:i4>158</vt:i4>
      </vt:variant>
      <vt:variant>
        <vt:i4>0</vt:i4>
      </vt:variant>
      <vt:variant>
        <vt:i4>5</vt:i4>
      </vt:variant>
      <vt:variant>
        <vt:lpwstr/>
      </vt:variant>
      <vt:variant>
        <vt:lpwstr>_Toc129697275</vt:lpwstr>
      </vt:variant>
      <vt:variant>
        <vt:i4>1245235</vt:i4>
      </vt:variant>
      <vt:variant>
        <vt:i4>152</vt:i4>
      </vt:variant>
      <vt:variant>
        <vt:i4>0</vt:i4>
      </vt:variant>
      <vt:variant>
        <vt:i4>5</vt:i4>
      </vt:variant>
      <vt:variant>
        <vt:lpwstr/>
      </vt:variant>
      <vt:variant>
        <vt:lpwstr>_Toc129697274</vt:lpwstr>
      </vt:variant>
      <vt:variant>
        <vt:i4>1245235</vt:i4>
      </vt:variant>
      <vt:variant>
        <vt:i4>146</vt:i4>
      </vt:variant>
      <vt:variant>
        <vt:i4>0</vt:i4>
      </vt:variant>
      <vt:variant>
        <vt:i4>5</vt:i4>
      </vt:variant>
      <vt:variant>
        <vt:lpwstr/>
      </vt:variant>
      <vt:variant>
        <vt:lpwstr>_Toc129697273</vt:lpwstr>
      </vt:variant>
      <vt:variant>
        <vt:i4>1245235</vt:i4>
      </vt:variant>
      <vt:variant>
        <vt:i4>140</vt:i4>
      </vt:variant>
      <vt:variant>
        <vt:i4>0</vt:i4>
      </vt:variant>
      <vt:variant>
        <vt:i4>5</vt:i4>
      </vt:variant>
      <vt:variant>
        <vt:lpwstr/>
      </vt:variant>
      <vt:variant>
        <vt:lpwstr>_Toc129697272</vt:lpwstr>
      </vt:variant>
      <vt:variant>
        <vt:i4>1245235</vt:i4>
      </vt:variant>
      <vt:variant>
        <vt:i4>134</vt:i4>
      </vt:variant>
      <vt:variant>
        <vt:i4>0</vt:i4>
      </vt:variant>
      <vt:variant>
        <vt:i4>5</vt:i4>
      </vt:variant>
      <vt:variant>
        <vt:lpwstr/>
      </vt:variant>
      <vt:variant>
        <vt:lpwstr>_Toc129697271</vt:lpwstr>
      </vt:variant>
      <vt:variant>
        <vt:i4>1245235</vt:i4>
      </vt:variant>
      <vt:variant>
        <vt:i4>128</vt:i4>
      </vt:variant>
      <vt:variant>
        <vt:i4>0</vt:i4>
      </vt:variant>
      <vt:variant>
        <vt:i4>5</vt:i4>
      </vt:variant>
      <vt:variant>
        <vt:lpwstr/>
      </vt:variant>
      <vt:variant>
        <vt:lpwstr>_Toc129697270</vt:lpwstr>
      </vt:variant>
      <vt:variant>
        <vt:i4>1179699</vt:i4>
      </vt:variant>
      <vt:variant>
        <vt:i4>122</vt:i4>
      </vt:variant>
      <vt:variant>
        <vt:i4>0</vt:i4>
      </vt:variant>
      <vt:variant>
        <vt:i4>5</vt:i4>
      </vt:variant>
      <vt:variant>
        <vt:lpwstr/>
      </vt:variant>
      <vt:variant>
        <vt:lpwstr>_Toc129697269</vt:lpwstr>
      </vt:variant>
      <vt:variant>
        <vt:i4>1179699</vt:i4>
      </vt:variant>
      <vt:variant>
        <vt:i4>116</vt:i4>
      </vt:variant>
      <vt:variant>
        <vt:i4>0</vt:i4>
      </vt:variant>
      <vt:variant>
        <vt:i4>5</vt:i4>
      </vt:variant>
      <vt:variant>
        <vt:lpwstr/>
      </vt:variant>
      <vt:variant>
        <vt:lpwstr>_Toc129697268</vt:lpwstr>
      </vt:variant>
      <vt:variant>
        <vt:i4>1179699</vt:i4>
      </vt:variant>
      <vt:variant>
        <vt:i4>110</vt:i4>
      </vt:variant>
      <vt:variant>
        <vt:i4>0</vt:i4>
      </vt:variant>
      <vt:variant>
        <vt:i4>5</vt:i4>
      </vt:variant>
      <vt:variant>
        <vt:lpwstr/>
      </vt:variant>
      <vt:variant>
        <vt:lpwstr>_Toc129697267</vt:lpwstr>
      </vt:variant>
      <vt:variant>
        <vt:i4>1179699</vt:i4>
      </vt:variant>
      <vt:variant>
        <vt:i4>104</vt:i4>
      </vt:variant>
      <vt:variant>
        <vt:i4>0</vt:i4>
      </vt:variant>
      <vt:variant>
        <vt:i4>5</vt:i4>
      </vt:variant>
      <vt:variant>
        <vt:lpwstr/>
      </vt:variant>
      <vt:variant>
        <vt:lpwstr>_Toc129697266</vt:lpwstr>
      </vt:variant>
      <vt:variant>
        <vt:i4>1179699</vt:i4>
      </vt:variant>
      <vt:variant>
        <vt:i4>98</vt:i4>
      </vt:variant>
      <vt:variant>
        <vt:i4>0</vt:i4>
      </vt:variant>
      <vt:variant>
        <vt:i4>5</vt:i4>
      </vt:variant>
      <vt:variant>
        <vt:lpwstr/>
      </vt:variant>
      <vt:variant>
        <vt:lpwstr>_Toc129697265</vt:lpwstr>
      </vt:variant>
      <vt:variant>
        <vt:i4>1179699</vt:i4>
      </vt:variant>
      <vt:variant>
        <vt:i4>92</vt:i4>
      </vt:variant>
      <vt:variant>
        <vt:i4>0</vt:i4>
      </vt:variant>
      <vt:variant>
        <vt:i4>5</vt:i4>
      </vt:variant>
      <vt:variant>
        <vt:lpwstr/>
      </vt:variant>
      <vt:variant>
        <vt:lpwstr>_Toc129697264</vt:lpwstr>
      </vt:variant>
      <vt:variant>
        <vt:i4>1179699</vt:i4>
      </vt:variant>
      <vt:variant>
        <vt:i4>86</vt:i4>
      </vt:variant>
      <vt:variant>
        <vt:i4>0</vt:i4>
      </vt:variant>
      <vt:variant>
        <vt:i4>5</vt:i4>
      </vt:variant>
      <vt:variant>
        <vt:lpwstr/>
      </vt:variant>
      <vt:variant>
        <vt:lpwstr>_Toc129697263</vt:lpwstr>
      </vt:variant>
      <vt:variant>
        <vt:i4>1179699</vt:i4>
      </vt:variant>
      <vt:variant>
        <vt:i4>80</vt:i4>
      </vt:variant>
      <vt:variant>
        <vt:i4>0</vt:i4>
      </vt:variant>
      <vt:variant>
        <vt:i4>5</vt:i4>
      </vt:variant>
      <vt:variant>
        <vt:lpwstr/>
      </vt:variant>
      <vt:variant>
        <vt:lpwstr>_Toc129697262</vt:lpwstr>
      </vt:variant>
      <vt:variant>
        <vt:i4>1179699</vt:i4>
      </vt:variant>
      <vt:variant>
        <vt:i4>74</vt:i4>
      </vt:variant>
      <vt:variant>
        <vt:i4>0</vt:i4>
      </vt:variant>
      <vt:variant>
        <vt:i4>5</vt:i4>
      </vt:variant>
      <vt:variant>
        <vt:lpwstr/>
      </vt:variant>
      <vt:variant>
        <vt:lpwstr>_Toc129697261</vt:lpwstr>
      </vt:variant>
      <vt:variant>
        <vt:i4>1179699</vt:i4>
      </vt:variant>
      <vt:variant>
        <vt:i4>68</vt:i4>
      </vt:variant>
      <vt:variant>
        <vt:i4>0</vt:i4>
      </vt:variant>
      <vt:variant>
        <vt:i4>5</vt:i4>
      </vt:variant>
      <vt:variant>
        <vt:lpwstr/>
      </vt:variant>
      <vt:variant>
        <vt:lpwstr>_Toc129697260</vt:lpwstr>
      </vt:variant>
      <vt:variant>
        <vt:i4>1114163</vt:i4>
      </vt:variant>
      <vt:variant>
        <vt:i4>62</vt:i4>
      </vt:variant>
      <vt:variant>
        <vt:i4>0</vt:i4>
      </vt:variant>
      <vt:variant>
        <vt:i4>5</vt:i4>
      </vt:variant>
      <vt:variant>
        <vt:lpwstr/>
      </vt:variant>
      <vt:variant>
        <vt:lpwstr>_Toc129697259</vt:lpwstr>
      </vt:variant>
      <vt:variant>
        <vt:i4>1114163</vt:i4>
      </vt:variant>
      <vt:variant>
        <vt:i4>56</vt:i4>
      </vt:variant>
      <vt:variant>
        <vt:i4>0</vt:i4>
      </vt:variant>
      <vt:variant>
        <vt:i4>5</vt:i4>
      </vt:variant>
      <vt:variant>
        <vt:lpwstr/>
      </vt:variant>
      <vt:variant>
        <vt:lpwstr>_Toc129697258</vt:lpwstr>
      </vt:variant>
      <vt:variant>
        <vt:i4>1114163</vt:i4>
      </vt:variant>
      <vt:variant>
        <vt:i4>50</vt:i4>
      </vt:variant>
      <vt:variant>
        <vt:i4>0</vt:i4>
      </vt:variant>
      <vt:variant>
        <vt:i4>5</vt:i4>
      </vt:variant>
      <vt:variant>
        <vt:lpwstr/>
      </vt:variant>
      <vt:variant>
        <vt:lpwstr>_Toc129697257</vt:lpwstr>
      </vt:variant>
      <vt:variant>
        <vt:i4>1114163</vt:i4>
      </vt:variant>
      <vt:variant>
        <vt:i4>44</vt:i4>
      </vt:variant>
      <vt:variant>
        <vt:i4>0</vt:i4>
      </vt:variant>
      <vt:variant>
        <vt:i4>5</vt:i4>
      </vt:variant>
      <vt:variant>
        <vt:lpwstr/>
      </vt:variant>
      <vt:variant>
        <vt:lpwstr>_Toc129697256</vt:lpwstr>
      </vt:variant>
      <vt:variant>
        <vt:i4>1114163</vt:i4>
      </vt:variant>
      <vt:variant>
        <vt:i4>38</vt:i4>
      </vt:variant>
      <vt:variant>
        <vt:i4>0</vt:i4>
      </vt:variant>
      <vt:variant>
        <vt:i4>5</vt:i4>
      </vt:variant>
      <vt:variant>
        <vt:lpwstr/>
      </vt:variant>
      <vt:variant>
        <vt:lpwstr>_Toc129697255</vt:lpwstr>
      </vt:variant>
      <vt:variant>
        <vt:i4>1114163</vt:i4>
      </vt:variant>
      <vt:variant>
        <vt:i4>32</vt:i4>
      </vt:variant>
      <vt:variant>
        <vt:i4>0</vt:i4>
      </vt:variant>
      <vt:variant>
        <vt:i4>5</vt:i4>
      </vt:variant>
      <vt:variant>
        <vt:lpwstr/>
      </vt:variant>
      <vt:variant>
        <vt:lpwstr>_Toc129697254</vt:lpwstr>
      </vt:variant>
      <vt:variant>
        <vt:i4>1114163</vt:i4>
      </vt:variant>
      <vt:variant>
        <vt:i4>26</vt:i4>
      </vt:variant>
      <vt:variant>
        <vt:i4>0</vt:i4>
      </vt:variant>
      <vt:variant>
        <vt:i4>5</vt:i4>
      </vt:variant>
      <vt:variant>
        <vt:lpwstr/>
      </vt:variant>
      <vt:variant>
        <vt:lpwstr>_Toc129697253</vt:lpwstr>
      </vt:variant>
      <vt:variant>
        <vt:i4>1114163</vt:i4>
      </vt:variant>
      <vt:variant>
        <vt:i4>20</vt:i4>
      </vt:variant>
      <vt:variant>
        <vt:i4>0</vt:i4>
      </vt:variant>
      <vt:variant>
        <vt:i4>5</vt:i4>
      </vt:variant>
      <vt:variant>
        <vt:lpwstr/>
      </vt:variant>
      <vt:variant>
        <vt:lpwstr>_Toc129697252</vt:lpwstr>
      </vt:variant>
      <vt:variant>
        <vt:i4>1114163</vt:i4>
      </vt:variant>
      <vt:variant>
        <vt:i4>14</vt:i4>
      </vt:variant>
      <vt:variant>
        <vt:i4>0</vt:i4>
      </vt:variant>
      <vt:variant>
        <vt:i4>5</vt:i4>
      </vt:variant>
      <vt:variant>
        <vt:lpwstr/>
      </vt:variant>
      <vt:variant>
        <vt:lpwstr>_Toc129697251</vt:lpwstr>
      </vt:variant>
      <vt:variant>
        <vt:i4>1114163</vt:i4>
      </vt:variant>
      <vt:variant>
        <vt:i4>8</vt:i4>
      </vt:variant>
      <vt:variant>
        <vt:i4>0</vt:i4>
      </vt:variant>
      <vt:variant>
        <vt:i4>5</vt:i4>
      </vt:variant>
      <vt:variant>
        <vt:lpwstr/>
      </vt:variant>
      <vt:variant>
        <vt:lpwstr>_Toc129697250</vt:lpwstr>
      </vt:variant>
      <vt:variant>
        <vt:i4>1048627</vt:i4>
      </vt:variant>
      <vt:variant>
        <vt:i4>2</vt:i4>
      </vt:variant>
      <vt:variant>
        <vt:i4>0</vt:i4>
      </vt:variant>
      <vt:variant>
        <vt:i4>5</vt:i4>
      </vt:variant>
      <vt:variant>
        <vt:lpwstr/>
      </vt:variant>
      <vt:variant>
        <vt:lpwstr>_Toc129697249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8</cp:revision>
  <cp:lastPrinted>2023-02-28T20:50:00Z</cp:lastPrinted>
  <dcterms:created xsi:type="dcterms:W3CDTF">2023-03-31T19:31:00Z</dcterms:created>
  <dcterms:modified xsi:type="dcterms:W3CDTF">2023-05-15T21:26:00Z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a664599db613c731f97a50443e8da1587babd54a9db072ad8e8fde3e6656ecf8</vt:lpwstr>
  </property>
</Properties>
</file>