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Look w:val="04A0" w:firstRow="1" w:lastRow="0" w:firstColumn="1" w:lastColumn="0" w:noHBand="0" w:noVBand="1"/>
      </w:tblPr>
      <w:tblGrid>
        <w:gridCol w:w="4962"/>
        <w:gridCol w:w="5103"/>
      </w:tblGrid>
      <w:tr w:rsidR="00AB0F93" w:rsidRPr="00D10FAA" w:rsidTr="00AB0F93">
        <w:tc>
          <w:tcPr>
            <w:tcW w:w="4962" w:type="dxa"/>
            <w:vAlign w:val="center"/>
          </w:tcPr>
          <w:p w:rsidR="00AB0F93" w:rsidRPr="00D10FAA" w:rsidRDefault="00AB0F93" w:rsidP="009F3663">
            <w:pPr>
              <w:spacing w:after="120"/>
              <w:jc w:val="center"/>
              <w:rPr>
                <w:rFonts w:ascii="Century Gothic" w:hAnsi="Century Gothic"/>
              </w:rPr>
            </w:pPr>
          </w:p>
        </w:tc>
        <w:tc>
          <w:tcPr>
            <w:tcW w:w="5103" w:type="dxa"/>
            <w:vAlign w:val="center"/>
          </w:tcPr>
          <w:p w:rsidR="00AB0F93" w:rsidRPr="00D10FAA" w:rsidRDefault="00AB0F93" w:rsidP="009F3663">
            <w:pPr>
              <w:spacing w:after="120"/>
              <w:jc w:val="right"/>
              <w:rPr>
                <w:rFonts w:ascii="Century Gothic" w:hAnsi="Century Gothic"/>
              </w:rPr>
            </w:pPr>
            <w:r w:rsidRPr="00D10FAA">
              <w:rPr>
                <w:rFonts w:ascii="Century Gothic" w:hAnsi="Century Gothic"/>
                <w:noProof/>
                <w:lang w:val="en-US"/>
              </w:rPr>
              <w:drawing>
                <wp:inline distT="0" distB="0" distL="0" distR="0" wp14:anchorId="641F0A26" wp14:editId="15D53CEF">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rsidR="00A06F08" w:rsidRPr="00D10FAA" w:rsidRDefault="00A06F08" w:rsidP="009F3663">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22505B" w:rsidRPr="0022505B" w:rsidTr="0022505B">
        <w:trPr>
          <w:trHeight w:val="201"/>
        </w:trPr>
        <w:tc>
          <w:tcPr>
            <w:tcW w:w="4820" w:type="dxa"/>
            <w:shd w:val="clear" w:color="auto" w:fill="1F3864" w:themeFill="accent5" w:themeFillShade="80"/>
          </w:tcPr>
          <w:p w:rsidR="0022505B" w:rsidRPr="0022505B" w:rsidRDefault="0022505B" w:rsidP="0022505B">
            <w:pPr>
              <w:rPr>
                <w:rFonts w:cstheme="minorHAnsi"/>
                <w:color w:val="FFFFFF" w:themeColor="background1"/>
                <w:sz w:val="14"/>
                <w:szCs w:val="32"/>
              </w:rPr>
            </w:pPr>
          </w:p>
        </w:tc>
        <w:tc>
          <w:tcPr>
            <w:tcW w:w="7513" w:type="dxa"/>
            <w:shd w:val="clear" w:color="auto" w:fill="0079BF"/>
          </w:tcPr>
          <w:p w:rsidR="0022505B" w:rsidRPr="0022505B" w:rsidRDefault="0022505B" w:rsidP="0022505B">
            <w:pPr>
              <w:rPr>
                <w:rFonts w:cstheme="minorHAnsi"/>
                <w:color w:val="FFFFFF" w:themeColor="background1"/>
                <w:sz w:val="14"/>
                <w:szCs w:val="32"/>
              </w:rPr>
            </w:pPr>
          </w:p>
        </w:tc>
      </w:tr>
      <w:tr w:rsidR="0022505B" w:rsidRPr="0022505B" w:rsidTr="0022505B">
        <w:trPr>
          <w:trHeight w:val="201"/>
        </w:trPr>
        <w:tc>
          <w:tcPr>
            <w:tcW w:w="4820" w:type="dxa"/>
            <w:shd w:val="clear" w:color="auto" w:fill="auto"/>
          </w:tcPr>
          <w:p w:rsidR="0022505B" w:rsidRPr="0022505B" w:rsidRDefault="0022505B" w:rsidP="0022505B">
            <w:pPr>
              <w:rPr>
                <w:rFonts w:cstheme="minorHAnsi"/>
                <w:color w:val="FFFFFF" w:themeColor="background1"/>
                <w:sz w:val="32"/>
                <w:szCs w:val="32"/>
              </w:rPr>
            </w:pPr>
          </w:p>
        </w:tc>
        <w:tc>
          <w:tcPr>
            <w:tcW w:w="7513" w:type="dxa"/>
            <w:shd w:val="clear" w:color="auto" w:fill="auto"/>
          </w:tcPr>
          <w:p w:rsidR="0022505B" w:rsidRPr="0022505B" w:rsidRDefault="0022505B" w:rsidP="0022505B">
            <w:pPr>
              <w:rPr>
                <w:rFonts w:cstheme="minorHAnsi"/>
                <w:color w:val="FFFFFF" w:themeColor="background1"/>
                <w:sz w:val="32"/>
                <w:szCs w:val="32"/>
              </w:rPr>
            </w:pPr>
          </w:p>
        </w:tc>
      </w:tr>
      <w:tr w:rsidR="0022505B" w:rsidRPr="0022505B" w:rsidTr="0022505B">
        <w:trPr>
          <w:trHeight w:val="201"/>
        </w:trPr>
        <w:tc>
          <w:tcPr>
            <w:tcW w:w="4820" w:type="dxa"/>
            <w:shd w:val="clear" w:color="auto" w:fill="1F3864" w:themeFill="accent5" w:themeFillShade="80"/>
          </w:tcPr>
          <w:p w:rsidR="0022505B" w:rsidRPr="0022505B" w:rsidRDefault="0022505B" w:rsidP="0022505B">
            <w:pPr>
              <w:rPr>
                <w:rFonts w:cstheme="minorHAnsi"/>
                <w:color w:val="FFFFFF" w:themeColor="background1"/>
                <w:sz w:val="12"/>
                <w:szCs w:val="32"/>
              </w:rPr>
            </w:pPr>
          </w:p>
        </w:tc>
        <w:tc>
          <w:tcPr>
            <w:tcW w:w="7513" w:type="dxa"/>
            <w:shd w:val="clear" w:color="auto" w:fill="0079BF"/>
          </w:tcPr>
          <w:p w:rsidR="0022505B" w:rsidRPr="0022505B" w:rsidRDefault="0022505B" w:rsidP="0022505B">
            <w:pPr>
              <w:rPr>
                <w:rFonts w:cstheme="minorHAnsi"/>
                <w:color w:val="FFFFFF" w:themeColor="background1"/>
                <w:sz w:val="12"/>
                <w:szCs w:val="32"/>
              </w:rPr>
            </w:pPr>
          </w:p>
        </w:tc>
      </w:tr>
    </w:tbl>
    <w:p w:rsidR="00AB0F93" w:rsidRPr="00D10FAA" w:rsidRDefault="00AB0F93" w:rsidP="009F3663">
      <w:pPr>
        <w:spacing w:after="120"/>
        <w:rPr>
          <w:rFonts w:ascii="Century Gothic" w:hAnsi="Century Gothic"/>
        </w:rPr>
      </w:pPr>
    </w:p>
    <w:p w:rsidR="00AB0F93" w:rsidRPr="00D10FAA" w:rsidRDefault="00AB0F93" w:rsidP="009F3663">
      <w:pPr>
        <w:spacing w:after="120"/>
        <w:rPr>
          <w:rFonts w:ascii="Century Gothic" w:hAnsi="Century Gothic"/>
        </w:rPr>
      </w:pPr>
    </w:p>
    <w:p w:rsidR="00672104" w:rsidRPr="00D10FAA" w:rsidRDefault="00672104" w:rsidP="009F3663">
      <w:pPr>
        <w:spacing w:after="120"/>
        <w:rPr>
          <w:rFonts w:ascii="Century Gothic" w:hAnsi="Century Gothic"/>
        </w:rPr>
      </w:pPr>
    </w:p>
    <w:p w:rsidR="00672104" w:rsidRPr="0022505B" w:rsidRDefault="005B131D" w:rsidP="009F3663">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r w:rsidRPr="0022505B">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INFORME DE RESULTADOS 201</w:t>
      </w:r>
      <w:r w:rsidR="001D4A76" w:rsidRPr="0022505B">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9</w:t>
      </w:r>
    </w:p>
    <w:p w:rsidR="00F2382C" w:rsidRPr="00D10FAA" w:rsidRDefault="00F2382C" w:rsidP="009F3663">
      <w:pPr>
        <w:spacing w:after="120"/>
        <w:rPr>
          <w:rFonts w:ascii="Century Gothic" w:hAnsi="Century Gothic"/>
        </w:rPr>
      </w:pPr>
    </w:p>
    <w:p w:rsidR="00256978" w:rsidRPr="00D10FAA" w:rsidRDefault="00256978" w:rsidP="009F3663">
      <w:pPr>
        <w:spacing w:after="120"/>
        <w:rPr>
          <w:rFonts w:ascii="Century Gothic" w:hAnsi="Century Gothic"/>
        </w:rPr>
      </w:pPr>
    </w:p>
    <w:p w:rsidR="00256978" w:rsidRDefault="00256978" w:rsidP="009F3663">
      <w:pPr>
        <w:spacing w:after="120"/>
        <w:rPr>
          <w:rFonts w:ascii="Century Gothic" w:hAnsi="Century Gothic"/>
        </w:rPr>
      </w:pPr>
    </w:p>
    <w:p w:rsidR="001D4A76" w:rsidRDefault="001D4A76" w:rsidP="009F3663">
      <w:pPr>
        <w:spacing w:after="120"/>
        <w:rPr>
          <w:rFonts w:ascii="Century Gothic" w:hAnsi="Century Gothic"/>
        </w:rPr>
      </w:pPr>
    </w:p>
    <w:p w:rsidR="001D4A76" w:rsidRDefault="001D4A76" w:rsidP="009F3663">
      <w:pPr>
        <w:spacing w:after="120"/>
        <w:rPr>
          <w:rFonts w:ascii="Century Gothic" w:hAnsi="Century Gothic"/>
        </w:rPr>
      </w:pPr>
    </w:p>
    <w:p w:rsidR="001D4A76" w:rsidRPr="00D10FAA" w:rsidRDefault="001D4A76" w:rsidP="009F3663">
      <w:pPr>
        <w:spacing w:after="120"/>
        <w:rPr>
          <w:rFonts w:ascii="Century Gothic" w:hAnsi="Century Gothic"/>
        </w:rPr>
      </w:pPr>
    </w:p>
    <w:p w:rsidR="00A06F08" w:rsidRPr="00D10FAA" w:rsidRDefault="001D4A76" w:rsidP="00AB0F93">
      <w:pPr>
        <w:spacing w:after="120"/>
        <w:jc w:val="center"/>
        <w:rPr>
          <w:rFonts w:ascii="Century Gothic" w:hAnsi="Century Gothic"/>
        </w:rPr>
      </w:pPr>
      <w:r w:rsidRPr="001D4A76">
        <w:rPr>
          <w:rFonts w:ascii="Century Gothic" w:hAnsi="Century Gothic"/>
          <w:noProof/>
          <w:lang w:val="en-US"/>
        </w:rPr>
        <w:drawing>
          <wp:inline distT="0" distB="0" distL="0" distR="0" wp14:anchorId="308F4A3B" wp14:editId="041F9620">
            <wp:extent cx="3824452" cy="1292400"/>
            <wp:effectExtent l="0" t="0" r="5080" b="31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50224" cy="1301109"/>
                    </a:xfrm>
                    <a:prstGeom prst="rect">
                      <a:avLst/>
                    </a:prstGeom>
                  </pic:spPr>
                </pic:pic>
              </a:graphicData>
            </a:graphic>
          </wp:inline>
        </w:drawing>
      </w:r>
    </w:p>
    <w:p w:rsidR="00A06F08" w:rsidRPr="00D10FAA" w:rsidRDefault="00A06F08" w:rsidP="009F3663">
      <w:pPr>
        <w:spacing w:after="120"/>
        <w:rPr>
          <w:rFonts w:ascii="Century Gothic" w:hAnsi="Century Gothic"/>
        </w:rPr>
      </w:pPr>
    </w:p>
    <w:p w:rsidR="00AB0F93" w:rsidRPr="00D10FAA" w:rsidRDefault="00AB0F93" w:rsidP="009F3663">
      <w:pPr>
        <w:spacing w:after="120"/>
        <w:rPr>
          <w:rFonts w:ascii="Century Gothic" w:hAnsi="Century Gothic"/>
        </w:rPr>
      </w:pPr>
    </w:p>
    <w:p w:rsidR="00091523" w:rsidRPr="00D10FAA" w:rsidRDefault="00091523" w:rsidP="009F3663">
      <w:pPr>
        <w:spacing w:after="120"/>
        <w:rPr>
          <w:rFonts w:ascii="Century Gothic" w:hAnsi="Century Gothic"/>
        </w:rPr>
      </w:pPr>
    </w:p>
    <w:p w:rsidR="00BE417D" w:rsidRDefault="00BE417D" w:rsidP="009F3663">
      <w:pPr>
        <w:spacing w:after="120"/>
        <w:rPr>
          <w:rFonts w:ascii="Century Gothic" w:hAnsi="Century Gothic"/>
        </w:rPr>
      </w:pPr>
    </w:p>
    <w:p w:rsidR="0022505B" w:rsidRPr="00D10FAA" w:rsidRDefault="0022505B" w:rsidP="009F3663">
      <w:pPr>
        <w:spacing w:after="120"/>
        <w:rPr>
          <w:rFonts w:ascii="Century Gothic" w:hAnsi="Century Gothic"/>
        </w:rPr>
      </w:pPr>
    </w:p>
    <w:p w:rsidR="00A06F08" w:rsidRPr="00D10FAA" w:rsidRDefault="00307323" w:rsidP="009F3663">
      <w:pPr>
        <w:spacing w:after="120"/>
        <w:jc w:val="right"/>
        <w:rPr>
          <w:rFonts w:ascii="Century Gothic" w:hAnsi="Century Gothic"/>
          <w:sz w:val="28"/>
        </w:rPr>
      </w:pPr>
      <w:r>
        <w:rPr>
          <w:rFonts w:ascii="Century Gothic" w:hAnsi="Century Gothic"/>
          <w:sz w:val="28"/>
        </w:rPr>
        <w:t>Febrero</w:t>
      </w:r>
      <w:r w:rsidR="001D4A76">
        <w:rPr>
          <w:rFonts w:ascii="Century Gothic" w:hAnsi="Century Gothic"/>
          <w:sz w:val="28"/>
        </w:rPr>
        <w:t xml:space="preserve"> </w:t>
      </w:r>
      <w:r w:rsidR="005B131D" w:rsidRPr="00D10FAA">
        <w:rPr>
          <w:rFonts w:ascii="Century Gothic" w:hAnsi="Century Gothic"/>
          <w:sz w:val="28"/>
        </w:rPr>
        <w:t>20</w:t>
      </w:r>
      <w:r w:rsidR="001D4A76">
        <w:rPr>
          <w:rFonts w:ascii="Century Gothic" w:hAnsi="Century Gothic"/>
          <w:sz w:val="28"/>
        </w:rPr>
        <w:t>20</w:t>
      </w:r>
    </w:p>
    <w:p w:rsidR="0022505B" w:rsidRPr="00D10FAA" w:rsidRDefault="0022505B" w:rsidP="0022505B">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22505B" w:rsidRPr="0022505B" w:rsidTr="00613C02">
        <w:trPr>
          <w:trHeight w:val="201"/>
        </w:trPr>
        <w:tc>
          <w:tcPr>
            <w:tcW w:w="4820" w:type="dxa"/>
            <w:shd w:val="clear" w:color="auto" w:fill="1F3864" w:themeFill="accent5" w:themeFillShade="80"/>
          </w:tcPr>
          <w:p w:rsidR="0022505B" w:rsidRPr="0022505B" w:rsidRDefault="0022505B" w:rsidP="00613C02">
            <w:pPr>
              <w:rPr>
                <w:rFonts w:cstheme="minorHAnsi"/>
                <w:color w:val="FFFFFF" w:themeColor="background1"/>
                <w:sz w:val="14"/>
                <w:szCs w:val="32"/>
              </w:rPr>
            </w:pPr>
          </w:p>
        </w:tc>
        <w:tc>
          <w:tcPr>
            <w:tcW w:w="7513" w:type="dxa"/>
            <w:shd w:val="clear" w:color="auto" w:fill="0079BF"/>
          </w:tcPr>
          <w:p w:rsidR="0022505B" w:rsidRPr="0022505B" w:rsidRDefault="0022505B" w:rsidP="00613C02">
            <w:pPr>
              <w:rPr>
                <w:rFonts w:cstheme="minorHAnsi"/>
                <w:color w:val="FFFFFF" w:themeColor="background1"/>
                <w:sz w:val="14"/>
                <w:szCs w:val="32"/>
              </w:rPr>
            </w:pPr>
          </w:p>
        </w:tc>
      </w:tr>
      <w:tr w:rsidR="0022505B" w:rsidRPr="0022505B" w:rsidTr="00613C02">
        <w:trPr>
          <w:trHeight w:val="201"/>
        </w:trPr>
        <w:tc>
          <w:tcPr>
            <w:tcW w:w="4820" w:type="dxa"/>
            <w:shd w:val="clear" w:color="auto" w:fill="auto"/>
          </w:tcPr>
          <w:p w:rsidR="0022505B" w:rsidRPr="0022505B" w:rsidRDefault="0022505B" w:rsidP="00613C02">
            <w:pPr>
              <w:rPr>
                <w:rFonts w:cstheme="minorHAnsi"/>
                <w:color w:val="FFFFFF" w:themeColor="background1"/>
                <w:sz w:val="32"/>
                <w:szCs w:val="32"/>
              </w:rPr>
            </w:pPr>
          </w:p>
        </w:tc>
        <w:tc>
          <w:tcPr>
            <w:tcW w:w="7513" w:type="dxa"/>
            <w:shd w:val="clear" w:color="auto" w:fill="auto"/>
          </w:tcPr>
          <w:p w:rsidR="0022505B" w:rsidRPr="0022505B" w:rsidRDefault="0022505B" w:rsidP="00613C02">
            <w:pPr>
              <w:rPr>
                <w:rFonts w:cstheme="minorHAnsi"/>
                <w:color w:val="FFFFFF" w:themeColor="background1"/>
                <w:sz w:val="32"/>
                <w:szCs w:val="32"/>
              </w:rPr>
            </w:pPr>
          </w:p>
        </w:tc>
      </w:tr>
      <w:tr w:rsidR="0022505B" w:rsidRPr="0022505B" w:rsidTr="00613C02">
        <w:trPr>
          <w:trHeight w:val="201"/>
        </w:trPr>
        <w:tc>
          <w:tcPr>
            <w:tcW w:w="4820" w:type="dxa"/>
            <w:shd w:val="clear" w:color="auto" w:fill="1F3864" w:themeFill="accent5" w:themeFillShade="80"/>
          </w:tcPr>
          <w:p w:rsidR="0022505B" w:rsidRPr="0022505B" w:rsidRDefault="0022505B" w:rsidP="00613C02">
            <w:pPr>
              <w:rPr>
                <w:rFonts w:cstheme="minorHAnsi"/>
                <w:color w:val="FFFFFF" w:themeColor="background1"/>
                <w:sz w:val="12"/>
                <w:szCs w:val="32"/>
              </w:rPr>
            </w:pPr>
          </w:p>
        </w:tc>
        <w:tc>
          <w:tcPr>
            <w:tcW w:w="7513" w:type="dxa"/>
            <w:shd w:val="clear" w:color="auto" w:fill="0079BF"/>
          </w:tcPr>
          <w:p w:rsidR="0022505B" w:rsidRPr="0022505B" w:rsidRDefault="0022505B" w:rsidP="00613C02">
            <w:pPr>
              <w:rPr>
                <w:rFonts w:cstheme="minorHAnsi"/>
                <w:color w:val="FFFFFF" w:themeColor="background1"/>
                <w:sz w:val="12"/>
                <w:szCs w:val="32"/>
              </w:rPr>
            </w:pPr>
          </w:p>
        </w:tc>
      </w:tr>
    </w:tbl>
    <w:p w:rsidR="00915543" w:rsidRDefault="00915543">
      <w:pPr>
        <w:rPr>
          <w:rFonts w:ascii="Century Gothic" w:hAnsi="Century Gothic"/>
        </w:rPr>
      </w:pPr>
      <w:r>
        <w:rPr>
          <w:rFonts w:ascii="Century Gothic" w:hAnsi="Century Gothic"/>
        </w:rPr>
        <w:br w:type="page"/>
      </w:r>
    </w:p>
    <w:p w:rsidR="00915543" w:rsidRDefault="00915543">
      <w:pPr>
        <w:rPr>
          <w:rFonts w:ascii="Century Gothic" w:hAnsi="Century Gothic"/>
        </w:rPr>
      </w:pPr>
    </w:p>
    <w:p w:rsidR="00C41741" w:rsidRDefault="00C41741">
      <w:pPr>
        <w:rPr>
          <w:rFonts w:ascii="Century Gothic" w:hAnsi="Century Gothic"/>
        </w:rPr>
      </w:pPr>
    </w:p>
    <w:sdt>
      <w:sdtPr>
        <w:rPr>
          <w:rFonts w:asciiTheme="minorHAnsi" w:eastAsiaTheme="minorHAnsi" w:hAnsiTheme="minorHAnsi" w:cstheme="minorBidi"/>
          <w:color w:val="auto"/>
          <w:sz w:val="22"/>
          <w:szCs w:val="22"/>
          <w:lang w:val="es-ES"/>
        </w:rPr>
        <w:id w:val="-1888172899"/>
        <w:docPartObj>
          <w:docPartGallery w:val="Table of Contents"/>
          <w:docPartUnique/>
        </w:docPartObj>
      </w:sdtPr>
      <w:sdtEndPr>
        <w:rPr>
          <w:b/>
          <w:bCs/>
        </w:rPr>
      </w:sdtEndPr>
      <w:sdtContent>
        <w:p w:rsidR="00252CA7" w:rsidRPr="002C7F4F" w:rsidRDefault="005367D4">
          <w:pPr>
            <w:pStyle w:val="TtuloTDC"/>
            <w:rPr>
              <w:rFonts w:ascii="Century Gothic" w:hAnsi="Century Gothic"/>
              <w:color w:val="auto"/>
              <w:sz w:val="24"/>
              <w:lang w:val="es-ES"/>
            </w:rPr>
          </w:pPr>
          <w:r>
            <w:rPr>
              <w:rFonts w:ascii="Century Gothic" w:hAnsi="Century Gothic"/>
              <w:color w:val="auto"/>
              <w:sz w:val="28"/>
              <w:lang w:val="es-ES"/>
            </w:rPr>
            <w:t>Contenido</w:t>
          </w:r>
        </w:p>
        <w:p w:rsidR="00E045D6" w:rsidRPr="00E045D6" w:rsidRDefault="00E045D6" w:rsidP="00E045D6">
          <w:pPr>
            <w:rPr>
              <w:lang w:val="es-ES"/>
            </w:rPr>
          </w:pPr>
        </w:p>
        <w:p w:rsidR="00A24B10" w:rsidRPr="00A24B10" w:rsidRDefault="00252CA7">
          <w:pPr>
            <w:pStyle w:val="TDC1"/>
            <w:rPr>
              <w:rFonts w:ascii="Century Gothic" w:eastAsiaTheme="minorEastAsia" w:hAnsi="Century Gothic"/>
              <w:noProof/>
              <w:lang w:val="en-US"/>
            </w:rPr>
          </w:pPr>
          <w:r w:rsidRPr="00252CA7">
            <w:rPr>
              <w:rFonts w:cstheme="minorHAnsi"/>
              <w:b/>
              <w:sz w:val="20"/>
              <w:szCs w:val="20"/>
            </w:rPr>
            <w:fldChar w:fldCharType="begin"/>
          </w:r>
          <w:r w:rsidRPr="00252CA7">
            <w:rPr>
              <w:rFonts w:cstheme="minorHAnsi"/>
              <w:b/>
              <w:sz w:val="20"/>
              <w:szCs w:val="20"/>
            </w:rPr>
            <w:instrText xml:space="preserve"> TOC \o "1-3" \h \z \u </w:instrText>
          </w:r>
          <w:r w:rsidRPr="00252CA7">
            <w:rPr>
              <w:rFonts w:cstheme="minorHAnsi"/>
              <w:b/>
              <w:sz w:val="20"/>
              <w:szCs w:val="20"/>
            </w:rPr>
            <w:fldChar w:fldCharType="separate"/>
          </w:r>
          <w:hyperlink w:anchor="_Toc34310013" w:history="1">
            <w:r w:rsidR="00A24B10" w:rsidRPr="00A24B10">
              <w:rPr>
                <w:rStyle w:val="Hipervnculo"/>
                <w:rFonts w:ascii="Century Gothic" w:hAnsi="Century Gothic" w:cstheme="minorHAnsi"/>
                <w:noProof/>
              </w:rPr>
              <w:t>Introducción</w:t>
            </w:r>
            <w:r w:rsidR="00A24B10" w:rsidRPr="00A24B10">
              <w:rPr>
                <w:rFonts w:ascii="Century Gothic" w:hAnsi="Century Gothic"/>
                <w:noProof/>
                <w:webHidden/>
              </w:rPr>
              <w:tab/>
            </w:r>
            <w:r w:rsidR="00A24B10" w:rsidRPr="00A24B10">
              <w:rPr>
                <w:rFonts w:ascii="Century Gothic" w:hAnsi="Century Gothic"/>
                <w:noProof/>
                <w:webHidden/>
              </w:rPr>
              <w:fldChar w:fldCharType="begin"/>
            </w:r>
            <w:r w:rsidR="00A24B10" w:rsidRPr="00A24B10">
              <w:rPr>
                <w:rFonts w:ascii="Century Gothic" w:hAnsi="Century Gothic"/>
                <w:noProof/>
                <w:webHidden/>
              </w:rPr>
              <w:instrText xml:space="preserve"> PAGEREF _Toc34310013 \h </w:instrText>
            </w:r>
            <w:r w:rsidR="00A24B10" w:rsidRPr="00A24B10">
              <w:rPr>
                <w:rFonts w:ascii="Century Gothic" w:hAnsi="Century Gothic"/>
                <w:noProof/>
                <w:webHidden/>
              </w:rPr>
            </w:r>
            <w:r w:rsidR="00A24B10" w:rsidRPr="00A24B10">
              <w:rPr>
                <w:rFonts w:ascii="Century Gothic" w:hAnsi="Century Gothic"/>
                <w:noProof/>
                <w:webHidden/>
              </w:rPr>
              <w:fldChar w:fldCharType="separate"/>
            </w:r>
            <w:r w:rsidR="00A24B10" w:rsidRPr="00A24B10">
              <w:rPr>
                <w:rFonts w:ascii="Century Gothic" w:hAnsi="Century Gothic"/>
                <w:noProof/>
                <w:webHidden/>
              </w:rPr>
              <w:t>3</w:t>
            </w:r>
            <w:r w:rsidR="00A24B10" w:rsidRPr="00A24B10">
              <w:rPr>
                <w:rFonts w:ascii="Century Gothic" w:hAnsi="Century Gothic"/>
                <w:noProof/>
                <w:webHidden/>
              </w:rPr>
              <w:fldChar w:fldCharType="end"/>
            </w:r>
          </w:hyperlink>
        </w:p>
        <w:p w:rsidR="00A24B10" w:rsidRPr="00A24B10" w:rsidRDefault="00C12587">
          <w:pPr>
            <w:pStyle w:val="TDC1"/>
            <w:rPr>
              <w:rFonts w:eastAsiaTheme="minorEastAsia"/>
              <w:noProof/>
              <w:lang w:val="en-US"/>
            </w:rPr>
          </w:pPr>
          <w:hyperlink w:anchor="_Toc34310014" w:history="1">
            <w:r w:rsidR="00A24B10" w:rsidRPr="00A24B10">
              <w:rPr>
                <w:rStyle w:val="Hipervnculo"/>
                <w:rFonts w:ascii="Century Gothic" w:hAnsi="Century Gothic" w:cstheme="minorHAnsi"/>
                <w:noProof/>
              </w:rPr>
              <w:t>Antecedentes</w:t>
            </w:r>
            <w:r w:rsidR="00A24B10" w:rsidRPr="00A24B10">
              <w:rPr>
                <w:rFonts w:ascii="Century Gothic" w:hAnsi="Century Gothic"/>
                <w:noProof/>
                <w:webHidden/>
              </w:rPr>
              <w:tab/>
            </w:r>
            <w:r w:rsidR="00A24B10" w:rsidRPr="00A24B10">
              <w:rPr>
                <w:rFonts w:ascii="Century Gothic" w:hAnsi="Century Gothic"/>
                <w:noProof/>
                <w:webHidden/>
              </w:rPr>
              <w:fldChar w:fldCharType="begin"/>
            </w:r>
            <w:r w:rsidR="00A24B10" w:rsidRPr="00A24B10">
              <w:rPr>
                <w:rFonts w:ascii="Century Gothic" w:hAnsi="Century Gothic"/>
                <w:noProof/>
                <w:webHidden/>
              </w:rPr>
              <w:instrText xml:space="preserve"> PAGEREF _Toc34310014 \h </w:instrText>
            </w:r>
            <w:r w:rsidR="00A24B10" w:rsidRPr="00A24B10">
              <w:rPr>
                <w:rFonts w:ascii="Century Gothic" w:hAnsi="Century Gothic"/>
                <w:noProof/>
                <w:webHidden/>
              </w:rPr>
            </w:r>
            <w:r w:rsidR="00A24B10" w:rsidRPr="00A24B10">
              <w:rPr>
                <w:rFonts w:ascii="Century Gothic" w:hAnsi="Century Gothic"/>
                <w:noProof/>
                <w:webHidden/>
              </w:rPr>
              <w:fldChar w:fldCharType="separate"/>
            </w:r>
            <w:r w:rsidR="00A24B10" w:rsidRPr="00A24B10">
              <w:rPr>
                <w:rFonts w:ascii="Century Gothic" w:hAnsi="Century Gothic"/>
                <w:noProof/>
                <w:webHidden/>
              </w:rPr>
              <w:t>4</w:t>
            </w:r>
            <w:r w:rsidR="00A24B10" w:rsidRPr="00A24B10">
              <w:rPr>
                <w:rFonts w:ascii="Century Gothic" w:hAnsi="Century Gothic"/>
                <w:noProof/>
                <w:webHidden/>
              </w:rPr>
              <w:fldChar w:fldCharType="end"/>
            </w:r>
          </w:hyperlink>
        </w:p>
        <w:p w:rsidR="00A24B10" w:rsidRPr="00A24B10" w:rsidRDefault="00C12587">
          <w:pPr>
            <w:pStyle w:val="TDC1"/>
            <w:rPr>
              <w:rFonts w:eastAsiaTheme="minorEastAsia"/>
              <w:noProof/>
              <w:lang w:val="en-US"/>
            </w:rPr>
          </w:pPr>
          <w:hyperlink w:anchor="_Toc34310015" w:history="1">
            <w:r w:rsidR="00A24B10" w:rsidRPr="00A24B10">
              <w:rPr>
                <w:rStyle w:val="Hipervnculo"/>
                <w:rFonts w:ascii="Century Gothic" w:hAnsi="Century Gothic"/>
                <w:noProof/>
              </w:rPr>
              <w:t>Política de Calidad</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_Toc34310015 \h </w:instrText>
            </w:r>
            <w:r w:rsidR="00A24B10" w:rsidRPr="00A24B10">
              <w:rPr>
                <w:noProof/>
                <w:webHidden/>
              </w:rPr>
            </w:r>
            <w:r w:rsidR="00A24B10" w:rsidRPr="00A24B10">
              <w:rPr>
                <w:noProof/>
                <w:webHidden/>
              </w:rPr>
              <w:fldChar w:fldCharType="separate"/>
            </w:r>
            <w:r w:rsidR="00A24B10" w:rsidRPr="00A24B10">
              <w:rPr>
                <w:noProof/>
                <w:webHidden/>
              </w:rPr>
              <w:t>4</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16" w:history="1">
            <w:r w:rsidR="00A24B10" w:rsidRPr="00A24B10">
              <w:rPr>
                <w:rStyle w:val="Hipervnculo"/>
                <w:rFonts w:ascii="Century Gothic" w:hAnsi="Century Gothic"/>
                <w:noProof/>
              </w:rPr>
              <w:t>Estrategia de Calidad</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_Toc34310016 \h </w:instrText>
            </w:r>
            <w:r w:rsidR="00A24B10" w:rsidRPr="00A24B10">
              <w:rPr>
                <w:noProof/>
                <w:webHidden/>
              </w:rPr>
            </w:r>
            <w:r w:rsidR="00A24B10" w:rsidRPr="00A24B10">
              <w:rPr>
                <w:noProof/>
                <w:webHidden/>
              </w:rPr>
              <w:fldChar w:fldCharType="separate"/>
            </w:r>
            <w:r w:rsidR="00A24B10" w:rsidRPr="00A24B10">
              <w:rPr>
                <w:noProof/>
                <w:webHidden/>
              </w:rPr>
              <w:t>5</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17" w:history="1">
            <w:r w:rsidR="00A24B10" w:rsidRPr="00A24B10">
              <w:rPr>
                <w:rStyle w:val="Hipervnculo"/>
                <w:rFonts w:ascii="Century Gothic" w:hAnsi="Century Gothic"/>
                <w:noProof/>
              </w:rPr>
              <w:t xml:space="preserve">Actividad estratégica 1: </w:t>
            </w:r>
            <w:r w:rsidR="00A24B10" w:rsidRPr="00A24B10">
              <w:rPr>
                <w:rFonts w:eastAsiaTheme="minorEastAsia"/>
                <w:noProof/>
                <w:lang w:val="en-US"/>
              </w:rPr>
              <w:tab/>
            </w:r>
            <w:r w:rsidR="00A24B10" w:rsidRPr="00A24B10">
              <w:rPr>
                <w:rStyle w:val="Hipervnculo"/>
                <w:rFonts w:ascii="Century Gothic" w:hAnsi="Century Gothic"/>
                <w:noProof/>
              </w:rPr>
              <w:t>Establecer controles de calidad en procesos estandarizados y documentados</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_Toc34310017 \h </w:instrText>
            </w:r>
            <w:r w:rsidR="00A24B10" w:rsidRPr="00A24B10">
              <w:rPr>
                <w:noProof/>
                <w:webHidden/>
              </w:rPr>
            </w:r>
            <w:r w:rsidR="00A24B10" w:rsidRPr="00A24B10">
              <w:rPr>
                <w:noProof/>
                <w:webHidden/>
              </w:rPr>
              <w:fldChar w:fldCharType="separate"/>
            </w:r>
            <w:r w:rsidR="00A24B10" w:rsidRPr="00A24B10">
              <w:rPr>
                <w:noProof/>
                <w:webHidden/>
              </w:rPr>
              <w:t>6</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18" w:history="1">
            <w:r w:rsidR="00A24B10" w:rsidRPr="00A24B10">
              <w:rPr>
                <w:rStyle w:val="Hipervnculo"/>
                <w:rFonts w:ascii="Century Gothic" w:hAnsi="Century Gothic"/>
                <w:noProof/>
              </w:rPr>
              <w:t xml:space="preserve">Actividad estratégica 2. </w:t>
            </w:r>
            <w:r w:rsidR="00A24B10" w:rsidRPr="00A24B10">
              <w:rPr>
                <w:rFonts w:eastAsiaTheme="minorEastAsia"/>
                <w:noProof/>
                <w:lang w:val="en-US"/>
              </w:rPr>
              <w:tab/>
            </w:r>
            <w:r w:rsidR="00A24B10" w:rsidRPr="00A24B10">
              <w:rPr>
                <w:rStyle w:val="Hipervnculo"/>
                <w:rFonts w:ascii="Century Gothic" w:hAnsi="Century Gothic"/>
                <w:noProof/>
              </w:rPr>
              <w:t>Evaluar de forma sistemática la calidad de la información</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_Toc34310018 \h </w:instrText>
            </w:r>
            <w:r w:rsidR="00A24B10" w:rsidRPr="00A24B10">
              <w:rPr>
                <w:noProof/>
                <w:webHidden/>
              </w:rPr>
            </w:r>
            <w:r w:rsidR="00A24B10" w:rsidRPr="00A24B10">
              <w:rPr>
                <w:noProof/>
                <w:webHidden/>
              </w:rPr>
              <w:fldChar w:fldCharType="separate"/>
            </w:r>
            <w:r w:rsidR="00A24B10" w:rsidRPr="00A24B10">
              <w:rPr>
                <w:noProof/>
                <w:webHidden/>
              </w:rPr>
              <w:t>7</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19" w:history="1">
            <w:r w:rsidR="00A24B10" w:rsidRPr="00A24B10">
              <w:rPr>
                <w:rStyle w:val="Hipervnculo"/>
                <w:rFonts w:ascii="Century Gothic" w:hAnsi="Century Gothic"/>
                <w:noProof/>
              </w:rPr>
              <w:t xml:space="preserve">Actividad estratégica 3. </w:t>
            </w:r>
            <w:r w:rsidR="00A24B10" w:rsidRPr="00A24B10">
              <w:rPr>
                <w:rFonts w:eastAsiaTheme="minorEastAsia"/>
                <w:noProof/>
                <w:lang w:val="en-US"/>
              </w:rPr>
              <w:tab/>
            </w:r>
            <w:r w:rsidR="00A24B10" w:rsidRPr="00A24B10">
              <w:rPr>
                <w:rStyle w:val="Hipervnculo"/>
                <w:rFonts w:ascii="Century Gothic" w:hAnsi="Century Gothic"/>
                <w:noProof/>
              </w:rPr>
              <w:t>Desarrollar protocolos para medir y documentar el impacto de las mejoras</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_Toc34310019 \h </w:instrText>
            </w:r>
            <w:r w:rsidR="00A24B10" w:rsidRPr="00A24B10">
              <w:rPr>
                <w:noProof/>
                <w:webHidden/>
              </w:rPr>
            </w:r>
            <w:r w:rsidR="00A24B10" w:rsidRPr="00A24B10">
              <w:rPr>
                <w:noProof/>
                <w:webHidden/>
              </w:rPr>
              <w:fldChar w:fldCharType="separate"/>
            </w:r>
            <w:r w:rsidR="00A24B10" w:rsidRPr="00A24B10">
              <w:rPr>
                <w:noProof/>
                <w:webHidden/>
              </w:rPr>
              <w:t>10</w:t>
            </w:r>
            <w:r w:rsidR="00A24B10" w:rsidRPr="00A24B10">
              <w:rPr>
                <w:noProof/>
                <w:webHidden/>
              </w:rPr>
              <w:fldChar w:fldCharType="end"/>
            </w:r>
          </w:hyperlink>
        </w:p>
        <w:p w:rsidR="00A24B10" w:rsidRPr="00A24B10" w:rsidRDefault="00A24B10">
          <w:pPr>
            <w:pStyle w:val="TDC1"/>
            <w:rPr>
              <w:rStyle w:val="Hipervnculo"/>
              <w:noProof/>
            </w:rPr>
          </w:pPr>
        </w:p>
        <w:p w:rsidR="00A24B10" w:rsidRPr="00A24B10" w:rsidRDefault="00C12587">
          <w:pPr>
            <w:pStyle w:val="TDC1"/>
            <w:rPr>
              <w:rFonts w:eastAsiaTheme="minorEastAsia"/>
              <w:noProof/>
              <w:lang w:val="en-US"/>
            </w:rPr>
          </w:pPr>
          <w:hyperlink w:anchor="_Toc34310020" w:history="1">
            <w:r w:rsidR="00A24B10" w:rsidRPr="00A24B10">
              <w:rPr>
                <w:rStyle w:val="Hipervnculo"/>
                <w:rFonts w:ascii="Century Gothic" w:hAnsi="Century Gothic"/>
                <w:bCs/>
                <w:smallCaps/>
                <w:noProof/>
                <w14:shadow w14:blurRad="63500" w14:dist="50800" w14:dir="2700000" w14:sx="0" w14:sy="0" w14:kx="0" w14:ky="0" w14:algn="none">
                  <w14:srgbClr w14:val="000000">
                    <w14:alpha w14:val="50000"/>
                  </w14:srgbClr>
                </w14:shadow>
              </w:rPr>
              <w:t>ANEXOS: RESULTADOS DE LOS  INDICADORES APROBADOS</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_Toc34310020 \h </w:instrText>
            </w:r>
            <w:r w:rsidR="00A24B10" w:rsidRPr="00A24B10">
              <w:rPr>
                <w:noProof/>
                <w:webHidden/>
              </w:rPr>
            </w:r>
            <w:r w:rsidR="00A24B10" w:rsidRPr="00A24B10">
              <w:rPr>
                <w:noProof/>
                <w:webHidden/>
              </w:rPr>
              <w:fldChar w:fldCharType="separate"/>
            </w:r>
            <w:r w:rsidR="00A24B10" w:rsidRPr="00A24B10">
              <w:rPr>
                <w:noProof/>
                <w:webHidden/>
              </w:rPr>
              <w:t>11</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1" w:history="1">
            <w:r w:rsidR="00A24B10" w:rsidRPr="00A24B10">
              <w:rPr>
                <w:rStyle w:val="Hipervnculo"/>
                <w:rFonts w:ascii="Century Gothic" w:hAnsi="Century Gothic"/>
                <w:noProof/>
              </w:rPr>
              <w:t>Anexo 1: Indicadores de Pertinencia</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_Toc34310021 \h </w:instrText>
            </w:r>
            <w:r w:rsidR="00A24B10" w:rsidRPr="00A24B10">
              <w:rPr>
                <w:noProof/>
                <w:webHidden/>
              </w:rPr>
            </w:r>
            <w:r w:rsidR="00A24B10" w:rsidRPr="00A24B10">
              <w:rPr>
                <w:noProof/>
                <w:webHidden/>
              </w:rPr>
              <w:fldChar w:fldCharType="separate"/>
            </w:r>
            <w:r w:rsidR="00A24B10" w:rsidRPr="00A24B10">
              <w:rPr>
                <w:noProof/>
                <w:webHidden/>
              </w:rPr>
              <w:t>12</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2" w:history="1">
            <w:r w:rsidR="00A24B10" w:rsidRPr="00A24B10">
              <w:rPr>
                <w:rStyle w:val="Hipervnculo"/>
                <w:rFonts w:ascii="Century Gothic" w:hAnsi="Century Gothic"/>
                <w:noProof/>
              </w:rPr>
              <w:t>Anexo 2: Indicadores de Oportunidad</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_Toc34310022 \h </w:instrText>
            </w:r>
            <w:r w:rsidR="00A24B10" w:rsidRPr="00A24B10">
              <w:rPr>
                <w:noProof/>
                <w:webHidden/>
              </w:rPr>
            </w:r>
            <w:r w:rsidR="00A24B10" w:rsidRPr="00A24B10">
              <w:rPr>
                <w:noProof/>
                <w:webHidden/>
              </w:rPr>
              <w:fldChar w:fldCharType="separate"/>
            </w:r>
            <w:r w:rsidR="00A24B10" w:rsidRPr="00A24B10">
              <w:rPr>
                <w:noProof/>
                <w:webHidden/>
              </w:rPr>
              <w:t>22</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3" w:history="1">
            <w:r w:rsidR="00A24B10" w:rsidRPr="00A24B10">
              <w:rPr>
                <w:rStyle w:val="Hipervnculo"/>
                <w:rFonts w:ascii="Century Gothic" w:hAnsi="Century Gothic"/>
                <w:noProof/>
              </w:rPr>
              <w:t>Anexo 3: Indicadores de Puntualidad</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_Toc34310023 \h </w:instrText>
            </w:r>
            <w:r w:rsidR="00A24B10" w:rsidRPr="00A24B10">
              <w:rPr>
                <w:noProof/>
                <w:webHidden/>
              </w:rPr>
            </w:r>
            <w:r w:rsidR="00A24B10" w:rsidRPr="00A24B10">
              <w:rPr>
                <w:noProof/>
                <w:webHidden/>
              </w:rPr>
              <w:fldChar w:fldCharType="separate"/>
            </w:r>
            <w:r w:rsidR="00A24B10" w:rsidRPr="00A24B10">
              <w:rPr>
                <w:noProof/>
                <w:webHidden/>
              </w:rPr>
              <w:t>30</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4" w:history="1">
            <w:r w:rsidR="00A24B10" w:rsidRPr="00A24B10">
              <w:rPr>
                <w:rStyle w:val="Hipervnculo"/>
                <w:rFonts w:ascii="Century Gothic" w:hAnsi="Century Gothic"/>
                <w:noProof/>
              </w:rPr>
              <w:t>Anexo 4: Indicador de Accesibilidad</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_Toc34310024 \h </w:instrText>
            </w:r>
            <w:r w:rsidR="00A24B10" w:rsidRPr="00A24B10">
              <w:rPr>
                <w:noProof/>
                <w:webHidden/>
              </w:rPr>
            </w:r>
            <w:r w:rsidR="00A24B10" w:rsidRPr="00A24B10">
              <w:rPr>
                <w:noProof/>
                <w:webHidden/>
              </w:rPr>
              <w:fldChar w:fldCharType="separate"/>
            </w:r>
            <w:r w:rsidR="00A24B10" w:rsidRPr="00A24B10">
              <w:rPr>
                <w:noProof/>
                <w:webHidden/>
              </w:rPr>
              <w:t>32</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5" w:history="1">
            <w:r w:rsidR="00A24B10" w:rsidRPr="00A24B10">
              <w:rPr>
                <w:rStyle w:val="Hipervnculo"/>
                <w:rFonts w:ascii="Century Gothic" w:hAnsi="Century Gothic"/>
                <w:noProof/>
              </w:rPr>
              <w:t>Anexo 5: Indicadores de Precisión y confiabilidad para programas de información cuyo único insumo son registros administrativos</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_Toc34310025 \h </w:instrText>
            </w:r>
            <w:r w:rsidR="00A24B10" w:rsidRPr="00A24B10">
              <w:rPr>
                <w:noProof/>
                <w:webHidden/>
              </w:rPr>
            </w:r>
            <w:r w:rsidR="00A24B10" w:rsidRPr="00A24B10">
              <w:rPr>
                <w:noProof/>
                <w:webHidden/>
              </w:rPr>
              <w:fldChar w:fldCharType="separate"/>
            </w:r>
            <w:r w:rsidR="00A24B10" w:rsidRPr="00A24B10">
              <w:rPr>
                <w:noProof/>
                <w:webHidden/>
              </w:rPr>
              <w:t>34</w:t>
            </w:r>
            <w:r w:rsidR="00A24B10" w:rsidRPr="00A24B10">
              <w:rPr>
                <w:noProof/>
                <w:webHidden/>
              </w:rPr>
              <w:fldChar w:fldCharType="end"/>
            </w:r>
          </w:hyperlink>
        </w:p>
        <w:p w:rsidR="00A24B10" w:rsidRPr="00A24B10" w:rsidRDefault="00C12587">
          <w:pPr>
            <w:pStyle w:val="TDC1"/>
            <w:rPr>
              <w:rFonts w:eastAsiaTheme="minorEastAsia"/>
              <w:noProof/>
              <w:lang w:val="en-US"/>
            </w:rPr>
          </w:pPr>
          <w:hyperlink w:anchor="_Toc34310026" w:history="1">
            <w:r w:rsidR="00A24B10" w:rsidRPr="00A24B10">
              <w:rPr>
                <w:rStyle w:val="Hipervnculo"/>
                <w:rFonts w:ascii="Century Gothic" w:hAnsi="Century Gothic"/>
                <w:noProof/>
              </w:rPr>
              <w:t>Anexo 6: Indicadores de precisión y confiabilidad en encuestas</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_Toc34310026 \h </w:instrText>
            </w:r>
            <w:r w:rsidR="00A24B10" w:rsidRPr="00A24B10">
              <w:rPr>
                <w:noProof/>
                <w:webHidden/>
              </w:rPr>
            </w:r>
            <w:r w:rsidR="00A24B10" w:rsidRPr="00A24B10">
              <w:rPr>
                <w:noProof/>
                <w:webHidden/>
              </w:rPr>
              <w:fldChar w:fldCharType="separate"/>
            </w:r>
            <w:r w:rsidR="00A24B10" w:rsidRPr="00A24B10">
              <w:rPr>
                <w:noProof/>
                <w:webHidden/>
              </w:rPr>
              <w:t>41</w:t>
            </w:r>
            <w:r w:rsidR="00A24B10" w:rsidRPr="00A24B10">
              <w:rPr>
                <w:noProof/>
                <w:webHidden/>
              </w:rPr>
              <w:fldChar w:fldCharType="end"/>
            </w:r>
          </w:hyperlink>
        </w:p>
        <w:p w:rsidR="00A24B10" w:rsidRDefault="00C12587">
          <w:pPr>
            <w:pStyle w:val="TDC1"/>
            <w:rPr>
              <w:rFonts w:eastAsiaTheme="minorEastAsia"/>
              <w:noProof/>
              <w:lang w:val="en-US"/>
            </w:rPr>
          </w:pPr>
          <w:hyperlink w:anchor="_Toc34310027" w:history="1">
            <w:r w:rsidR="00A24B10" w:rsidRPr="00A24B10">
              <w:rPr>
                <w:rStyle w:val="Hipervnculo"/>
                <w:rFonts w:ascii="Century Gothic" w:hAnsi="Century Gothic"/>
                <w:noProof/>
              </w:rPr>
              <w:t>Anexo 7: Indicador de revisión de consistencia topológica</w:t>
            </w:r>
            <w:r w:rsidR="00A24B10" w:rsidRPr="00A24B10">
              <w:rPr>
                <w:noProof/>
                <w:webHidden/>
              </w:rPr>
              <w:tab/>
            </w:r>
            <w:r w:rsidR="00A24B10" w:rsidRPr="00A24B10">
              <w:rPr>
                <w:noProof/>
                <w:webHidden/>
              </w:rPr>
              <w:fldChar w:fldCharType="begin"/>
            </w:r>
            <w:r w:rsidR="00A24B10" w:rsidRPr="00A24B10">
              <w:rPr>
                <w:noProof/>
                <w:webHidden/>
              </w:rPr>
              <w:instrText xml:space="preserve"> PAGEREF _Toc34310027 \h </w:instrText>
            </w:r>
            <w:r w:rsidR="00A24B10" w:rsidRPr="00A24B10">
              <w:rPr>
                <w:noProof/>
                <w:webHidden/>
              </w:rPr>
            </w:r>
            <w:r w:rsidR="00A24B10" w:rsidRPr="00A24B10">
              <w:rPr>
                <w:noProof/>
                <w:webHidden/>
              </w:rPr>
              <w:fldChar w:fldCharType="separate"/>
            </w:r>
            <w:r w:rsidR="00A24B10" w:rsidRPr="00A24B10">
              <w:rPr>
                <w:noProof/>
                <w:webHidden/>
              </w:rPr>
              <w:t>50</w:t>
            </w:r>
            <w:r w:rsidR="00A24B10" w:rsidRPr="00A24B10">
              <w:rPr>
                <w:noProof/>
                <w:webHidden/>
              </w:rPr>
              <w:fldChar w:fldCharType="end"/>
            </w:r>
          </w:hyperlink>
        </w:p>
        <w:p w:rsidR="00252CA7" w:rsidRDefault="00252CA7">
          <w:r w:rsidRPr="00252CA7">
            <w:rPr>
              <w:rFonts w:cstheme="minorHAnsi"/>
              <w:b/>
              <w:bCs/>
              <w:sz w:val="20"/>
              <w:szCs w:val="20"/>
              <w:lang w:val="es-ES"/>
            </w:rPr>
            <w:fldChar w:fldCharType="end"/>
          </w:r>
        </w:p>
      </w:sdtContent>
    </w:sdt>
    <w:p w:rsidR="00C41741" w:rsidRDefault="00C41741">
      <w:pPr>
        <w:rPr>
          <w:rFonts w:ascii="Century Gothic" w:hAnsi="Century Gothic"/>
        </w:rPr>
      </w:pPr>
    </w:p>
    <w:p w:rsidR="00915543" w:rsidRDefault="00915543">
      <w:pPr>
        <w:rPr>
          <w:rFonts w:ascii="Century Gothic" w:hAnsi="Century Gothic"/>
        </w:rPr>
      </w:pPr>
    </w:p>
    <w:p w:rsidR="00FE5D49" w:rsidRDefault="00FE5D49">
      <w:pPr>
        <w:rPr>
          <w:rFonts w:ascii="Century Gothic" w:hAnsi="Century Gothic"/>
        </w:rPr>
      </w:pPr>
      <w:r>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613C02" w:rsidRPr="0022505B" w:rsidTr="00613C02">
        <w:trPr>
          <w:trHeight w:val="201"/>
        </w:trPr>
        <w:tc>
          <w:tcPr>
            <w:tcW w:w="4820" w:type="dxa"/>
            <w:shd w:val="clear" w:color="auto" w:fill="1F3864" w:themeFill="accent5" w:themeFillShade="80"/>
          </w:tcPr>
          <w:p w:rsidR="00613C02" w:rsidRPr="0022505B" w:rsidRDefault="00613C02" w:rsidP="00613C02">
            <w:pPr>
              <w:rPr>
                <w:rFonts w:cstheme="minorHAnsi"/>
                <w:color w:val="FFFFFF" w:themeColor="background1"/>
                <w:sz w:val="14"/>
                <w:szCs w:val="32"/>
              </w:rPr>
            </w:pPr>
          </w:p>
        </w:tc>
        <w:tc>
          <w:tcPr>
            <w:tcW w:w="7513" w:type="dxa"/>
            <w:shd w:val="clear" w:color="auto" w:fill="0079BF"/>
          </w:tcPr>
          <w:p w:rsidR="00613C02" w:rsidRPr="0022505B" w:rsidRDefault="00613C02" w:rsidP="00613C02">
            <w:pPr>
              <w:rPr>
                <w:rFonts w:cstheme="minorHAnsi"/>
                <w:color w:val="FFFFFF" w:themeColor="background1"/>
                <w:sz w:val="14"/>
                <w:szCs w:val="32"/>
              </w:rPr>
            </w:pPr>
          </w:p>
        </w:tc>
      </w:tr>
      <w:tr w:rsidR="00613C02" w:rsidRPr="0022505B" w:rsidTr="00613C02">
        <w:trPr>
          <w:trHeight w:val="201"/>
        </w:trPr>
        <w:tc>
          <w:tcPr>
            <w:tcW w:w="12333" w:type="dxa"/>
            <w:gridSpan w:val="2"/>
            <w:shd w:val="clear" w:color="auto" w:fill="auto"/>
          </w:tcPr>
          <w:p w:rsidR="00613C02" w:rsidRPr="00613C02" w:rsidRDefault="00613C02" w:rsidP="003120B6">
            <w:pPr>
              <w:pStyle w:val="Ttulo1"/>
              <w:spacing w:before="0"/>
              <w:jc w:val="center"/>
              <w:rPr>
                <w:rFonts w:cstheme="minorHAnsi"/>
                <w:color w:val="000000" w:themeColor="text1"/>
              </w:rPr>
            </w:pPr>
            <w:bookmarkStart w:id="0" w:name="_Toc34310013"/>
            <w:r>
              <w:rPr>
                <w:rFonts w:cstheme="minorHAnsi"/>
                <w:color w:val="000000" w:themeColor="text1"/>
              </w:rPr>
              <w:t>INTRODUCCIÓN</w:t>
            </w:r>
            <w:bookmarkEnd w:id="0"/>
          </w:p>
        </w:tc>
      </w:tr>
      <w:tr w:rsidR="00613C02" w:rsidRPr="0022505B" w:rsidTr="00613C02">
        <w:trPr>
          <w:trHeight w:val="201"/>
        </w:trPr>
        <w:tc>
          <w:tcPr>
            <w:tcW w:w="4820" w:type="dxa"/>
            <w:shd w:val="clear" w:color="auto" w:fill="1F3864" w:themeFill="accent5" w:themeFillShade="80"/>
          </w:tcPr>
          <w:p w:rsidR="00613C02" w:rsidRPr="0022505B" w:rsidRDefault="00613C02" w:rsidP="00613C02">
            <w:pPr>
              <w:rPr>
                <w:rFonts w:cstheme="minorHAnsi"/>
                <w:color w:val="FFFFFF" w:themeColor="background1"/>
                <w:sz w:val="12"/>
                <w:szCs w:val="32"/>
              </w:rPr>
            </w:pPr>
          </w:p>
        </w:tc>
        <w:tc>
          <w:tcPr>
            <w:tcW w:w="7513" w:type="dxa"/>
            <w:shd w:val="clear" w:color="auto" w:fill="0079BF"/>
          </w:tcPr>
          <w:p w:rsidR="00613C02" w:rsidRPr="0022505B" w:rsidRDefault="00613C02" w:rsidP="00613C02">
            <w:pPr>
              <w:rPr>
                <w:rFonts w:cstheme="minorHAnsi"/>
                <w:color w:val="FFFFFF" w:themeColor="background1"/>
                <w:sz w:val="12"/>
                <w:szCs w:val="32"/>
              </w:rPr>
            </w:pPr>
          </w:p>
        </w:tc>
      </w:tr>
    </w:tbl>
    <w:p w:rsidR="00613C02" w:rsidRPr="00D10FAA" w:rsidRDefault="00613C02" w:rsidP="00613C02">
      <w:pPr>
        <w:spacing w:after="120"/>
        <w:rPr>
          <w:rFonts w:ascii="Century Gothic" w:hAnsi="Century Gothic"/>
        </w:rPr>
      </w:pPr>
    </w:p>
    <w:p w:rsidR="00F124EE" w:rsidRPr="00250B30" w:rsidRDefault="00A273D4" w:rsidP="00C47CB8">
      <w:pPr>
        <w:spacing w:before="120" w:after="120"/>
        <w:ind w:right="21"/>
        <w:jc w:val="both"/>
        <w:rPr>
          <w:rFonts w:ascii="Century Gothic" w:hAnsi="Century Gothic"/>
          <w:sz w:val="19"/>
          <w:szCs w:val="19"/>
        </w:rPr>
      </w:pPr>
      <w:r w:rsidRPr="00250B30">
        <w:rPr>
          <w:rFonts w:ascii="Century Gothic" w:hAnsi="Century Gothic"/>
          <w:sz w:val="19"/>
          <w:szCs w:val="19"/>
        </w:rPr>
        <w:t xml:space="preserve">El Comité de Aseguramiento de la Calidad del </w:t>
      </w:r>
      <w:r w:rsidR="006F3A2F" w:rsidRPr="00250B30">
        <w:rPr>
          <w:rFonts w:ascii="Century Gothic" w:hAnsi="Century Gothic"/>
          <w:sz w:val="19"/>
          <w:szCs w:val="19"/>
        </w:rPr>
        <w:t>Instituto Nacional de Estadística y Geografía (</w:t>
      </w:r>
      <w:r w:rsidRPr="00250B30">
        <w:rPr>
          <w:rFonts w:ascii="Century Gothic" w:hAnsi="Century Gothic"/>
          <w:sz w:val="19"/>
          <w:szCs w:val="19"/>
        </w:rPr>
        <w:t>INEGI</w:t>
      </w:r>
      <w:r w:rsidR="006F3A2F" w:rsidRPr="00250B30">
        <w:rPr>
          <w:rFonts w:ascii="Century Gothic" w:hAnsi="Century Gothic"/>
          <w:sz w:val="19"/>
          <w:szCs w:val="19"/>
        </w:rPr>
        <w:t>)</w:t>
      </w:r>
      <w:r w:rsidRPr="00250B30">
        <w:rPr>
          <w:rFonts w:ascii="Century Gothic" w:hAnsi="Century Gothic"/>
          <w:sz w:val="19"/>
          <w:szCs w:val="19"/>
        </w:rPr>
        <w:t xml:space="preserve"> </w:t>
      </w:r>
      <w:r w:rsidR="00F124EE" w:rsidRPr="00250B30">
        <w:rPr>
          <w:rFonts w:ascii="Century Gothic" w:hAnsi="Century Gothic"/>
          <w:sz w:val="19"/>
          <w:szCs w:val="19"/>
        </w:rPr>
        <w:t xml:space="preserve">se ha consolidado en los últimos años como un espacio de reflexión y toma de decisiones en materia de calidad de la información estadística y geográfica.  </w:t>
      </w:r>
    </w:p>
    <w:p w:rsidR="00027859" w:rsidRPr="00250B30" w:rsidRDefault="00F124EE" w:rsidP="00C47CB8">
      <w:pPr>
        <w:tabs>
          <w:tab w:val="left" w:pos="8505"/>
        </w:tabs>
        <w:spacing w:before="120" w:after="120"/>
        <w:ind w:right="21"/>
        <w:jc w:val="both"/>
        <w:rPr>
          <w:rFonts w:ascii="Century Gothic" w:hAnsi="Century Gothic"/>
          <w:sz w:val="19"/>
          <w:szCs w:val="19"/>
        </w:rPr>
      </w:pPr>
      <w:r w:rsidRPr="00250B30">
        <w:rPr>
          <w:rFonts w:ascii="Century Gothic" w:hAnsi="Century Gothic"/>
          <w:sz w:val="19"/>
          <w:szCs w:val="19"/>
        </w:rPr>
        <w:t xml:space="preserve">Este Comité destaca por la participación directa de los titulares de las </w:t>
      </w:r>
      <w:r w:rsidR="00AF18B8" w:rsidRPr="00250B30">
        <w:rPr>
          <w:rFonts w:ascii="Century Gothic" w:hAnsi="Century Gothic"/>
          <w:sz w:val="19"/>
          <w:szCs w:val="19"/>
        </w:rPr>
        <w:t xml:space="preserve">Unidades Administrativas del INEGI </w:t>
      </w:r>
      <w:r w:rsidR="00B01F7C" w:rsidRPr="00250B30">
        <w:rPr>
          <w:rFonts w:ascii="Century Gothic" w:hAnsi="Century Gothic"/>
          <w:sz w:val="19"/>
          <w:szCs w:val="19"/>
        </w:rPr>
        <w:t>y del propio presidente del Instituto</w:t>
      </w:r>
      <w:r w:rsidR="00AF18B8" w:rsidRPr="00250B30">
        <w:rPr>
          <w:rFonts w:ascii="Century Gothic" w:hAnsi="Century Gothic"/>
          <w:sz w:val="19"/>
          <w:szCs w:val="19"/>
        </w:rPr>
        <w:t xml:space="preserve">, </w:t>
      </w:r>
      <w:r w:rsidR="005367D4" w:rsidRPr="00250B30">
        <w:rPr>
          <w:rFonts w:ascii="Century Gothic" w:hAnsi="Century Gothic"/>
          <w:sz w:val="19"/>
          <w:szCs w:val="19"/>
        </w:rPr>
        <w:t>misma que</w:t>
      </w:r>
      <w:r w:rsidR="00991C9A" w:rsidRPr="00250B30">
        <w:rPr>
          <w:rFonts w:ascii="Century Gothic" w:hAnsi="Century Gothic"/>
          <w:sz w:val="19"/>
          <w:szCs w:val="19"/>
        </w:rPr>
        <w:t xml:space="preserve"> </w:t>
      </w:r>
      <w:r w:rsidR="007B3B60" w:rsidRPr="00250B30">
        <w:rPr>
          <w:rFonts w:ascii="Century Gothic" w:hAnsi="Century Gothic"/>
          <w:sz w:val="19"/>
          <w:szCs w:val="19"/>
        </w:rPr>
        <w:t xml:space="preserve">ha sido fundamental </w:t>
      </w:r>
      <w:r w:rsidR="00027859" w:rsidRPr="00250B30">
        <w:rPr>
          <w:rFonts w:ascii="Century Gothic" w:hAnsi="Century Gothic"/>
          <w:sz w:val="19"/>
          <w:szCs w:val="19"/>
        </w:rPr>
        <w:t>para lograr</w:t>
      </w:r>
      <w:r w:rsidR="00A273D4" w:rsidRPr="00250B30">
        <w:rPr>
          <w:rFonts w:ascii="Century Gothic" w:hAnsi="Century Gothic"/>
          <w:sz w:val="19"/>
          <w:szCs w:val="19"/>
        </w:rPr>
        <w:t xml:space="preserve"> consensos conceptuales y operativos con el fin de homologar los criterios </w:t>
      </w:r>
      <w:r w:rsidR="006F3A2F" w:rsidRPr="00250B30">
        <w:rPr>
          <w:rFonts w:ascii="Century Gothic" w:hAnsi="Century Gothic"/>
          <w:sz w:val="19"/>
          <w:szCs w:val="19"/>
        </w:rPr>
        <w:t xml:space="preserve">de calidad </w:t>
      </w:r>
      <w:r w:rsidR="00A273D4" w:rsidRPr="00250B30">
        <w:rPr>
          <w:rFonts w:ascii="Century Gothic" w:hAnsi="Century Gothic"/>
          <w:sz w:val="19"/>
          <w:szCs w:val="19"/>
        </w:rPr>
        <w:t>con los que se produce la información.</w:t>
      </w:r>
      <w:r w:rsidR="00055C06" w:rsidRPr="00250B30">
        <w:rPr>
          <w:rFonts w:ascii="Century Gothic" w:hAnsi="Century Gothic"/>
          <w:sz w:val="19"/>
          <w:szCs w:val="19"/>
        </w:rPr>
        <w:t xml:space="preserve">  </w:t>
      </w:r>
    </w:p>
    <w:p w:rsidR="00027859" w:rsidRPr="00250B30" w:rsidRDefault="00027859" w:rsidP="00C47CB8">
      <w:pPr>
        <w:tabs>
          <w:tab w:val="left" w:pos="8505"/>
        </w:tabs>
        <w:spacing w:before="120" w:after="120"/>
        <w:ind w:right="21"/>
        <w:jc w:val="both"/>
        <w:rPr>
          <w:rFonts w:ascii="Century Gothic" w:hAnsi="Century Gothic"/>
          <w:sz w:val="19"/>
          <w:szCs w:val="19"/>
        </w:rPr>
      </w:pPr>
      <w:r w:rsidRPr="00250B30">
        <w:rPr>
          <w:rFonts w:ascii="Century Gothic" w:hAnsi="Century Gothic"/>
          <w:sz w:val="19"/>
          <w:szCs w:val="19"/>
        </w:rPr>
        <w:t xml:space="preserve">Además de la </w:t>
      </w:r>
      <w:r w:rsidR="005367D4" w:rsidRPr="00250B30">
        <w:rPr>
          <w:rFonts w:ascii="Century Gothic" w:hAnsi="Century Gothic"/>
          <w:sz w:val="19"/>
          <w:szCs w:val="19"/>
        </w:rPr>
        <w:t>asistencia</w:t>
      </w:r>
      <w:r w:rsidRPr="00250B30">
        <w:rPr>
          <w:rFonts w:ascii="Century Gothic" w:hAnsi="Century Gothic"/>
          <w:sz w:val="19"/>
          <w:szCs w:val="19"/>
        </w:rPr>
        <w:t xml:space="preserve"> directa en las sesiones del Comité, las áreas participan a través de los grupos de trabajo </w:t>
      </w:r>
      <w:r w:rsidR="00B87CC0" w:rsidRPr="00250B30">
        <w:rPr>
          <w:rFonts w:ascii="Century Gothic" w:hAnsi="Century Gothic"/>
          <w:sz w:val="19"/>
          <w:szCs w:val="19"/>
        </w:rPr>
        <w:t xml:space="preserve">donde se discuten y preparan las propuestas a ser </w:t>
      </w:r>
      <w:r w:rsidR="005367D4" w:rsidRPr="00250B30">
        <w:rPr>
          <w:rFonts w:ascii="Century Gothic" w:hAnsi="Century Gothic"/>
          <w:sz w:val="19"/>
          <w:szCs w:val="19"/>
        </w:rPr>
        <w:t>expuestas</w:t>
      </w:r>
      <w:r w:rsidR="00B87CC0" w:rsidRPr="00250B30">
        <w:rPr>
          <w:rFonts w:ascii="Century Gothic" w:hAnsi="Century Gothic"/>
          <w:sz w:val="19"/>
          <w:szCs w:val="19"/>
        </w:rPr>
        <w:t xml:space="preserve">.  En 2019, los grupos de trabajo que </w:t>
      </w:r>
      <w:r w:rsidR="00A32E9B" w:rsidRPr="00250B30">
        <w:rPr>
          <w:rFonts w:ascii="Century Gothic" w:hAnsi="Century Gothic"/>
          <w:sz w:val="19"/>
          <w:szCs w:val="19"/>
        </w:rPr>
        <w:t>realizaron estas actividades fueron:</w:t>
      </w:r>
    </w:p>
    <w:p w:rsidR="00405D96" w:rsidRPr="00250B30" w:rsidRDefault="00405D96"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Grupo de Trabajo de Indicadores de Precisión liderado por el Vicepresidente del Subsistema de Información Demográfica y Social.</w:t>
      </w:r>
    </w:p>
    <w:p w:rsidR="00A32E9B" w:rsidRPr="00250B30" w:rsidRDefault="00405D96"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Grupo de Trabajo del Modelo de Procesos liderado por la Coordinación de Asesores</w:t>
      </w:r>
    </w:p>
    <w:p w:rsidR="00405D96" w:rsidRPr="00250B30" w:rsidRDefault="00405D96"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Grupo de Trabajo de Documentación de Diseño liderado por el Vicepresidente del Subsistema de Información Demográfica y Social.</w:t>
      </w:r>
    </w:p>
    <w:p w:rsidR="00405D96" w:rsidRPr="00250B30" w:rsidRDefault="00405D96"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 xml:space="preserve">Grupo de Trabajo </w:t>
      </w:r>
      <w:r w:rsidR="00C47CB8" w:rsidRPr="00250B30">
        <w:rPr>
          <w:rFonts w:ascii="Century Gothic" w:hAnsi="Century Gothic"/>
          <w:sz w:val="19"/>
          <w:szCs w:val="19"/>
        </w:rPr>
        <w:t>derivado</w:t>
      </w:r>
      <w:r w:rsidRPr="00250B30">
        <w:rPr>
          <w:rFonts w:ascii="Century Gothic" w:hAnsi="Century Gothic"/>
          <w:sz w:val="19"/>
          <w:szCs w:val="19"/>
        </w:rPr>
        <w:t xml:space="preserve"> de la evaluación en la estructura territorial, liderado por el Coordinador General de Operación Regional.</w:t>
      </w:r>
    </w:p>
    <w:p w:rsidR="00405D96" w:rsidRPr="00250B30" w:rsidRDefault="00405D96"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Grupo de Trabajo de Confidencialidad liderado por el Director General Adjunto de Integración de Información.</w:t>
      </w:r>
    </w:p>
    <w:p w:rsidR="00931230" w:rsidRPr="00250B30" w:rsidRDefault="00931230" w:rsidP="00250B30">
      <w:pPr>
        <w:pStyle w:val="Prrafodelista"/>
        <w:numPr>
          <w:ilvl w:val="0"/>
          <w:numId w:val="31"/>
        </w:numPr>
        <w:spacing w:before="120" w:after="120"/>
        <w:ind w:left="851" w:right="21" w:hanging="425"/>
        <w:jc w:val="both"/>
        <w:rPr>
          <w:rFonts w:ascii="Century Gothic" w:hAnsi="Century Gothic"/>
          <w:sz w:val="19"/>
          <w:szCs w:val="19"/>
        </w:rPr>
      </w:pPr>
      <w:r w:rsidRPr="00250B30">
        <w:rPr>
          <w:rFonts w:ascii="Century Gothic" w:hAnsi="Century Gothic"/>
          <w:sz w:val="19"/>
          <w:szCs w:val="19"/>
        </w:rPr>
        <w:t>Grupo de Trabajo de Gestión de Cambios liderado por el Secretario Técnico del Comité.</w:t>
      </w:r>
    </w:p>
    <w:p w:rsidR="00250B30" w:rsidRDefault="00250B30" w:rsidP="00C47CB8">
      <w:pPr>
        <w:tabs>
          <w:tab w:val="left" w:pos="8505"/>
        </w:tabs>
        <w:spacing w:after="120"/>
        <w:ind w:right="21"/>
        <w:jc w:val="both"/>
        <w:rPr>
          <w:rFonts w:ascii="Century Gothic" w:hAnsi="Century Gothic"/>
          <w:sz w:val="19"/>
          <w:szCs w:val="19"/>
        </w:rPr>
      </w:pPr>
    </w:p>
    <w:p w:rsidR="00CC5492" w:rsidRPr="00250B30" w:rsidRDefault="000A711D" w:rsidP="00C47CB8">
      <w:pPr>
        <w:tabs>
          <w:tab w:val="left" w:pos="8505"/>
        </w:tabs>
        <w:spacing w:after="120"/>
        <w:ind w:right="21"/>
        <w:jc w:val="both"/>
        <w:rPr>
          <w:rFonts w:ascii="Century Gothic" w:hAnsi="Century Gothic"/>
          <w:sz w:val="19"/>
          <w:szCs w:val="19"/>
        </w:rPr>
      </w:pPr>
      <w:r w:rsidRPr="00250B30">
        <w:rPr>
          <w:rFonts w:ascii="Century Gothic" w:hAnsi="Century Gothic"/>
          <w:sz w:val="19"/>
          <w:szCs w:val="19"/>
        </w:rPr>
        <w:t>El presente informe incluye los principales resultados</w:t>
      </w:r>
      <w:r w:rsidR="00F14B0B" w:rsidRPr="00250B30">
        <w:rPr>
          <w:rFonts w:ascii="Century Gothic" w:hAnsi="Century Gothic"/>
          <w:sz w:val="19"/>
          <w:szCs w:val="19"/>
        </w:rPr>
        <w:t xml:space="preserve"> relacionados con las metas internas que se establecieron para el período 2017-2019.  Los resultados resumen los avances a partir de las actividades establecidas </w:t>
      </w:r>
      <w:r w:rsidR="00D5464C" w:rsidRPr="00250B30">
        <w:rPr>
          <w:rFonts w:ascii="Century Gothic" w:hAnsi="Century Gothic"/>
          <w:sz w:val="19"/>
          <w:szCs w:val="19"/>
        </w:rPr>
        <w:t xml:space="preserve">en </w:t>
      </w:r>
      <w:r w:rsidR="00F14B0B" w:rsidRPr="00250B30">
        <w:rPr>
          <w:rFonts w:ascii="Century Gothic" w:hAnsi="Century Gothic"/>
          <w:sz w:val="19"/>
          <w:szCs w:val="19"/>
        </w:rPr>
        <w:t xml:space="preserve">los </w:t>
      </w:r>
      <w:r w:rsidRPr="00250B30">
        <w:rPr>
          <w:rFonts w:ascii="Century Gothic" w:hAnsi="Century Gothic"/>
          <w:sz w:val="19"/>
          <w:szCs w:val="19"/>
        </w:rPr>
        <w:t>Programa</w:t>
      </w:r>
      <w:r w:rsidR="00F14B0B" w:rsidRPr="00250B30">
        <w:rPr>
          <w:rFonts w:ascii="Century Gothic" w:hAnsi="Century Gothic"/>
          <w:sz w:val="19"/>
          <w:szCs w:val="19"/>
        </w:rPr>
        <w:t>s</w:t>
      </w:r>
      <w:r w:rsidRPr="00250B30">
        <w:rPr>
          <w:rFonts w:ascii="Century Gothic" w:hAnsi="Century Gothic"/>
          <w:sz w:val="19"/>
          <w:szCs w:val="19"/>
        </w:rPr>
        <w:t xml:space="preserve"> Anual</w:t>
      </w:r>
      <w:r w:rsidR="00F14B0B" w:rsidRPr="00250B30">
        <w:rPr>
          <w:rFonts w:ascii="Century Gothic" w:hAnsi="Century Gothic"/>
          <w:sz w:val="19"/>
          <w:szCs w:val="19"/>
        </w:rPr>
        <w:t>es</w:t>
      </w:r>
      <w:r w:rsidRPr="00250B30">
        <w:rPr>
          <w:rFonts w:ascii="Century Gothic" w:hAnsi="Century Gothic"/>
          <w:sz w:val="19"/>
          <w:szCs w:val="19"/>
        </w:rPr>
        <w:t xml:space="preserve"> de Aseguramiento de la Calidad </w:t>
      </w:r>
      <w:r w:rsidR="00F14B0B" w:rsidRPr="00250B30">
        <w:rPr>
          <w:rFonts w:ascii="Century Gothic" w:hAnsi="Century Gothic"/>
          <w:sz w:val="19"/>
          <w:szCs w:val="19"/>
        </w:rPr>
        <w:t xml:space="preserve">2017, 2018 y </w:t>
      </w:r>
      <w:r w:rsidRPr="00250B30">
        <w:rPr>
          <w:rFonts w:ascii="Century Gothic" w:hAnsi="Century Gothic"/>
          <w:sz w:val="19"/>
          <w:szCs w:val="19"/>
        </w:rPr>
        <w:t>201</w:t>
      </w:r>
      <w:r w:rsidR="00371DD2" w:rsidRPr="00250B30">
        <w:rPr>
          <w:rFonts w:ascii="Century Gothic" w:hAnsi="Century Gothic"/>
          <w:sz w:val="19"/>
          <w:szCs w:val="19"/>
        </w:rPr>
        <w:t>9</w:t>
      </w:r>
      <w:r w:rsidR="00D5464C" w:rsidRPr="00250B30">
        <w:rPr>
          <w:rFonts w:ascii="Century Gothic" w:hAnsi="Century Gothic"/>
          <w:sz w:val="19"/>
          <w:szCs w:val="19"/>
        </w:rPr>
        <w:t>,</w:t>
      </w:r>
      <w:r w:rsidRPr="00250B30">
        <w:rPr>
          <w:rFonts w:ascii="Century Gothic" w:hAnsi="Century Gothic"/>
          <w:sz w:val="19"/>
          <w:szCs w:val="19"/>
        </w:rPr>
        <w:t xml:space="preserve"> con el fin de dar cumplimiento al artículo 49, inciso II de la Norma de Aseguramiento de la Calidad de la Información Estadística y Geográfica del INEGI.</w:t>
      </w:r>
      <w:r w:rsidR="00D91DC8">
        <w:rPr>
          <w:rFonts w:ascii="Century Gothic" w:hAnsi="Century Gothic"/>
          <w:sz w:val="19"/>
          <w:szCs w:val="19"/>
        </w:rPr>
        <w:t xml:space="preserve"> En los anexos se detallan los resultados de los indicadores de calidad aprobados por el Comité.</w:t>
      </w:r>
      <w:r w:rsidR="006F3A2F" w:rsidRPr="00250B30">
        <w:rPr>
          <w:rFonts w:ascii="Century Gothic" w:hAnsi="Century Gothic"/>
          <w:sz w:val="19"/>
          <w:szCs w:val="19"/>
        </w:rPr>
        <w:t xml:space="preserve"> </w:t>
      </w:r>
      <w:r w:rsidR="00371DD2" w:rsidRPr="00250B30">
        <w:rPr>
          <w:rFonts w:ascii="Century Gothic" w:hAnsi="Century Gothic"/>
          <w:sz w:val="19"/>
          <w:szCs w:val="19"/>
        </w:rPr>
        <w:t xml:space="preserve">Este documento estará disponible para el </w:t>
      </w:r>
      <w:r w:rsidR="006F3A2F" w:rsidRPr="00250B30">
        <w:rPr>
          <w:rFonts w:ascii="Century Gothic" w:hAnsi="Century Gothic"/>
          <w:sz w:val="19"/>
          <w:szCs w:val="19"/>
        </w:rPr>
        <w:t>personal del INEGI a través del sitio de intranet (</w:t>
      </w:r>
      <w:hyperlink r:id="rId10" w:history="1">
        <w:r w:rsidR="00CC5492" w:rsidRPr="00250B30">
          <w:rPr>
            <w:rStyle w:val="Hipervnculo"/>
            <w:rFonts w:ascii="Century Gothic" w:hAnsi="Century Gothic"/>
            <w:sz w:val="19"/>
            <w:szCs w:val="19"/>
          </w:rPr>
          <w:t>http://intranet.inegi.org.mx/calidad</w:t>
        </w:r>
      </w:hyperlink>
      <w:r w:rsidR="006F3A2F" w:rsidRPr="00250B30">
        <w:rPr>
          <w:rFonts w:ascii="Century Gothic" w:hAnsi="Century Gothic"/>
          <w:sz w:val="19"/>
          <w:szCs w:val="19"/>
        </w:rPr>
        <w:t>).</w:t>
      </w:r>
    </w:p>
    <w:p w:rsidR="00386A78" w:rsidRPr="00250B30" w:rsidRDefault="00386A78" w:rsidP="00C47CB8">
      <w:pPr>
        <w:tabs>
          <w:tab w:val="left" w:pos="8505"/>
        </w:tabs>
        <w:spacing w:after="120"/>
        <w:ind w:right="21"/>
        <w:jc w:val="both"/>
        <w:rPr>
          <w:rFonts w:ascii="Century Gothic" w:hAnsi="Century Gothic"/>
          <w:sz w:val="19"/>
          <w:szCs w:val="19"/>
        </w:rPr>
      </w:pPr>
      <w:r w:rsidRPr="00250B30">
        <w:rPr>
          <w:rFonts w:ascii="Century Gothic" w:hAnsi="Century Gothic"/>
          <w:sz w:val="19"/>
          <w:szCs w:val="19"/>
        </w:rPr>
        <w:t>El avance conforme a lo previsto es sustancial por lo que se presentan las nuevas metas internas para los próximos tres años.  En la Quinta Sesión de 2019 del Comité de Aseguramiento de la Calidad se revisó el avance sobre las metas previstas y se fijaron las metas correspondientes al período 2020-2022</w:t>
      </w:r>
      <w:r w:rsidR="00361B6A" w:rsidRPr="00250B30">
        <w:rPr>
          <w:rFonts w:ascii="Century Gothic" w:hAnsi="Century Gothic"/>
          <w:sz w:val="19"/>
          <w:szCs w:val="19"/>
        </w:rPr>
        <w:t xml:space="preserve"> (</w:t>
      </w:r>
      <w:hyperlink r:id="rId11" w:history="1">
        <w:r w:rsidR="00361B6A" w:rsidRPr="00250B30">
          <w:rPr>
            <w:rStyle w:val="Hipervnculo"/>
            <w:rFonts w:ascii="Century Gothic" w:hAnsi="Century Gothic"/>
            <w:sz w:val="19"/>
            <w:szCs w:val="19"/>
          </w:rPr>
          <w:t>http://intranet.inegi.org.mx/calidad/sesiones-del-comite/</w:t>
        </w:r>
      </w:hyperlink>
      <w:r w:rsidR="00361B6A" w:rsidRPr="00250B30">
        <w:rPr>
          <w:rFonts w:ascii="Century Gothic" w:hAnsi="Century Gothic"/>
          <w:sz w:val="19"/>
          <w:szCs w:val="19"/>
        </w:rPr>
        <w:t>)</w:t>
      </w:r>
      <w:r w:rsidRPr="00250B30">
        <w:rPr>
          <w:rFonts w:ascii="Century Gothic" w:hAnsi="Century Gothic"/>
          <w:sz w:val="19"/>
          <w:szCs w:val="19"/>
        </w:rPr>
        <w:t xml:space="preserve">.  </w:t>
      </w:r>
    </w:p>
    <w:p w:rsidR="00E338CD" w:rsidRPr="00D10FAA" w:rsidRDefault="00E338CD" w:rsidP="00C2025E">
      <w:pPr>
        <w:spacing w:after="120"/>
        <w:jc w:val="both"/>
        <w:rPr>
          <w:rFonts w:ascii="Century Gothic" w:hAnsi="Century Gothic"/>
        </w:rPr>
      </w:pPr>
      <w:r w:rsidRPr="00D10FAA">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4"/>
                <w:szCs w:val="32"/>
              </w:rPr>
            </w:pPr>
          </w:p>
        </w:tc>
        <w:tc>
          <w:tcPr>
            <w:tcW w:w="7513" w:type="dxa"/>
            <w:shd w:val="clear" w:color="auto" w:fill="0079BF"/>
          </w:tcPr>
          <w:p w:rsidR="002517E4" w:rsidRPr="0022505B" w:rsidRDefault="002517E4" w:rsidP="008D0572">
            <w:pPr>
              <w:rPr>
                <w:rFonts w:cstheme="minorHAnsi"/>
                <w:color w:val="FFFFFF" w:themeColor="background1"/>
                <w:sz w:val="14"/>
                <w:szCs w:val="32"/>
              </w:rPr>
            </w:pPr>
          </w:p>
        </w:tc>
      </w:tr>
      <w:tr w:rsidR="002517E4" w:rsidRPr="0022505B" w:rsidTr="008D0572">
        <w:trPr>
          <w:trHeight w:val="201"/>
        </w:trPr>
        <w:tc>
          <w:tcPr>
            <w:tcW w:w="12333" w:type="dxa"/>
            <w:gridSpan w:val="2"/>
            <w:shd w:val="clear" w:color="auto" w:fill="auto"/>
          </w:tcPr>
          <w:p w:rsidR="002517E4" w:rsidRPr="00613C02" w:rsidRDefault="00926954" w:rsidP="005B7807">
            <w:pPr>
              <w:pStyle w:val="Ttulo1"/>
              <w:spacing w:before="0"/>
              <w:jc w:val="center"/>
              <w:rPr>
                <w:rFonts w:cstheme="minorHAnsi"/>
                <w:color w:val="000000" w:themeColor="text1"/>
              </w:rPr>
            </w:pPr>
            <w:bookmarkStart w:id="1" w:name="_Toc34310014"/>
            <w:r>
              <w:rPr>
                <w:rFonts w:cstheme="minorHAnsi"/>
                <w:color w:val="000000" w:themeColor="text1"/>
              </w:rPr>
              <w:t>ANTECEDENTES</w:t>
            </w:r>
            <w:bookmarkEnd w:id="1"/>
          </w:p>
        </w:tc>
      </w:tr>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2"/>
                <w:szCs w:val="32"/>
              </w:rPr>
            </w:pPr>
          </w:p>
        </w:tc>
        <w:tc>
          <w:tcPr>
            <w:tcW w:w="7513" w:type="dxa"/>
            <w:shd w:val="clear" w:color="auto" w:fill="0079BF"/>
          </w:tcPr>
          <w:p w:rsidR="002517E4" w:rsidRPr="0022505B" w:rsidRDefault="002517E4" w:rsidP="008D0572">
            <w:pPr>
              <w:rPr>
                <w:rFonts w:cstheme="minorHAnsi"/>
                <w:color w:val="FFFFFF" w:themeColor="background1"/>
                <w:sz w:val="12"/>
                <w:szCs w:val="32"/>
              </w:rPr>
            </w:pPr>
          </w:p>
        </w:tc>
      </w:tr>
    </w:tbl>
    <w:p w:rsidR="00AB0F93" w:rsidRPr="00D10FAA" w:rsidRDefault="00AB0F93" w:rsidP="00231318">
      <w:pPr>
        <w:spacing w:after="120"/>
        <w:jc w:val="both"/>
        <w:rPr>
          <w:rFonts w:ascii="Century Gothic" w:hAnsi="Century Gothic"/>
          <w:szCs w:val="19"/>
        </w:rPr>
      </w:pPr>
    </w:p>
    <w:p w:rsidR="00231318" w:rsidRPr="004D352F" w:rsidRDefault="000916CE" w:rsidP="004D352F">
      <w:pPr>
        <w:pStyle w:val="Ttulo1"/>
        <w:rPr>
          <w:rFonts w:ascii="Century Gothic" w:eastAsiaTheme="minorHAnsi" w:hAnsi="Century Gothic" w:cstheme="minorBidi"/>
          <w:b/>
          <w:color w:val="auto"/>
          <w:sz w:val="22"/>
          <w:szCs w:val="22"/>
        </w:rPr>
      </w:pPr>
      <w:bookmarkStart w:id="2" w:name="_Toc34310015"/>
      <w:r w:rsidRPr="004D352F">
        <w:rPr>
          <w:rFonts w:ascii="Century Gothic" w:eastAsiaTheme="minorHAnsi" w:hAnsi="Century Gothic" w:cstheme="minorBidi"/>
          <w:b/>
          <w:color w:val="auto"/>
          <w:sz w:val="22"/>
          <w:szCs w:val="22"/>
        </w:rPr>
        <w:t xml:space="preserve">Política </w:t>
      </w:r>
      <w:r w:rsidR="003E68F2" w:rsidRPr="004D352F">
        <w:rPr>
          <w:rFonts w:ascii="Century Gothic" w:eastAsiaTheme="minorHAnsi" w:hAnsi="Century Gothic" w:cstheme="minorBidi"/>
          <w:b/>
          <w:color w:val="auto"/>
          <w:sz w:val="22"/>
          <w:szCs w:val="22"/>
        </w:rPr>
        <w:t xml:space="preserve">de </w:t>
      </w:r>
      <w:r w:rsidRPr="004D352F">
        <w:rPr>
          <w:rFonts w:ascii="Century Gothic" w:eastAsiaTheme="minorHAnsi" w:hAnsi="Century Gothic" w:cstheme="minorBidi"/>
          <w:b/>
          <w:color w:val="auto"/>
          <w:sz w:val="22"/>
          <w:szCs w:val="22"/>
        </w:rPr>
        <w:t>Calidad</w:t>
      </w:r>
      <w:bookmarkEnd w:id="2"/>
      <w:r w:rsidRPr="004D352F">
        <w:rPr>
          <w:rFonts w:ascii="Century Gothic" w:eastAsiaTheme="minorHAnsi" w:hAnsi="Century Gothic" w:cstheme="minorBidi"/>
          <w:b/>
          <w:color w:val="auto"/>
          <w:sz w:val="22"/>
          <w:szCs w:val="22"/>
        </w:rPr>
        <w:t xml:space="preserve"> </w:t>
      </w:r>
    </w:p>
    <w:p w:rsidR="00231318" w:rsidRPr="00D10FAA" w:rsidRDefault="009D4F27" w:rsidP="003446EB">
      <w:pPr>
        <w:spacing w:before="120" w:after="120"/>
        <w:jc w:val="both"/>
        <w:rPr>
          <w:rFonts w:ascii="Century Gothic" w:hAnsi="Century Gothic"/>
          <w:sz w:val="19"/>
          <w:szCs w:val="19"/>
        </w:rPr>
      </w:pPr>
      <w:r>
        <w:rPr>
          <w:rFonts w:ascii="Century Gothic" w:hAnsi="Century Gothic"/>
          <w:sz w:val="19"/>
          <w:szCs w:val="19"/>
        </w:rPr>
        <w:t xml:space="preserve">Los documentos rectores del aseguramiento de la calidad en el INEGI son la </w:t>
      </w:r>
      <w:r w:rsidRPr="00D10FAA">
        <w:rPr>
          <w:rFonts w:ascii="Century Gothic" w:hAnsi="Century Gothic"/>
          <w:sz w:val="19"/>
          <w:szCs w:val="19"/>
        </w:rPr>
        <w:t>Política de Calidad Institucional</w:t>
      </w:r>
      <w:r w:rsidRPr="005E3F97">
        <w:rPr>
          <w:vertAlign w:val="superscript"/>
        </w:rPr>
        <w:footnoteReference w:id="1"/>
      </w:r>
      <w:r w:rsidRPr="005E3F97">
        <w:rPr>
          <w:rFonts w:ascii="Century Gothic" w:hAnsi="Century Gothic"/>
          <w:sz w:val="19"/>
          <w:szCs w:val="19"/>
          <w:vertAlign w:val="superscript"/>
        </w:rPr>
        <w:t xml:space="preserve"> </w:t>
      </w:r>
      <w:r>
        <w:rPr>
          <w:rFonts w:ascii="Century Gothic" w:hAnsi="Century Gothic"/>
          <w:sz w:val="19"/>
          <w:szCs w:val="19"/>
        </w:rPr>
        <w:t xml:space="preserve">y la </w:t>
      </w:r>
      <w:r w:rsidR="00231318" w:rsidRPr="00D10FAA">
        <w:rPr>
          <w:rFonts w:ascii="Century Gothic" w:hAnsi="Century Gothic"/>
          <w:sz w:val="19"/>
          <w:szCs w:val="19"/>
        </w:rPr>
        <w:t>Norma para el Aseguramiento de la Calidad de la Información Estadística y Geográfica del INEGI</w:t>
      </w:r>
      <w:r w:rsidR="00185A42" w:rsidRPr="005E3F97">
        <w:rPr>
          <w:vertAlign w:val="superscript"/>
        </w:rPr>
        <w:footnoteReference w:id="2"/>
      </w:r>
      <w:r w:rsidR="00231318" w:rsidRPr="00D10FAA">
        <w:rPr>
          <w:rFonts w:ascii="Century Gothic" w:hAnsi="Century Gothic"/>
          <w:sz w:val="19"/>
          <w:szCs w:val="19"/>
        </w:rPr>
        <w:t>, la cual crea al Comité de Aseguramiento de la Calidad (</w:t>
      </w:r>
      <w:proofErr w:type="spellStart"/>
      <w:r w:rsidR="00185A42">
        <w:rPr>
          <w:rFonts w:ascii="Century Gothic" w:hAnsi="Century Gothic"/>
          <w:sz w:val="19"/>
          <w:szCs w:val="19"/>
        </w:rPr>
        <w:t>C</w:t>
      </w:r>
      <w:r>
        <w:rPr>
          <w:rFonts w:ascii="Century Gothic" w:hAnsi="Century Gothic"/>
          <w:sz w:val="19"/>
          <w:szCs w:val="19"/>
        </w:rPr>
        <w:t>o</w:t>
      </w:r>
      <w:r w:rsidR="00185A42">
        <w:rPr>
          <w:rFonts w:ascii="Century Gothic" w:hAnsi="Century Gothic"/>
          <w:sz w:val="19"/>
          <w:szCs w:val="19"/>
        </w:rPr>
        <w:t>AC</w:t>
      </w:r>
      <w:proofErr w:type="spellEnd"/>
      <w:r w:rsidR="00231318" w:rsidRPr="00D10FAA">
        <w:rPr>
          <w:rFonts w:ascii="Century Gothic" w:hAnsi="Century Gothic"/>
          <w:sz w:val="19"/>
          <w:szCs w:val="19"/>
        </w:rPr>
        <w:t xml:space="preserve">). </w:t>
      </w:r>
    </w:p>
    <w:p w:rsidR="009D4F27" w:rsidRDefault="00231318" w:rsidP="00231318">
      <w:pPr>
        <w:spacing w:after="120"/>
        <w:jc w:val="both"/>
        <w:rPr>
          <w:rFonts w:ascii="Century Gothic" w:hAnsi="Century Gothic"/>
          <w:sz w:val="19"/>
          <w:szCs w:val="19"/>
        </w:rPr>
      </w:pPr>
      <w:r w:rsidRPr="00D10FAA">
        <w:rPr>
          <w:rFonts w:ascii="Century Gothic" w:hAnsi="Century Gothic"/>
          <w:sz w:val="19"/>
          <w:szCs w:val="19"/>
        </w:rPr>
        <w:t>La Política de Calidad</w:t>
      </w:r>
      <w:r w:rsidR="009D4F27">
        <w:rPr>
          <w:rFonts w:ascii="Century Gothic" w:hAnsi="Century Gothic"/>
          <w:sz w:val="19"/>
          <w:szCs w:val="19"/>
        </w:rPr>
        <w:t xml:space="preserve"> está basada en los marcos de calidad estadística de la Organización de las Naciones Unidas</w:t>
      </w:r>
      <w:r w:rsidR="009D4F27">
        <w:rPr>
          <w:rStyle w:val="Refdenotaalpie"/>
          <w:rFonts w:ascii="Century Gothic" w:hAnsi="Century Gothic"/>
          <w:sz w:val="19"/>
          <w:szCs w:val="19"/>
        </w:rPr>
        <w:footnoteReference w:id="3"/>
      </w:r>
      <w:r w:rsidR="009D4F27">
        <w:rPr>
          <w:rFonts w:ascii="Century Gothic" w:hAnsi="Century Gothic"/>
          <w:sz w:val="19"/>
          <w:szCs w:val="19"/>
        </w:rPr>
        <w:t>, la Organización para la Cooperación y el Desarrollo Económicos</w:t>
      </w:r>
      <w:r w:rsidR="00EF0627">
        <w:rPr>
          <w:rFonts w:ascii="Century Gothic" w:hAnsi="Century Gothic"/>
          <w:sz w:val="19"/>
          <w:szCs w:val="19"/>
        </w:rPr>
        <w:t xml:space="preserve"> </w:t>
      </w:r>
      <w:r w:rsidR="009D4F27">
        <w:rPr>
          <w:rFonts w:ascii="Century Gothic" w:hAnsi="Century Gothic"/>
          <w:sz w:val="19"/>
          <w:szCs w:val="19"/>
        </w:rPr>
        <w:t>(OCDE)</w:t>
      </w:r>
      <w:r w:rsidR="009D4F27">
        <w:rPr>
          <w:rStyle w:val="Refdenotaalpie"/>
          <w:rFonts w:ascii="Century Gothic" w:hAnsi="Century Gothic"/>
          <w:sz w:val="19"/>
          <w:szCs w:val="19"/>
        </w:rPr>
        <w:footnoteReference w:id="4"/>
      </w:r>
      <w:r w:rsidR="005E3F97">
        <w:rPr>
          <w:rFonts w:ascii="Century Gothic" w:hAnsi="Century Gothic"/>
          <w:sz w:val="19"/>
          <w:szCs w:val="19"/>
        </w:rPr>
        <w:t xml:space="preserve"> y de</w:t>
      </w:r>
      <w:r w:rsidR="009D4F27">
        <w:rPr>
          <w:rFonts w:ascii="Century Gothic" w:hAnsi="Century Gothic"/>
          <w:sz w:val="19"/>
          <w:szCs w:val="19"/>
        </w:rPr>
        <w:t xml:space="preserve"> la Oficina Europea de Estadística (Eurostat)</w:t>
      </w:r>
      <w:r w:rsidR="009D4F27">
        <w:rPr>
          <w:rStyle w:val="Refdenotaalpie"/>
          <w:rFonts w:ascii="Century Gothic" w:hAnsi="Century Gothic"/>
          <w:sz w:val="19"/>
          <w:szCs w:val="19"/>
        </w:rPr>
        <w:footnoteReference w:id="5"/>
      </w:r>
      <w:r w:rsidR="0015513F">
        <w:rPr>
          <w:rFonts w:ascii="Century Gothic" w:hAnsi="Century Gothic"/>
          <w:sz w:val="19"/>
          <w:szCs w:val="19"/>
        </w:rPr>
        <w:t xml:space="preserve">. Estos marcos </w:t>
      </w:r>
      <w:r w:rsidR="009D4F27">
        <w:rPr>
          <w:rFonts w:ascii="Century Gothic" w:hAnsi="Century Gothic"/>
          <w:sz w:val="19"/>
          <w:szCs w:val="19"/>
        </w:rPr>
        <w:t xml:space="preserve">se desarrollaron </w:t>
      </w:r>
      <w:r w:rsidR="0015513F">
        <w:rPr>
          <w:rFonts w:ascii="Century Gothic" w:hAnsi="Century Gothic"/>
          <w:sz w:val="19"/>
          <w:szCs w:val="19"/>
        </w:rPr>
        <w:t>a partir de los Principios Fundamentales de las Estadísticas Oficiales de Naciones Unidas aprobados en 1994</w:t>
      </w:r>
      <w:r w:rsidR="00D5464C">
        <w:rPr>
          <w:rFonts w:ascii="Century Gothic" w:hAnsi="Century Gothic"/>
          <w:sz w:val="19"/>
          <w:szCs w:val="19"/>
        </w:rPr>
        <w:t>,</w:t>
      </w:r>
      <w:r w:rsidR="009D4F27">
        <w:rPr>
          <w:rFonts w:ascii="Century Gothic" w:hAnsi="Century Gothic"/>
          <w:sz w:val="19"/>
          <w:szCs w:val="19"/>
        </w:rPr>
        <w:t xml:space="preserve"> </w:t>
      </w:r>
      <w:r w:rsidR="005E3F97">
        <w:rPr>
          <w:rFonts w:ascii="Century Gothic" w:hAnsi="Century Gothic"/>
          <w:sz w:val="19"/>
          <w:szCs w:val="19"/>
        </w:rPr>
        <w:t xml:space="preserve">que </w:t>
      </w:r>
      <w:r w:rsidR="0015513F">
        <w:rPr>
          <w:rFonts w:ascii="Century Gothic" w:hAnsi="Century Gothic"/>
          <w:sz w:val="19"/>
          <w:szCs w:val="19"/>
        </w:rPr>
        <w:t>se han actualizado a lo largo del tiempo hasta llegar al manual para el aseguramiento de la calidad de las estadísticas oficiales aprobado por la Oficina de las Naciones Unidas en marzo de 2019.</w:t>
      </w:r>
    </w:p>
    <w:p w:rsidR="00C34F39" w:rsidRDefault="0015513F" w:rsidP="00231318">
      <w:pPr>
        <w:spacing w:after="120"/>
        <w:jc w:val="both"/>
        <w:rPr>
          <w:rFonts w:ascii="Century Gothic" w:hAnsi="Century Gothic"/>
          <w:sz w:val="19"/>
          <w:szCs w:val="19"/>
        </w:rPr>
      </w:pPr>
      <w:r>
        <w:rPr>
          <w:rFonts w:ascii="Century Gothic" w:hAnsi="Century Gothic"/>
          <w:sz w:val="19"/>
          <w:szCs w:val="19"/>
        </w:rPr>
        <w:t>La Política de Calidad</w:t>
      </w:r>
      <w:r w:rsidR="005E3F97">
        <w:rPr>
          <w:rFonts w:ascii="Century Gothic" w:hAnsi="Century Gothic"/>
          <w:sz w:val="19"/>
          <w:szCs w:val="19"/>
        </w:rPr>
        <w:t xml:space="preserve"> del INEGI</w:t>
      </w:r>
      <w:r w:rsidR="00D5464C">
        <w:rPr>
          <w:rFonts w:ascii="Century Gothic" w:hAnsi="Century Gothic"/>
          <w:sz w:val="19"/>
          <w:szCs w:val="19"/>
        </w:rPr>
        <w:t>,</w:t>
      </w:r>
      <w:r w:rsidR="005E3F97">
        <w:rPr>
          <w:rFonts w:ascii="Century Gothic" w:hAnsi="Century Gothic"/>
          <w:sz w:val="19"/>
          <w:szCs w:val="19"/>
        </w:rPr>
        <w:t xml:space="preserve"> además de adoptar las buenas prácticas internacionales en materia estadística, incluye los principios y directrices que aplican a la información geográfica.</w:t>
      </w:r>
      <w:r w:rsidR="00FC169E">
        <w:rPr>
          <w:rFonts w:ascii="Century Gothic" w:hAnsi="Century Gothic"/>
          <w:sz w:val="19"/>
          <w:szCs w:val="19"/>
        </w:rPr>
        <w:t xml:space="preserve"> Cabe señalar que la Política de Calidad del INEGI es congruente con los principios establecidos en el artículo 3 de la Ley del SNEIG y los Principios y Buenas Prácticas del SNEIG.</w:t>
      </w:r>
      <w:r w:rsidR="005E3F97">
        <w:rPr>
          <w:rFonts w:ascii="Century Gothic" w:hAnsi="Century Gothic"/>
          <w:sz w:val="19"/>
          <w:szCs w:val="19"/>
        </w:rPr>
        <w:t xml:space="preserve">  Los principios de calidad, establecidos en la Política de Calidad, </w:t>
      </w:r>
      <w:r w:rsidR="00231318" w:rsidRPr="00D10FAA">
        <w:rPr>
          <w:rFonts w:ascii="Century Gothic" w:hAnsi="Century Gothic"/>
          <w:sz w:val="19"/>
          <w:szCs w:val="19"/>
        </w:rPr>
        <w:t>constituyen la guía de las acciones institucionales en</w:t>
      </w:r>
      <w:r w:rsidR="005E3F97">
        <w:rPr>
          <w:rFonts w:ascii="Century Gothic" w:hAnsi="Century Gothic"/>
          <w:sz w:val="19"/>
          <w:szCs w:val="19"/>
        </w:rPr>
        <w:t xml:space="preserve"> esta</w:t>
      </w:r>
      <w:r w:rsidR="00231318" w:rsidRPr="00D10FAA">
        <w:rPr>
          <w:rFonts w:ascii="Century Gothic" w:hAnsi="Century Gothic"/>
          <w:sz w:val="19"/>
          <w:szCs w:val="19"/>
        </w:rPr>
        <w:t xml:space="preserve"> materia. Así, las actividades estratégicas y metas del Programa Anual de Aseguramiento de la Calidad Institucional</w:t>
      </w:r>
      <w:r w:rsidR="00D1219C">
        <w:rPr>
          <w:rStyle w:val="Refdenotaalpie"/>
          <w:rFonts w:ascii="Century Gothic" w:hAnsi="Century Gothic"/>
          <w:sz w:val="19"/>
          <w:szCs w:val="19"/>
        </w:rPr>
        <w:footnoteReference w:id="6"/>
      </w:r>
      <w:r w:rsidR="00231318" w:rsidRPr="00D10FAA">
        <w:rPr>
          <w:rFonts w:ascii="Century Gothic" w:hAnsi="Century Gothic"/>
          <w:sz w:val="19"/>
          <w:szCs w:val="19"/>
        </w:rPr>
        <w:t xml:space="preserve"> consideran estos principios.</w:t>
      </w:r>
    </w:p>
    <w:tbl>
      <w:tblPr>
        <w:tblW w:w="10095" w:type="dxa"/>
        <w:jc w:val="center"/>
        <w:tblBorders>
          <w:left w:val="single" w:sz="24" w:space="0" w:color="A6A6A6" w:themeColor="background1" w:themeShade="A6"/>
          <w:insideH w:val="single" w:sz="36" w:space="0" w:color="808080" w:themeColor="background1" w:themeShade="80"/>
          <w:insideV w:val="single" w:sz="24" w:space="0" w:color="A6A6A6" w:themeColor="background1" w:themeShade="A6"/>
        </w:tblBorders>
        <w:tblLook w:val="04A0" w:firstRow="1" w:lastRow="0" w:firstColumn="1" w:lastColumn="0" w:noHBand="0" w:noVBand="1"/>
      </w:tblPr>
      <w:tblGrid>
        <w:gridCol w:w="2197"/>
        <w:gridCol w:w="7898"/>
      </w:tblGrid>
      <w:tr w:rsidR="00C34F39" w:rsidRPr="00D10FAA" w:rsidTr="00C34F39">
        <w:trPr>
          <w:trHeight w:val="3405"/>
          <w:jc w:val="center"/>
        </w:trPr>
        <w:tc>
          <w:tcPr>
            <w:tcW w:w="2197" w:type="dxa"/>
            <w:tcBorders>
              <w:right w:val="nil"/>
            </w:tcBorders>
            <w:vAlign w:val="center"/>
          </w:tcPr>
          <w:p w:rsidR="00C34F39" w:rsidRPr="00D10FAA" w:rsidRDefault="00C34F39" w:rsidP="00263F0C">
            <w:pPr>
              <w:spacing w:after="120"/>
              <w:ind w:left="7" w:hanging="7"/>
              <w:jc w:val="center"/>
              <w:rPr>
                <w:rFonts w:ascii="Century Gothic" w:hAnsi="Century Gothic"/>
                <w:b/>
                <w:color w:val="A6A6A6" w:themeColor="background1" w:themeShade="A6"/>
                <w:sz w:val="36"/>
              </w:rPr>
            </w:pPr>
            <w:r w:rsidRPr="00C34F39">
              <w:rPr>
                <w:rFonts w:ascii="Century Gothic" w:hAnsi="Century Gothic"/>
                <w:b/>
                <w:color w:val="A6A6A6" w:themeColor="background1" w:themeShade="A6"/>
                <w:sz w:val="24"/>
              </w:rPr>
              <w:t>Principios de la Política de Calidad</w:t>
            </w:r>
          </w:p>
          <w:p w:rsidR="00C34F39" w:rsidRPr="00D10FAA" w:rsidRDefault="00C34F39" w:rsidP="00263F0C">
            <w:pPr>
              <w:spacing w:after="120"/>
              <w:ind w:left="7" w:hanging="7"/>
              <w:rPr>
                <w:rFonts w:ascii="Century Gothic" w:hAnsi="Century Gothic"/>
              </w:rPr>
            </w:pPr>
          </w:p>
        </w:tc>
        <w:tc>
          <w:tcPr>
            <w:tcW w:w="7898" w:type="dxa"/>
            <w:tcBorders>
              <w:top w:val="nil"/>
              <w:left w:val="nil"/>
              <w:bottom w:val="nil"/>
            </w:tcBorders>
            <w:vAlign w:val="center"/>
          </w:tcPr>
          <w:p w:rsidR="00C34F39" w:rsidRPr="00D10FAA" w:rsidRDefault="00945115" w:rsidP="00263F0C">
            <w:pPr>
              <w:spacing w:after="120"/>
              <w:jc w:val="right"/>
              <w:rPr>
                <w:rFonts w:ascii="Century Gothic" w:hAnsi="Century Gothic"/>
              </w:rPr>
            </w:pPr>
            <w:r w:rsidRPr="00945115">
              <w:rPr>
                <w:rFonts w:ascii="Century Gothic" w:hAnsi="Century Gothic"/>
                <w:noProof/>
                <w:lang w:val="en-US"/>
              </w:rPr>
              <w:drawing>
                <wp:inline distT="0" distB="0" distL="0" distR="0" wp14:anchorId="4ACEF130" wp14:editId="000794AF">
                  <wp:extent cx="4472305" cy="32943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6076" cy="3311842"/>
                          </a:xfrm>
                          <a:prstGeom prst="rect">
                            <a:avLst/>
                          </a:prstGeom>
                          <a:noFill/>
                          <a:ln>
                            <a:noFill/>
                          </a:ln>
                        </pic:spPr>
                      </pic:pic>
                    </a:graphicData>
                  </a:graphic>
                </wp:inline>
              </w:drawing>
            </w:r>
          </w:p>
        </w:tc>
      </w:tr>
    </w:tbl>
    <w:p w:rsidR="00231318" w:rsidRPr="00D10FAA" w:rsidRDefault="00231318">
      <w:pPr>
        <w:rPr>
          <w:rFonts w:ascii="Century Gothic" w:hAnsi="Century Gothic"/>
        </w:rPr>
      </w:pPr>
      <w:r w:rsidRPr="00D10FAA">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4"/>
                <w:szCs w:val="32"/>
              </w:rPr>
            </w:pPr>
          </w:p>
        </w:tc>
        <w:tc>
          <w:tcPr>
            <w:tcW w:w="7513" w:type="dxa"/>
            <w:shd w:val="clear" w:color="auto" w:fill="0079BF"/>
          </w:tcPr>
          <w:p w:rsidR="002517E4" w:rsidRPr="0022505B" w:rsidRDefault="002517E4" w:rsidP="008D0572">
            <w:pPr>
              <w:rPr>
                <w:rFonts w:cstheme="minorHAnsi"/>
                <w:color w:val="FFFFFF" w:themeColor="background1"/>
                <w:sz w:val="14"/>
                <w:szCs w:val="32"/>
              </w:rPr>
            </w:pPr>
          </w:p>
        </w:tc>
      </w:tr>
      <w:tr w:rsidR="002517E4" w:rsidRPr="0022505B" w:rsidTr="008D0572">
        <w:trPr>
          <w:trHeight w:val="201"/>
        </w:trPr>
        <w:tc>
          <w:tcPr>
            <w:tcW w:w="12333" w:type="dxa"/>
            <w:gridSpan w:val="2"/>
            <w:shd w:val="clear" w:color="auto" w:fill="auto"/>
          </w:tcPr>
          <w:p w:rsidR="002517E4" w:rsidRPr="00613C02" w:rsidRDefault="005C44B6" w:rsidP="00882081">
            <w:pPr>
              <w:spacing w:after="0"/>
              <w:jc w:val="center"/>
              <w:rPr>
                <w:rFonts w:cstheme="minorHAnsi"/>
                <w:color w:val="000000" w:themeColor="text1"/>
                <w:sz w:val="32"/>
                <w:szCs w:val="32"/>
              </w:rPr>
            </w:pPr>
            <w:r>
              <w:rPr>
                <w:rFonts w:cstheme="minorHAnsi"/>
                <w:color w:val="000000" w:themeColor="text1"/>
                <w:sz w:val="32"/>
                <w:szCs w:val="32"/>
              </w:rPr>
              <w:t>ANTECEDENTES</w:t>
            </w:r>
          </w:p>
        </w:tc>
      </w:tr>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2"/>
                <w:szCs w:val="32"/>
              </w:rPr>
            </w:pPr>
          </w:p>
        </w:tc>
        <w:tc>
          <w:tcPr>
            <w:tcW w:w="7513" w:type="dxa"/>
            <w:shd w:val="clear" w:color="auto" w:fill="0079BF"/>
          </w:tcPr>
          <w:p w:rsidR="002517E4" w:rsidRPr="0022505B" w:rsidRDefault="002517E4" w:rsidP="008D0572">
            <w:pPr>
              <w:rPr>
                <w:rFonts w:cstheme="minorHAnsi"/>
                <w:color w:val="FFFFFF" w:themeColor="background1"/>
                <w:sz w:val="12"/>
                <w:szCs w:val="32"/>
              </w:rPr>
            </w:pPr>
          </w:p>
        </w:tc>
      </w:tr>
    </w:tbl>
    <w:p w:rsidR="002517E4" w:rsidRPr="00D10FAA" w:rsidRDefault="002517E4" w:rsidP="002517E4">
      <w:pPr>
        <w:spacing w:after="120"/>
        <w:rPr>
          <w:rFonts w:ascii="Century Gothic" w:hAnsi="Century Gothic"/>
        </w:rPr>
      </w:pPr>
    </w:p>
    <w:p w:rsidR="00231318" w:rsidRPr="004D352F" w:rsidRDefault="000916CE" w:rsidP="004D352F">
      <w:pPr>
        <w:pStyle w:val="Ttulo1"/>
        <w:rPr>
          <w:rFonts w:ascii="Century Gothic" w:eastAsiaTheme="minorHAnsi" w:hAnsi="Century Gothic" w:cstheme="minorBidi"/>
          <w:b/>
          <w:color w:val="auto"/>
          <w:sz w:val="22"/>
          <w:szCs w:val="22"/>
        </w:rPr>
      </w:pPr>
      <w:bookmarkStart w:id="3" w:name="_Toc34310016"/>
      <w:r w:rsidRPr="004D352F">
        <w:rPr>
          <w:rFonts w:ascii="Century Gothic" w:eastAsiaTheme="minorHAnsi" w:hAnsi="Century Gothic" w:cstheme="minorBidi"/>
          <w:b/>
          <w:color w:val="auto"/>
          <w:sz w:val="22"/>
          <w:szCs w:val="22"/>
        </w:rPr>
        <w:t xml:space="preserve">Estrategia </w:t>
      </w:r>
      <w:r w:rsidR="003E68F2" w:rsidRPr="004D352F">
        <w:rPr>
          <w:rFonts w:ascii="Century Gothic" w:eastAsiaTheme="minorHAnsi" w:hAnsi="Century Gothic" w:cstheme="minorBidi"/>
          <w:b/>
          <w:color w:val="auto"/>
          <w:sz w:val="22"/>
          <w:szCs w:val="22"/>
        </w:rPr>
        <w:t xml:space="preserve">de </w:t>
      </w:r>
      <w:r w:rsidRPr="004D352F">
        <w:rPr>
          <w:rFonts w:ascii="Century Gothic" w:eastAsiaTheme="minorHAnsi" w:hAnsi="Century Gothic" w:cstheme="minorBidi"/>
          <w:b/>
          <w:color w:val="auto"/>
          <w:sz w:val="22"/>
          <w:szCs w:val="22"/>
        </w:rPr>
        <w:t>Calidad</w:t>
      </w:r>
      <w:bookmarkEnd w:id="3"/>
      <w:r w:rsidRPr="004D352F">
        <w:rPr>
          <w:rFonts w:ascii="Century Gothic" w:eastAsiaTheme="minorHAnsi" w:hAnsi="Century Gothic" w:cstheme="minorBidi"/>
          <w:b/>
          <w:color w:val="auto"/>
          <w:sz w:val="22"/>
          <w:szCs w:val="22"/>
        </w:rPr>
        <w:t xml:space="preserve"> </w:t>
      </w:r>
    </w:p>
    <w:p w:rsidR="0052352E" w:rsidRDefault="0052352E" w:rsidP="0052352E">
      <w:pPr>
        <w:spacing w:before="120" w:after="120"/>
        <w:jc w:val="both"/>
        <w:rPr>
          <w:rFonts w:ascii="Century Gothic" w:hAnsi="Century Gothic"/>
          <w:sz w:val="19"/>
          <w:szCs w:val="19"/>
        </w:rPr>
      </w:pPr>
      <w:r>
        <w:rPr>
          <w:rFonts w:ascii="Century Gothic" w:hAnsi="Century Gothic"/>
          <w:sz w:val="19"/>
          <w:szCs w:val="19"/>
        </w:rPr>
        <w:t xml:space="preserve">En 2016 se establecieron las estrategias del Comité de Aseguramiento de la Calidad alineadas al </w:t>
      </w:r>
      <w:r w:rsidRPr="00D10FAA">
        <w:rPr>
          <w:rFonts w:ascii="Century Gothic" w:hAnsi="Century Gothic"/>
          <w:sz w:val="19"/>
          <w:szCs w:val="19"/>
        </w:rPr>
        <w:t>Programa Estratégico del Sistema Nacional de Información Estadística y Geográfica</w:t>
      </w:r>
      <w:r>
        <w:rPr>
          <w:rStyle w:val="Refdenotaalpie"/>
          <w:rFonts w:ascii="Century Gothic" w:hAnsi="Century Gothic"/>
          <w:sz w:val="19"/>
          <w:szCs w:val="19"/>
        </w:rPr>
        <w:footnoteReference w:id="7"/>
      </w:r>
      <w:r>
        <w:rPr>
          <w:rFonts w:ascii="Century Gothic" w:hAnsi="Century Gothic"/>
          <w:sz w:val="19"/>
          <w:szCs w:val="19"/>
        </w:rPr>
        <w:t xml:space="preserve"> y se definieron las metas internas con un horizonte a 2019.  En la Quin</w:t>
      </w:r>
      <w:r w:rsidR="00D5464C">
        <w:rPr>
          <w:rFonts w:ascii="Century Gothic" w:hAnsi="Century Gothic"/>
          <w:sz w:val="19"/>
          <w:szCs w:val="19"/>
        </w:rPr>
        <w:t>t</w:t>
      </w:r>
      <w:r>
        <w:rPr>
          <w:rFonts w:ascii="Century Gothic" w:hAnsi="Century Gothic"/>
          <w:sz w:val="19"/>
          <w:szCs w:val="19"/>
        </w:rPr>
        <w:t xml:space="preserve">a Sesión 2019 del Comité se </w:t>
      </w:r>
      <w:r w:rsidR="005D552B">
        <w:rPr>
          <w:rFonts w:ascii="Century Gothic" w:hAnsi="Century Gothic"/>
          <w:sz w:val="19"/>
          <w:szCs w:val="19"/>
        </w:rPr>
        <w:t>refrendaron</w:t>
      </w:r>
      <w:r>
        <w:rPr>
          <w:rFonts w:ascii="Century Gothic" w:hAnsi="Century Gothic"/>
          <w:sz w:val="19"/>
          <w:szCs w:val="19"/>
        </w:rPr>
        <w:t xml:space="preserve"> las estrategias y se </w:t>
      </w:r>
      <w:r w:rsidR="005D552B">
        <w:rPr>
          <w:rFonts w:ascii="Century Gothic" w:hAnsi="Century Gothic"/>
          <w:sz w:val="19"/>
          <w:szCs w:val="19"/>
        </w:rPr>
        <w:t xml:space="preserve">establecieron los </w:t>
      </w:r>
      <w:r>
        <w:rPr>
          <w:rFonts w:ascii="Century Gothic" w:hAnsi="Century Gothic"/>
          <w:sz w:val="19"/>
          <w:szCs w:val="19"/>
        </w:rPr>
        <w:t xml:space="preserve">alcances y metas </w:t>
      </w:r>
      <w:r w:rsidR="00FD183F">
        <w:rPr>
          <w:rFonts w:ascii="Century Gothic" w:hAnsi="Century Gothic"/>
          <w:sz w:val="19"/>
          <w:szCs w:val="19"/>
        </w:rPr>
        <w:t>con un horizonte a</w:t>
      </w:r>
      <w:r>
        <w:rPr>
          <w:rFonts w:ascii="Century Gothic" w:hAnsi="Century Gothic"/>
          <w:sz w:val="19"/>
          <w:szCs w:val="19"/>
        </w:rPr>
        <w:t xml:space="preserve"> 2022.</w:t>
      </w:r>
    </w:p>
    <w:p w:rsidR="006778A3" w:rsidRPr="00D10FAA" w:rsidRDefault="00B1698A" w:rsidP="0052352E">
      <w:pPr>
        <w:spacing w:before="120" w:after="120"/>
        <w:jc w:val="both"/>
        <w:rPr>
          <w:rFonts w:ascii="Century Gothic" w:hAnsi="Century Gothic"/>
          <w:sz w:val="19"/>
          <w:szCs w:val="19"/>
        </w:rPr>
      </w:pPr>
      <w:r>
        <w:rPr>
          <w:rFonts w:ascii="Century Gothic" w:hAnsi="Century Gothic"/>
          <w:sz w:val="19"/>
          <w:szCs w:val="19"/>
        </w:rPr>
        <w:t xml:space="preserve">Se busca que estas </w:t>
      </w:r>
      <w:r w:rsidR="0052352E">
        <w:rPr>
          <w:rFonts w:ascii="Century Gothic" w:hAnsi="Century Gothic"/>
          <w:sz w:val="19"/>
          <w:szCs w:val="19"/>
        </w:rPr>
        <w:t>estrategias se</w:t>
      </w:r>
      <w:r>
        <w:rPr>
          <w:rFonts w:ascii="Century Gothic" w:hAnsi="Century Gothic"/>
          <w:sz w:val="19"/>
          <w:szCs w:val="19"/>
        </w:rPr>
        <w:t xml:space="preserve"> articulen para generar un sistema continuo de aseguramiento de la calidad</w:t>
      </w:r>
      <w:r w:rsidR="0052352E">
        <w:rPr>
          <w:rFonts w:ascii="Century Gothic" w:hAnsi="Century Gothic"/>
          <w:sz w:val="19"/>
          <w:szCs w:val="19"/>
        </w:rPr>
        <w:t>, de la siguiente forma</w:t>
      </w:r>
      <w:r w:rsidR="005D552B">
        <w:rPr>
          <w:rFonts w:ascii="Century Gothic" w:hAnsi="Century Gothic"/>
          <w:sz w:val="19"/>
          <w:szCs w:val="19"/>
        </w:rPr>
        <w:t xml:space="preserve">: </w:t>
      </w:r>
      <w:r>
        <w:rPr>
          <w:rFonts w:ascii="Century Gothic" w:hAnsi="Century Gothic"/>
          <w:sz w:val="19"/>
          <w:szCs w:val="19"/>
        </w:rPr>
        <w:t xml:space="preserve"> </w:t>
      </w:r>
      <w:r w:rsidR="005D552B">
        <w:rPr>
          <w:rFonts w:ascii="Century Gothic" w:hAnsi="Century Gothic"/>
          <w:sz w:val="19"/>
          <w:szCs w:val="19"/>
        </w:rPr>
        <w:t>p</w:t>
      </w:r>
      <w:r>
        <w:rPr>
          <w:rFonts w:ascii="Century Gothic" w:hAnsi="Century Gothic"/>
          <w:sz w:val="19"/>
          <w:szCs w:val="19"/>
        </w:rPr>
        <w:t>or un lado, l</w:t>
      </w:r>
      <w:r w:rsidR="00593BA9" w:rsidRPr="00D10FAA">
        <w:rPr>
          <w:rFonts w:ascii="Century Gothic" w:hAnsi="Century Gothic"/>
          <w:sz w:val="19"/>
          <w:szCs w:val="19"/>
        </w:rPr>
        <w:t>a generación, captación, integración y difusión de información estadística y geográfica se realiza si</w:t>
      </w:r>
      <w:r w:rsidR="005D552B">
        <w:rPr>
          <w:rFonts w:ascii="Century Gothic" w:hAnsi="Century Gothic"/>
          <w:sz w:val="19"/>
          <w:szCs w:val="19"/>
        </w:rPr>
        <w:t>guiendo un conjunto de procesos; p</w:t>
      </w:r>
      <w:r w:rsidR="00A012C8" w:rsidRPr="00D10FAA">
        <w:rPr>
          <w:rFonts w:ascii="Century Gothic" w:hAnsi="Century Gothic"/>
          <w:sz w:val="19"/>
          <w:szCs w:val="19"/>
        </w:rPr>
        <w:t xml:space="preserve">or </w:t>
      </w:r>
      <w:r w:rsidR="00593BA9" w:rsidRPr="00D10FAA">
        <w:rPr>
          <w:rFonts w:ascii="Century Gothic" w:hAnsi="Century Gothic"/>
          <w:sz w:val="19"/>
          <w:szCs w:val="19"/>
        </w:rPr>
        <w:t xml:space="preserve">ello la primera </w:t>
      </w:r>
      <w:r w:rsidR="0052352E">
        <w:rPr>
          <w:rFonts w:ascii="Century Gothic" w:hAnsi="Century Gothic"/>
          <w:sz w:val="19"/>
          <w:szCs w:val="19"/>
        </w:rPr>
        <w:t>estrategia</w:t>
      </w:r>
      <w:r w:rsidR="00593BA9" w:rsidRPr="00D10FAA">
        <w:rPr>
          <w:rFonts w:ascii="Century Gothic" w:hAnsi="Century Gothic"/>
          <w:sz w:val="19"/>
          <w:szCs w:val="19"/>
        </w:rPr>
        <w:t xml:space="preserve"> del aseguramiento de la calidad es el establecimiento de controles de calidad en procesos estandarizados y documentados.  La segunda </w:t>
      </w:r>
      <w:r w:rsidR="0052352E">
        <w:rPr>
          <w:rFonts w:ascii="Century Gothic" w:hAnsi="Century Gothic"/>
          <w:sz w:val="19"/>
          <w:szCs w:val="19"/>
        </w:rPr>
        <w:t>estrategia</w:t>
      </w:r>
      <w:r w:rsidR="00593BA9" w:rsidRPr="00D10FAA">
        <w:rPr>
          <w:rFonts w:ascii="Century Gothic" w:hAnsi="Century Gothic"/>
          <w:sz w:val="19"/>
          <w:szCs w:val="19"/>
        </w:rPr>
        <w:t xml:space="preserve"> se refiere a evaluar de forma sistemática</w:t>
      </w:r>
      <w:r w:rsidR="005A6C20">
        <w:rPr>
          <w:rFonts w:ascii="Century Gothic" w:hAnsi="Century Gothic"/>
          <w:sz w:val="19"/>
          <w:szCs w:val="19"/>
        </w:rPr>
        <w:t xml:space="preserve"> la calidad de</w:t>
      </w:r>
      <w:r w:rsidR="00593BA9" w:rsidRPr="00D10FAA">
        <w:rPr>
          <w:rFonts w:ascii="Century Gothic" w:hAnsi="Century Gothic"/>
          <w:sz w:val="19"/>
          <w:szCs w:val="19"/>
        </w:rPr>
        <w:t xml:space="preserve"> la información</w:t>
      </w:r>
      <w:r w:rsidR="005A6C20">
        <w:rPr>
          <w:rFonts w:ascii="Century Gothic" w:hAnsi="Century Gothic"/>
          <w:sz w:val="19"/>
          <w:szCs w:val="19"/>
        </w:rPr>
        <w:t xml:space="preserve"> que se genera</w:t>
      </w:r>
      <w:r w:rsidR="00593BA9" w:rsidRPr="00D10FAA">
        <w:rPr>
          <w:rFonts w:ascii="Century Gothic" w:hAnsi="Century Gothic"/>
          <w:sz w:val="19"/>
          <w:szCs w:val="19"/>
        </w:rPr>
        <w:t xml:space="preserve">, ya que permite identificar áreas de mejora además de proporcionar a los usuarios elementos para facilitar el manejo de la información.  </w:t>
      </w:r>
    </w:p>
    <w:p w:rsidR="00661BD0" w:rsidRDefault="00593BA9" w:rsidP="005D552B">
      <w:pPr>
        <w:spacing w:after="120"/>
        <w:jc w:val="both"/>
        <w:rPr>
          <w:rFonts w:ascii="Century Gothic" w:hAnsi="Century Gothic"/>
          <w:sz w:val="19"/>
          <w:szCs w:val="19"/>
        </w:rPr>
      </w:pPr>
      <w:r w:rsidRPr="00D10FAA">
        <w:rPr>
          <w:rFonts w:ascii="Century Gothic" w:hAnsi="Century Gothic"/>
          <w:sz w:val="19"/>
          <w:szCs w:val="19"/>
        </w:rPr>
        <w:t>Por último,</w:t>
      </w:r>
      <w:r w:rsidR="005D552B">
        <w:rPr>
          <w:rFonts w:ascii="Century Gothic" w:hAnsi="Century Gothic"/>
          <w:sz w:val="19"/>
          <w:szCs w:val="19"/>
        </w:rPr>
        <w:t xml:space="preserve"> la tercera estrategia</w:t>
      </w:r>
      <w:r w:rsidRPr="00D10FAA">
        <w:rPr>
          <w:rFonts w:ascii="Century Gothic" w:hAnsi="Century Gothic"/>
          <w:sz w:val="19"/>
          <w:szCs w:val="19"/>
        </w:rPr>
        <w:t xml:space="preserve"> </w:t>
      </w:r>
      <w:r w:rsidR="005D552B">
        <w:rPr>
          <w:rFonts w:ascii="Century Gothic" w:hAnsi="Century Gothic"/>
          <w:sz w:val="19"/>
          <w:szCs w:val="19"/>
        </w:rPr>
        <w:t xml:space="preserve">es el desarrollo del </w:t>
      </w:r>
      <w:r w:rsidRPr="00D10FAA">
        <w:rPr>
          <w:rFonts w:ascii="Century Gothic" w:hAnsi="Century Gothic"/>
          <w:sz w:val="19"/>
          <w:szCs w:val="19"/>
        </w:rPr>
        <w:t xml:space="preserve">mejoramiento continuo. Para llevar a cabo </w:t>
      </w:r>
      <w:r w:rsidR="00E65EFB">
        <w:rPr>
          <w:rFonts w:ascii="Century Gothic" w:hAnsi="Century Gothic"/>
          <w:sz w:val="19"/>
          <w:szCs w:val="19"/>
        </w:rPr>
        <w:t>acciones de mejora</w:t>
      </w:r>
      <w:r w:rsidRPr="00D10FAA">
        <w:rPr>
          <w:rFonts w:ascii="Century Gothic" w:hAnsi="Century Gothic"/>
          <w:sz w:val="19"/>
          <w:szCs w:val="19"/>
        </w:rPr>
        <w:t xml:space="preserve"> es necesario incluir en los procesos las recomendaciones que surgen como resultado de la evaluación. </w:t>
      </w:r>
      <w:r w:rsidR="005D552B">
        <w:rPr>
          <w:rFonts w:ascii="Century Gothic" w:hAnsi="Century Gothic"/>
          <w:sz w:val="19"/>
          <w:szCs w:val="19"/>
        </w:rPr>
        <w:t>Evidentemente</w:t>
      </w:r>
      <w:r w:rsidRPr="00D10FAA">
        <w:rPr>
          <w:rFonts w:ascii="Century Gothic" w:hAnsi="Century Gothic"/>
          <w:sz w:val="19"/>
          <w:szCs w:val="19"/>
        </w:rPr>
        <w:t xml:space="preserve"> en las actividades estadísticas y geográficas</w:t>
      </w:r>
      <w:r w:rsidR="005D552B">
        <w:rPr>
          <w:rFonts w:ascii="Century Gothic" w:hAnsi="Century Gothic"/>
          <w:sz w:val="19"/>
          <w:szCs w:val="19"/>
        </w:rPr>
        <w:t>,</w:t>
      </w:r>
      <w:r w:rsidRPr="00D10FAA">
        <w:rPr>
          <w:rFonts w:ascii="Century Gothic" w:hAnsi="Century Gothic"/>
          <w:sz w:val="19"/>
          <w:szCs w:val="19"/>
        </w:rPr>
        <w:t xml:space="preserve"> es importante que </w:t>
      </w:r>
      <w:r w:rsidR="00E65EFB">
        <w:rPr>
          <w:rFonts w:ascii="Century Gothic" w:hAnsi="Century Gothic"/>
          <w:sz w:val="19"/>
          <w:szCs w:val="19"/>
        </w:rPr>
        <w:t>el impacto de estas acciones</w:t>
      </w:r>
      <w:r w:rsidRPr="00D10FAA">
        <w:rPr>
          <w:rFonts w:ascii="Century Gothic" w:hAnsi="Century Gothic"/>
          <w:sz w:val="19"/>
          <w:szCs w:val="19"/>
        </w:rPr>
        <w:t xml:space="preserve"> sea medid</w:t>
      </w:r>
      <w:r w:rsidR="00E65EFB">
        <w:rPr>
          <w:rFonts w:ascii="Century Gothic" w:hAnsi="Century Gothic"/>
          <w:sz w:val="19"/>
          <w:szCs w:val="19"/>
        </w:rPr>
        <w:t>o</w:t>
      </w:r>
      <w:r w:rsidRPr="00D10FAA">
        <w:rPr>
          <w:rFonts w:ascii="Century Gothic" w:hAnsi="Century Gothic"/>
          <w:sz w:val="19"/>
          <w:szCs w:val="19"/>
        </w:rPr>
        <w:t xml:space="preserve"> y documentad</w:t>
      </w:r>
      <w:r w:rsidR="00E65EFB">
        <w:rPr>
          <w:rFonts w:ascii="Century Gothic" w:hAnsi="Century Gothic"/>
          <w:sz w:val="19"/>
          <w:szCs w:val="19"/>
        </w:rPr>
        <w:t>o</w:t>
      </w:r>
      <w:r w:rsidRPr="00D10FAA">
        <w:rPr>
          <w:rFonts w:ascii="Century Gothic" w:hAnsi="Century Gothic"/>
          <w:sz w:val="19"/>
          <w:szCs w:val="19"/>
        </w:rPr>
        <w:t xml:space="preserve"> para conocer si los cambios observados </w:t>
      </w:r>
      <w:r w:rsidR="00E65EFB">
        <w:rPr>
          <w:rFonts w:ascii="Century Gothic" w:hAnsi="Century Gothic"/>
          <w:sz w:val="19"/>
          <w:szCs w:val="19"/>
        </w:rPr>
        <w:t xml:space="preserve">en la información </w:t>
      </w:r>
      <w:r w:rsidRPr="00D10FAA">
        <w:rPr>
          <w:rFonts w:ascii="Century Gothic" w:hAnsi="Century Gothic"/>
          <w:sz w:val="19"/>
          <w:szCs w:val="19"/>
        </w:rPr>
        <w:t xml:space="preserve">se deben a </w:t>
      </w:r>
      <w:r w:rsidR="00E65EFB">
        <w:rPr>
          <w:rFonts w:ascii="Century Gothic" w:hAnsi="Century Gothic"/>
          <w:sz w:val="19"/>
          <w:szCs w:val="19"/>
        </w:rPr>
        <w:t>la acción de mejora</w:t>
      </w:r>
      <w:r w:rsidRPr="00D10FAA">
        <w:rPr>
          <w:rFonts w:ascii="Century Gothic" w:hAnsi="Century Gothic"/>
          <w:sz w:val="19"/>
          <w:szCs w:val="19"/>
        </w:rPr>
        <w:t xml:space="preserve"> o a cambios en la realidad misma. Para encaminar el trabajo institucional hacia la mejora continua, las estrategias deberán estar acompañadas de actividades de capacitación y difusión del aseguramiento de la calidad.</w:t>
      </w:r>
      <w:r w:rsidR="00661BD0">
        <w:rPr>
          <w:rStyle w:val="Refdenotaalpie"/>
          <w:rFonts w:ascii="Century Gothic" w:hAnsi="Century Gothic"/>
          <w:sz w:val="19"/>
          <w:szCs w:val="19"/>
        </w:rPr>
        <w:footnoteReference w:id="8"/>
      </w:r>
      <w:r w:rsidR="00661BD0">
        <w:rPr>
          <w:rFonts w:ascii="Century Gothic" w:hAnsi="Century Gothic"/>
          <w:sz w:val="19"/>
          <w:szCs w:val="19"/>
        </w:rPr>
        <w:t>.</w:t>
      </w:r>
    </w:p>
    <w:p w:rsidR="00B3382F" w:rsidRPr="00D10FAA" w:rsidRDefault="00B3382F" w:rsidP="005D552B">
      <w:pPr>
        <w:spacing w:after="120"/>
        <w:jc w:val="both"/>
        <w:rPr>
          <w:rFonts w:ascii="Century Gothic" w:hAnsi="Century Gothic"/>
          <w:sz w:val="19"/>
          <w:szCs w:val="19"/>
        </w:rPr>
      </w:pPr>
    </w:p>
    <w:tbl>
      <w:tblPr>
        <w:tblW w:w="10370" w:type="dxa"/>
        <w:jc w:val="center"/>
        <w:tblBorders>
          <w:left w:val="single" w:sz="24" w:space="0" w:color="A6A6A6" w:themeColor="background1" w:themeShade="A6"/>
          <w:insideH w:val="single" w:sz="36" w:space="0" w:color="808080" w:themeColor="background1" w:themeShade="80"/>
          <w:insideV w:val="single" w:sz="24" w:space="0" w:color="A6A6A6" w:themeColor="background1" w:themeShade="A6"/>
        </w:tblBorders>
        <w:tblLook w:val="04A0" w:firstRow="1" w:lastRow="0" w:firstColumn="1" w:lastColumn="0" w:noHBand="0" w:noVBand="1"/>
      </w:tblPr>
      <w:tblGrid>
        <w:gridCol w:w="2285"/>
        <w:gridCol w:w="8085"/>
      </w:tblGrid>
      <w:tr w:rsidR="00C34F39" w:rsidRPr="00D10FAA" w:rsidTr="0015471E">
        <w:trPr>
          <w:trHeight w:val="3405"/>
          <w:jc w:val="center"/>
        </w:trPr>
        <w:tc>
          <w:tcPr>
            <w:tcW w:w="2285" w:type="dxa"/>
            <w:tcBorders>
              <w:right w:val="nil"/>
            </w:tcBorders>
            <w:vAlign w:val="center"/>
          </w:tcPr>
          <w:p w:rsidR="00C34F39" w:rsidRPr="00D10FAA" w:rsidRDefault="0015471E" w:rsidP="00263F0C">
            <w:pPr>
              <w:spacing w:after="120"/>
              <w:ind w:left="7" w:hanging="7"/>
              <w:jc w:val="center"/>
              <w:rPr>
                <w:rFonts w:ascii="Century Gothic" w:hAnsi="Century Gothic"/>
                <w:b/>
                <w:color w:val="A6A6A6" w:themeColor="background1" w:themeShade="A6"/>
                <w:sz w:val="36"/>
              </w:rPr>
            </w:pPr>
            <w:r>
              <w:rPr>
                <w:rFonts w:ascii="Century Gothic" w:hAnsi="Century Gothic"/>
                <w:b/>
                <w:color w:val="A6A6A6" w:themeColor="background1" w:themeShade="A6"/>
                <w:sz w:val="24"/>
              </w:rPr>
              <w:t xml:space="preserve">Estrategias </w:t>
            </w:r>
            <w:r w:rsidR="00C34F39" w:rsidRPr="00C34F39">
              <w:rPr>
                <w:rFonts w:ascii="Century Gothic" w:hAnsi="Century Gothic"/>
                <w:b/>
                <w:color w:val="A6A6A6" w:themeColor="background1" w:themeShade="A6"/>
                <w:sz w:val="24"/>
              </w:rPr>
              <w:t>del aseguramiento de la calidad</w:t>
            </w:r>
          </w:p>
          <w:p w:rsidR="00C34F39" w:rsidRPr="00D10FAA" w:rsidRDefault="00C34F39" w:rsidP="00263F0C">
            <w:pPr>
              <w:spacing w:after="120"/>
              <w:ind w:left="7" w:hanging="7"/>
              <w:rPr>
                <w:rFonts w:ascii="Century Gothic" w:hAnsi="Century Gothic"/>
              </w:rPr>
            </w:pPr>
          </w:p>
        </w:tc>
        <w:tc>
          <w:tcPr>
            <w:tcW w:w="8085" w:type="dxa"/>
            <w:tcBorders>
              <w:top w:val="nil"/>
              <w:left w:val="nil"/>
              <w:bottom w:val="nil"/>
            </w:tcBorders>
            <w:vAlign w:val="center"/>
          </w:tcPr>
          <w:p w:rsidR="00C34F39" w:rsidRPr="00D10FAA" w:rsidRDefault="0015471E" w:rsidP="00263F0C">
            <w:pPr>
              <w:spacing w:after="120"/>
              <w:jc w:val="right"/>
              <w:rPr>
                <w:rFonts w:ascii="Century Gothic" w:hAnsi="Century Gothic"/>
              </w:rPr>
            </w:pPr>
            <w:r w:rsidRPr="0015471E">
              <w:rPr>
                <w:rFonts w:ascii="Century Gothic" w:hAnsi="Century Gothic"/>
                <w:noProof/>
                <w:lang w:val="en-US"/>
              </w:rPr>
              <w:drawing>
                <wp:inline distT="0" distB="0" distL="0" distR="0" wp14:anchorId="3DDFB3AC" wp14:editId="49FCACDF">
                  <wp:extent cx="4808630" cy="25259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755" cy="2535483"/>
                          </a:xfrm>
                          <a:prstGeom prst="rect">
                            <a:avLst/>
                          </a:prstGeom>
                          <a:noFill/>
                          <a:ln>
                            <a:noFill/>
                          </a:ln>
                        </pic:spPr>
                      </pic:pic>
                    </a:graphicData>
                  </a:graphic>
                </wp:inline>
              </w:drawing>
            </w:r>
          </w:p>
        </w:tc>
      </w:tr>
    </w:tbl>
    <w:p w:rsidR="00E338CD" w:rsidRPr="00D10FAA" w:rsidRDefault="00E338CD" w:rsidP="009F3663">
      <w:pPr>
        <w:spacing w:after="120"/>
        <w:rPr>
          <w:rFonts w:ascii="Century Gothic" w:hAnsi="Century Gothic"/>
        </w:rPr>
      </w:pPr>
      <w:r w:rsidRPr="00D10FAA">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4"/>
                <w:szCs w:val="32"/>
              </w:rPr>
            </w:pPr>
          </w:p>
        </w:tc>
        <w:tc>
          <w:tcPr>
            <w:tcW w:w="7513" w:type="dxa"/>
            <w:shd w:val="clear" w:color="auto" w:fill="0079BF"/>
          </w:tcPr>
          <w:p w:rsidR="002517E4" w:rsidRPr="0022505B" w:rsidRDefault="002517E4" w:rsidP="008D0572">
            <w:pPr>
              <w:rPr>
                <w:rFonts w:cstheme="minorHAnsi"/>
                <w:color w:val="FFFFFF" w:themeColor="background1"/>
                <w:sz w:val="14"/>
                <w:szCs w:val="32"/>
              </w:rPr>
            </w:pPr>
          </w:p>
        </w:tc>
      </w:tr>
      <w:tr w:rsidR="002517E4" w:rsidRPr="0022505B" w:rsidTr="008D0572">
        <w:trPr>
          <w:trHeight w:val="201"/>
        </w:trPr>
        <w:tc>
          <w:tcPr>
            <w:tcW w:w="12333" w:type="dxa"/>
            <w:gridSpan w:val="2"/>
            <w:shd w:val="clear" w:color="auto" w:fill="auto"/>
          </w:tcPr>
          <w:p w:rsidR="002517E4" w:rsidRPr="00613C02" w:rsidRDefault="002517E4" w:rsidP="00882081">
            <w:pPr>
              <w:spacing w:after="0"/>
              <w:jc w:val="center"/>
              <w:rPr>
                <w:rFonts w:cstheme="minorHAnsi"/>
                <w:color w:val="000000" w:themeColor="text1"/>
                <w:sz w:val="32"/>
                <w:szCs w:val="32"/>
              </w:rPr>
            </w:pPr>
            <w:r>
              <w:rPr>
                <w:rFonts w:cstheme="minorHAnsi"/>
                <w:color w:val="000000" w:themeColor="text1"/>
                <w:sz w:val="32"/>
                <w:szCs w:val="32"/>
              </w:rPr>
              <w:t xml:space="preserve">                               ESTANDARIZACIÓN DE PROCESOS</w:t>
            </w:r>
          </w:p>
        </w:tc>
      </w:tr>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2"/>
                <w:szCs w:val="32"/>
              </w:rPr>
            </w:pPr>
          </w:p>
        </w:tc>
        <w:tc>
          <w:tcPr>
            <w:tcW w:w="7513" w:type="dxa"/>
            <w:shd w:val="clear" w:color="auto" w:fill="0079BF"/>
          </w:tcPr>
          <w:p w:rsidR="002517E4" w:rsidRPr="0022505B" w:rsidRDefault="002517E4" w:rsidP="008D0572">
            <w:pPr>
              <w:rPr>
                <w:rFonts w:cstheme="minorHAnsi"/>
                <w:color w:val="FFFFFF" w:themeColor="background1"/>
                <w:sz w:val="12"/>
                <w:szCs w:val="32"/>
              </w:rPr>
            </w:pPr>
          </w:p>
        </w:tc>
      </w:tr>
    </w:tbl>
    <w:p w:rsidR="006E2A56" w:rsidRPr="00D10FAA" w:rsidRDefault="006E2A56" w:rsidP="0086702A">
      <w:pPr>
        <w:spacing w:after="0"/>
        <w:ind w:left="2694" w:hanging="2694"/>
        <w:rPr>
          <w:rFonts w:ascii="Century Gothic" w:hAnsi="Century Gothic"/>
          <w:b/>
        </w:rPr>
      </w:pPr>
    </w:p>
    <w:p w:rsidR="00F81DEF" w:rsidRDefault="00F81DEF" w:rsidP="00FB19BB">
      <w:pPr>
        <w:pStyle w:val="Ttulo1"/>
        <w:spacing w:before="0" w:after="120"/>
        <w:ind w:left="2835" w:hanging="2835"/>
        <w:rPr>
          <w:rFonts w:ascii="Century Gothic" w:eastAsiaTheme="minorHAnsi" w:hAnsi="Century Gothic" w:cstheme="minorBidi"/>
          <w:b/>
          <w:color w:val="auto"/>
          <w:sz w:val="22"/>
          <w:szCs w:val="22"/>
        </w:rPr>
      </w:pPr>
      <w:bookmarkStart w:id="4" w:name="_Toc34310017"/>
      <w:r w:rsidRPr="004D352F">
        <w:rPr>
          <w:rFonts w:ascii="Century Gothic" w:eastAsiaTheme="minorHAnsi" w:hAnsi="Century Gothic" w:cstheme="minorBidi"/>
          <w:b/>
          <w:color w:val="auto"/>
          <w:sz w:val="22"/>
          <w:szCs w:val="22"/>
        </w:rPr>
        <w:t>Actividad estratégica 1</w:t>
      </w:r>
      <w:r w:rsidR="00BE417D" w:rsidRPr="004D352F">
        <w:rPr>
          <w:rFonts w:ascii="Century Gothic" w:eastAsiaTheme="minorHAnsi" w:hAnsi="Century Gothic" w:cstheme="minorBidi"/>
          <w:b/>
          <w:color w:val="auto"/>
          <w:sz w:val="22"/>
          <w:szCs w:val="22"/>
        </w:rPr>
        <w:t xml:space="preserve">: </w:t>
      </w:r>
      <w:r w:rsidR="003F4D43" w:rsidRPr="004D352F">
        <w:rPr>
          <w:rFonts w:ascii="Century Gothic" w:eastAsiaTheme="minorHAnsi" w:hAnsi="Century Gothic" w:cstheme="minorBidi"/>
          <w:b/>
          <w:color w:val="auto"/>
          <w:sz w:val="22"/>
          <w:szCs w:val="22"/>
        </w:rPr>
        <w:tab/>
      </w:r>
      <w:r w:rsidR="00BE417D" w:rsidRPr="004D352F">
        <w:rPr>
          <w:rFonts w:ascii="Century Gothic" w:eastAsiaTheme="minorHAnsi" w:hAnsi="Century Gothic" w:cstheme="minorBidi"/>
          <w:b/>
          <w:color w:val="auto"/>
          <w:sz w:val="22"/>
          <w:szCs w:val="22"/>
        </w:rPr>
        <w:t>Establecer controles de calidad en procesos estandarizados y documentados</w:t>
      </w:r>
      <w:bookmarkEnd w:id="4"/>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5103"/>
        <w:gridCol w:w="4983"/>
      </w:tblGrid>
      <w:tr w:rsidR="00F81DEF" w:rsidRPr="00D10FAA" w:rsidTr="00B3382F">
        <w:trPr>
          <w:jc w:val="center"/>
        </w:trPr>
        <w:tc>
          <w:tcPr>
            <w:tcW w:w="5103" w:type="dxa"/>
            <w:shd w:val="clear" w:color="auto" w:fill="C5EAFF"/>
          </w:tcPr>
          <w:p w:rsidR="00AE3281" w:rsidRPr="00BC29E1" w:rsidRDefault="00AE3281" w:rsidP="00AE3281">
            <w:pPr>
              <w:pStyle w:val="Default"/>
              <w:spacing w:after="120"/>
              <w:jc w:val="center"/>
              <w:rPr>
                <w:rFonts w:ascii="Century Gothic" w:hAnsi="Century Gothic"/>
                <w:color w:val="404040" w:themeColor="text1" w:themeTint="BF"/>
                <w:sz w:val="18"/>
                <w:szCs w:val="20"/>
                <w:lang w:val="es-MX"/>
              </w:rPr>
            </w:pPr>
            <w:r w:rsidRPr="00BC29E1">
              <w:rPr>
                <w:rFonts w:ascii="Century Gothic" w:hAnsi="Century Gothic"/>
                <w:b/>
                <w:bCs/>
                <w:color w:val="404040" w:themeColor="text1" w:themeTint="BF"/>
                <w:sz w:val="18"/>
                <w:szCs w:val="20"/>
                <w:lang w:val="es-MX"/>
              </w:rPr>
              <w:t>Metas 201</w:t>
            </w:r>
            <w:r w:rsidR="00904BE6">
              <w:rPr>
                <w:rFonts w:ascii="Century Gothic" w:hAnsi="Century Gothic"/>
                <w:b/>
                <w:bCs/>
                <w:color w:val="404040" w:themeColor="text1" w:themeTint="BF"/>
                <w:sz w:val="18"/>
                <w:szCs w:val="20"/>
                <w:lang w:val="es-MX"/>
              </w:rPr>
              <w:t>7</w:t>
            </w:r>
            <w:r w:rsidRPr="00BC29E1">
              <w:rPr>
                <w:rFonts w:ascii="Century Gothic" w:hAnsi="Century Gothic"/>
                <w:b/>
                <w:bCs/>
                <w:color w:val="404040" w:themeColor="text1" w:themeTint="BF"/>
                <w:sz w:val="18"/>
                <w:szCs w:val="20"/>
                <w:lang w:val="es-MX"/>
              </w:rPr>
              <w:t xml:space="preserve">-2019: </w:t>
            </w:r>
          </w:p>
          <w:p w:rsidR="00AE3281" w:rsidRPr="00BC29E1" w:rsidRDefault="00AE3281" w:rsidP="00AE3281">
            <w:pPr>
              <w:pStyle w:val="Default"/>
              <w:spacing w:after="120"/>
              <w:ind w:left="178" w:hanging="178"/>
              <w:rPr>
                <w:rFonts w:ascii="Century Gothic" w:hAnsi="Century Gothic"/>
                <w:color w:val="404040" w:themeColor="text1" w:themeTint="BF"/>
                <w:sz w:val="18"/>
                <w:szCs w:val="20"/>
                <w:lang w:val="es-MX"/>
              </w:rPr>
            </w:pPr>
            <w:r w:rsidRPr="00BC29E1">
              <w:rPr>
                <w:rFonts w:ascii="Century Gothic" w:hAnsi="Century Gothic"/>
                <w:color w:val="404040" w:themeColor="text1" w:themeTint="BF"/>
                <w:sz w:val="18"/>
                <w:szCs w:val="20"/>
                <w:lang w:val="es-MX"/>
              </w:rPr>
              <w:t xml:space="preserve">• 80% de los programas de Información de Interés Nacional (IIN) del INEGI siguen procesos documentados, estandarizados y con controles de calidad. </w:t>
            </w:r>
          </w:p>
          <w:p w:rsidR="00F81DEF" w:rsidRPr="00BC29E1" w:rsidRDefault="00AE3281" w:rsidP="00C42DA2">
            <w:pPr>
              <w:pStyle w:val="Default"/>
              <w:spacing w:after="120"/>
              <w:ind w:left="179" w:hanging="142"/>
              <w:rPr>
                <w:rFonts w:ascii="Century Gothic" w:hAnsi="Century Gothic"/>
                <w:b/>
                <w:bCs/>
                <w:color w:val="404040" w:themeColor="text1" w:themeTint="BF"/>
                <w:sz w:val="18"/>
                <w:szCs w:val="20"/>
                <w:lang w:val="es-MX"/>
              </w:rPr>
            </w:pPr>
            <w:r w:rsidRPr="00BC29E1">
              <w:rPr>
                <w:rFonts w:ascii="Century Gothic" w:hAnsi="Century Gothic"/>
                <w:color w:val="404040" w:themeColor="text1" w:themeTint="BF"/>
                <w:sz w:val="18"/>
                <w:szCs w:val="20"/>
                <w:lang w:val="es-MX"/>
              </w:rPr>
              <w:t>• El INEGI cuenta con un sistema para el monitoreo de costos por etapa.</w:t>
            </w:r>
          </w:p>
        </w:tc>
        <w:tc>
          <w:tcPr>
            <w:tcW w:w="4983" w:type="dxa"/>
            <w:shd w:val="clear" w:color="auto" w:fill="C5EAFF"/>
          </w:tcPr>
          <w:p w:rsidR="00F81DEF" w:rsidRPr="00BC29E1" w:rsidRDefault="00F81DEF" w:rsidP="009F3663">
            <w:pPr>
              <w:pStyle w:val="Default"/>
              <w:spacing w:after="120"/>
              <w:jc w:val="center"/>
              <w:rPr>
                <w:rFonts w:ascii="Century Gothic" w:hAnsi="Century Gothic"/>
                <w:color w:val="404040" w:themeColor="text1" w:themeTint="BF"/>
                <w:sz w:val="18"/>
                <w:szCs w:val="20"/>
                <w:lang w:val="es-MX"/>
              </w:rPr>
            </w:pPr>
            <w:r w:rsidRPr="00BC29E1">
              <w:rPr>
                <w:rFonts w:ascii="Century Gothic" w:hAnsi="Century Gothic"/>
                <w:b/>
                <w:bCs/>
                <w:color w:val="404040" w:themeColor="text1" w:themeTint="BF"/>
                <w:sz w:val="18"/>
                <w:szCs w:val="20"/>
                <w:lang w:val="es-MX"/>
              </w:rPr>
              <w:t>Metas 20</w:t>
            </w:r>
            <w:r w:rsidR="00AE3281" w:rsidRPr="00BC29E1">
              <w:rPr>
                <w:rFonts w:ascii="Century Gothic" w:hAnsi="Century Gothic"/>
                <w:b/>
                <w:bCs/>
                <w:color w:val="404040" w:themeColor="text1" w:themeTint="BF"/>
                <w:sz w:val="18"/>
                <w:szCs w:val="20"/>
                <w:lang w:val="es-MX"/>
              </w:rPr>
              <w:t>20-2022</w:t>
            </w:r>
            <w:r w:rsidRPr="00BC29E1">
              <w:rPr>
                <w:rFonts w:ascii="Century Gothic" w:hAnsi="Century Gothic"/>
                <w:b/>
                <w:bCs/>
                <w:color w:val="404040" w:themeColor="text1" w:themeTint="BF"/>
                <w:sz w:val="18"/>
                <w:szCs w:val="20"/>
                <w:lang w:val="es-MX"/>
              </w:rPr>
              <w:t xml:space="preserve">: </w:t>
            </w:r>
          </w:p>
          <w:p w:rsidR="00F81DEF" w:rsidRPr="00BC29E1" w:rsidRDefault="00F81DEF" w:rsidP="009F3663">
            <w:pPr>
              <w:pStyle w:val="Default"/>
              <w:spacing w:after="120"/>
              <w:ind w:left="178" w:hanging="178"/>
              <w:rPr>
                <w:rFonts w:ascii="Century Gothic" w:hAnsi="Century Gothic"/>
                <w:color w:val="404040" w:themeColor="text1" w:themeTint="BF"/>
                <w:sz w:val="18"/>
                <w:szCs w:val="20"/>
                <w:lang w:val="es-MX"/>
              </w:rPr>
            </w:pPr>
            <w:r w:rsidRPr="00BC29E1">
              <w:rPr>
                <w:rFonts w:ascii="Century Gothic" w:hAnsi="Century Gothic"/>
                <w:color w:val="404040" w:themeColor="text1" w:themeTint="BF"/>
                <w:sz w:val="18"/>
                <w:szCs w:val="20"/>
                <w:lang w:val="es-MX"/>
              </w:rPr>
              <w:t xml:space="preserve">• </w:t>
            </w:r>
            <w:r w:rsidR="007D299E">
              <w:rPr>
                <w:rFonts w:ascii="Century Gothic" w:hAnsi="Century Gothic"/>
                <w:color w:val="404040" w:themeColor="text1" w:themeTint="BF"/>
                <w:sz w:val="18"/>
                <w:szCs w:val="20"/>
                <w:lang w:val="es-MX"/>
              </w:rPr>
              <w:t>El 100% de</w:t>
            </w:r>
            <w:r w:rsidR="00BC29E1" w:rsidRPr="00BC29E1">
              <w:rPr>
                <w:rFonts w:ascii="Century Gothic" w:hAnsi="Century Gothic"/>
                <w:color w:val="404040" w:themeColor="text1" w:themeTint="BF"/>
                <w:sz w:val="18"/>
                <w:szCs w:val="20"/>
                <w:lang w:val="es-MX"/>
              </w:rPr>
              <w:t xml:space="preserve"> las evidencias del MPEG son recopiladas de forma estandarizada, dependiendo de la naturaleza de cada fase</w:t>
            </w:r>
            <w:r w:rsidRPr="00BC29E1">
              <w:rPr>
                <w:rFonts w:ascii="Century Gothic" w:hAnsi="Century Gothic"/>
                <w:color w:val="404040" w:themeColor="text1" w:themeTint="BF"/>
                <w:sz w:val="18"/>
                <w:szCs w:val="20"/>
                <w:lang w:val="es-MX"/>
              </w:rPr>
              <w:t xml:space="preserve">. </w:t>
            </w:r>
          </w:p>
          <w:p w:rsidR="00F81DEF" w:rsidRPr="00BC29E1" w:rsidRDefault="00F81DEF" w:rsidP="00C42DA2">
            <w:pPr>
              <w:pStyle w:val="Default"/>
              <w:spacing w:after="120"/>
              <w:ind w:left="182" w:hanging="182"/>
              <w:rPr>
                <w:rFonts w:ascii="Century Gothic" w:hAnsi="Century Gothic"/>
                <w:b/>
                <w:bCs/>
                <w:color w:val="404040" w:themeColor="text1" w:themeTint="BF"/>
                <w:sz w:val="18"/>
                <w:szCs w:val="20"/>
                <w:lang w:val="es-MX"/>
              </w:rPr>
            </w:pPr>
            <w:r w:rsidRPr="00BC29E1">
              <w:rPr>
                <w:rFonts w:ascii="Century Gothic" w:hAnsi="Century Gothic"/>
                <w:color w:val="404040" w:themeColor="text1" w:themeTint="BF"/>
                <w:sz w:val="18"/>
                <w:szCs w:val="20"/>
                <w:lang w:val="es-MX"/>
              </w:rPr>
              <w:t xml:space="preserve">• </w:t>
            </w:r>
            <w:r w:rsidR="00BC29E1" w:rsidRPr="00BC29E1">
              <w:rPr>
                <w:rFonts w:ascii="Century Gothic" w:hAnsi="Century Gothic"/>
                <w:color w:val="404040" w:themeColor="text1" w:themeTint="BF"/>
                <w:sz w:val="18"/>
                <w:szCs w:val="20"/>
                <w:lang w:val="es-MX"/>
              </w:rPr>
              <w:t>Se cuenta con indicadores operativos y tableros con el fin de apoyar el control de calidad en el proceso</w:t>
            </w:r>
            <w:r w:rsidRPr="00BC29E1">
              <w:rPr>
                <w:rFonts w:ascii="Century Gothic" w:hAnsi="Century Gothic"/>
                <w:color w:val="404040" w:themeColor="text1" w:themeTint="BF"/>
                <w:sz w:val="18"/>
                <w:szCs w:val="20"/>
                <w:lang w:val="es-MX"/>
              </w:rPr>
              <w:t>.</w:t>
            </w:r>
          </w:p>
        </w:tc>
      </w:tr>
    </w:tbl>
    <w:p w:rsidR="00A06F08" w:rsidRPr="00D10FAA" w:rsidRDefault="00647963" w:rsidP="00FB19BB">
      <w:pPr>
        <w:spacing w:before="120" w:after="120"/>
        <w:rPr>
          <w:rFonts w:ascii="Century Gothic" w:hAnsi="Century Gothic"/>
        </w:rPr>
      </w:pPr>
      <w:r w:rsidRPr="00D10FAA">
        <w:rPr>
          <w:rFonts w:ascii="Century Gothic" w:hAnsi="Century Gothic"/>
        </w:rPr>
        <w:t>Avances:</w:t>
      </w:r>
    </w:p>
    <w:p w:rsidR="00176D97" w:rsidRDefault="00723639"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 xml:space="preserve">La </w:t>
      </w:r>
      <w:r w:rsidR="00176D97" w:rsidRPr="00D10FAA">
        <w:rPr>
          <w:rFonts w:ascii="Century Gothic" w:hAnsi="Century Gothic"/>
          <w:sz w:val="19"/>
          <w:szCs w:val="19"/>
        </w:rPr>
        <w:t>Norma Técnica del Proceso de Producción de Información Estadística y Geográfica para el INEGI</w:t>
      </w:r>
      <w:r w:rsidR="00176D97">
        <w:rPr>
          <w:rStyle w:val="Refdenotaalpie"/>
          <w:rFonts w:ascii="Century Gothic" w:hAnsi="Century Gothic"/>
          <w:sz w:val="19"/>
          <w:szCs w:val="19"/>
        </w:rPr>
        <w:footnoteReference w:id="9"/>
      </w:r>
      <w:r w:rsidR="00176D97">
        <w:rPr>
          <w:rFonts w:ascii="Century Gothic" w:hAnsi="Century Gothic"/>
          <w:sz w:val="19"/>
          <w:szCs w:val="19"/>
        </w:rPr>
        <w:t xml:space="preserve"> (Norma MPEG)</w:t>
      </w:r>
      <w:r>
        <w:rPr>
          <w:rFonts w:ascii="Century Gothic" w:hAnsi="Century Gothic"/>
          <w:sz w:val="19"/>
          <w:szCs w:val="19"/>
        </w:rPr>
        <w:t xml:space="preserve"> publicada en 2018 obliga a que el 100% de los programas de información estadística y geográfica del INEGI, incluyendo los de Información de Interés Nacional realicen y documenten sus actividades de forma estandarizada.</w:t>
      </w:r>
    </w:p>
    <w:p w:rsidR="007C4939" w:rsidRDefault="000C20C6"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w:t>
      </w:r>
      <w:r w:rsidR="000824AC">
        <w:rPr>
          <w:rFonts w:ascii="Century Gothic" w:hAnsi="Century Gothic"/>
          <w:sz w:val="19"/>
          <w:szCs w:val="19"/>
        </w:rPr>
        <w:t xml:space="preserve">n 2019 se desarrolló un sistema para almacenar las evidencias establecidas en </w:t>
      </w:r>
      <w:r w:rsidR="00F37A8A">
        <w:rPr>
          <w:rFonts w:ascii="Century Gothic" w:hAnsi="Century Gothic"/>
          <w:sz w:val="19"/>
          <w:szCs w:val="19"/>
        </w:rPr>
        <w:t xml:space="preserve">la </w:t>
      </w:r>
      <w:r>
        <w:rPr>
          <w:rFonts w:ascii="Century Gothic" w:hAnsi="Century Gothic"/>
          <w:sz w:val="19"/>
          <w:szCs w:val="19"/>
        </w:rPr>
        <w:t>Norma MPEG</w:t>
      </w:r>
      <w:r w:rsidR="00DA5B29">
        <w:rPr>
          <w:rFonts w:ascii="Century Gothic" w:hAnsi="Century Gothic"/>
          <w:sz w:val="19"/>
          <w:szCs w:val="19"/>
        </w:rPr>
        <w:t xml:space="preserve">, el cual está listo para que </w:t>
      </w:r>
      <w:r w:rsidR="00F522F8">
        <w:rPr>
          <w:rFonts w:ascii="Century Gothic" w:hAnsi="Century Gothic"/>
          <w:sz w:val="19"/>
          <w:szCs w:val="19"/>
        </w:rPr>
        <w:t>to</w:t>
      </w:r>
      <w:r w:rsidR="007A5B5D">
        <w:rPr>
          <w:rFonts w:ascii="Century Gothic" w:hAnsi="Century Gothic"/>
          <w:sz w:val="19"/>
          <w:szCs w:val="19"/>
        </w:rPr>
        <w:t>d</w:t>
      </w:r>
      <w:r w:rsidR="00F522F8">
        <w:rPr>
          <w:rFonts w:ascii="Century Gothic" w:hAnsi="Century Gothic"/>
          <w:sz w:val="19"/>
          <w:szCs w:val="19"/>
        </w:rPr>
        <w:t xml:space="preserve">os los programas </w:t>
      </w:r>
      <w:r>
        <w:rPr>
          <w:rFonts w:ascii="Century Gothic" w:hAnsi="Century Gothic"/>
          <w:sz w:val="19"/>
          <w:szCs w:val="19"/>
        </w:rPr>
        <w:t xml:space="preserve">de información del INEGI </w:t>
      </w:r>
      <w:r w:rsidR="005335E5">
        <w:rPr>
          <w:rFonts w:ascii="Century Gothic" w:hAnsi="Century Gothic"/>
          <w:sz w:val="19"/>
          <w:szCs w:val="19"/>
        </w:rPr>
        <w:t>almacen</w:t>
      </w:r>
      <w:r w:rsidR="00DA5B29">
        <w:rPr>
          <w:rFonts w:ascii="Century Gothic" w:hAnsi="Century Gothic"/>
          <w:sz w:val="19"/>
          <w:szCs w:val="19"/>
        </w:rPr>
        <w:t>e</w:t>
      </w:r>
      <w:r w:rsidR="005335E5">
        <w:rPr>
          <w:rFonts w:ascii="Century Gothic" w:hAnsi="Century Gothic"/>
          <w:sz w:val="19"/>
          <w:szCs w:val="19"/>
        </w:rPr>
        <w:t>n</w:t>
      </w:r>
      <w:r>
        <w:rPr>
          <w:rFonts w:ascii="Century Gothic" w:hAnsi="Century Gothic"/>
          <w:sz w:val="19"/>
          <w:szCs w:val="19"/>
        </w:rPr>
        <w:t xml:space="preserve"> sus evidencias a través de este sistema.</w:t>
      </w:r>
    </w:p>
    <w:p w:rsidR="00F21352" w:rsidRPr="00D10FAA" w:rsidRDefault="00F21352" w:rsidP="00F21352">
      <w:pPr>
        <w:numPr>
          <w:ilvl w:val="1"/>
          <w:numId w:val="1"/>
        </w:numPr>
        <w:tabs>
          <w:tab w:val="clear" w:pos="1440"/>
        </w:tabs>
        <w:spacing w:after="60"/>
        <w:ind w:left="284" w:hanging="284"/>
        <w:jc w:val="both"/>
        <w:rPr>
          <w:rFonts w:ascii="Century Gothic" w:hAnsi="Century Gothic"/>
          <w:sz w:val="19"/>
          <w:szCs w:val="19"/>
        </w:rPr>
      </w:pPr>
      <w:r w:rsidRPr="00F21352">
        <w:rPr>
          <w:rFonts w:ascii="Century Gothic" w:hAnsi="Century Gothic"/>
          <w:sz w:val="19"/>
          <w:szCs w:val="19"/>
        </w:rPr>
        <w:t xml:space="preserve">Si bien las Unidades Administrativas del INEGI históricamente han documentado sus procesos, a partir de </w:t>
      </w:r>
      <w:proofErr w:type="gramStart"/>
      <w:r w:rsidRPr="00F21352">
        <w:rPr>
          <w:rFonts w:ascii="Century Gothic" w:hAnsi="Century Gothic"/>
          <w:sz w:val="19"/>
          <w:szCs w:val="19"/>
        </w:rPr>
        <w:t>las carga</w:t>
      </w:r>
      <w:proofErr w:type="gramEnd"/>
      <w:r w:rsidRPr="00F21352">
        <w:rPr>
          <w:rFonts w:ascii="Century Gothic" w:hAnsi="Century Gothic"/>
          <w:sz w:val="19"/>
          <w:szCs w:val="19"/>
        </w:rPr>
        <w:t xml:space="preserve"> de evidencia que se realizará en 2020 en el sistema </w:t>
      </w:r>
      <w:proofErr w:type="spellStart"/>
      <w:r w:rsidRPr="00F21352">
        <w:rPr>
          <w:rFonts w:ascii="Century Gothic" w:hAnsi="Century Gothic"/>
          <w:sz w:val="19"/>
          <w:szCs w:val="19"/>
        </w:rPr>
        <w:t>Ptracking</w:t>
      </w:r>
      <w:proofErr w:type="spellEnd"/>
      <w:r w:rsidRPr="00F21352">
        <w:rPr>
          <w:rFonts w:ascii="Century Gothic" w:hAnsi="Century Gothic"/>
          <w:sz w:val="19"/>
          <w:szCs w:val="19"/>
        </w:rPr>
        <w:t xml:space="preserve"> se podrá cuantificar el número de programas que siguen procesos documentados, estandarizados y con controles de calidad.</w:t>
      </w:r>
    </w:p>
    <w:p w:rsidR="007C4939" w:rsidRDefault="00F96072"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En la última sesión del 2019, la Dirección General de Administración reportó que e</w:t>
      </w:r>
      <w:r w:rsidR="00B97C0A" w:rsidRPr="00B97C0A">
        <w:rPr>
          <w:rFonts w:ascii="Century Gothic" w:hAnsi="Century Gothic"/>
          <w:sz w:val="19"/>
          <w:szCs w:val="19"/>
        </w:rPr>
        <w:t xml:space="preserve">l </w:t>
      </w:r>
      <w:r w:rsidR="00AA4D1B" w:rsidRPr="00B97C0A">
        <w:rPr>
          <w:rFonts w:ascii="Century Gothic" w:hAnsi="Century Gothic"/>
          <w:sz w:val="19"/>
          <w:szCs w:val="19"/>
        </w:rPr>
        <w:t>Modelo de Costos por Proceso</w:t>
      </w:r>
      <w:r w:rsidR="00A46EED" w:rsidRPr="00B97C0A">
        <w:rPr>
          <w:rFonts w:ascii="Century Gothic" w:hAnsi="Century Gothic"/>
          <w:sz w:val="19"/>
          <w:szCs w:val="19"/>
        </w:rPr>
        <w:t xml:space="preserve"> </w:t>
      </w:r>
      <w:r w:rsidR="00B97C0A" w:rsidRPr="00B97C0A">
        <w:rPr>
          <w:rFonts w:ascii="Century Gothic" w:hAnsi="Century Gothic"/>
          <w:sz w:val="19"/>
          <w:szCs w:val="19"/>
        </w:rPr>
        <w:t>se incorporó en el Sistema de Administración Presupuestal y Financiera SAPFIN</w:t>
      </w:r>
      <w:r>
        <w:rPr>
          <w:rFonts w:ascii="Century Gothic" w:hAnsi="Century Gothic"/>
          <w:sz w:val="19"/>
          <w:szCs w:val="19"/>
        </w:rPr>
        <w:t xml:space="preserve"> y que</w:t>
      </w:r>
      <w:r w:rsidR="00681771">
        <w:rPr>
          <w:rFonts w:ascii="Century Gothic" w:hAnsi="Century Gothic"/>
          <w:sz w:val="19"/>
          <w:szCs w:val="19"/>
        </w:rPr>
        <w:t xml:space="preserve"> en enero de 2020 se registrarán los programas de información y a partir de febrero se tendrán resultados mensuales parciales</w:t>
      </w:r>
      <w:r w:rsidR="00E71BEB" w:rsidRPr="00B97C0A">
        <w:rPr>
          <w:rFonts w:ascii="Century Gothic" w:hAnsi="Century Gothic"/>
          <w:sz w:val="19"/>
          <w:szCs w:val="19"/>
        </w:rPr>
        <w:t xml:space="preserve">.  </w:t>
      </w:r>
      <w:r w:rsidR="00681771">
        <w:rPr>
          <w:rFonts w:ascii="Century Gothic" w:hAnsi="Century Gothic"/>
          <w:sz w:val="19"/>
          <w:szCs w:val="19"/>
        </w:rPr>
        <w:t>Los resultados definitivos estarán en enero de 2021 una vez concluido el ciclo presupuestal.</w:t>
      </w:r>
    </w:p>
    <w:p w:rsidR="00964C4B" w:rsidRPr="00B97C0A" w:rsidRDefault="00964C4B"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 xml:space="preserve">Se iniciaron </w:t>
      </w:r>
      <w:r w:rsidR="00AC7798">
        <w:rPr>
          <w:rFonts w:ascii="Century Gothic" w:hAnsi="Century Gothic"/>
          <w:sz w:val="19"/>
          <w:szCs w:val="19"/>
        </w:rPr>
        <w:t>las actividades</w:t>
      </w:r>
      <w:r>
        <w:rPr>
          <w:rFonts w:ascii="Century Gothic" w:hAnsi="Century Gothic"/>
          <w:sz w:val="19"/>
          <w:szCs w:val="19"/>
        </w:rPr>
        <w:t xml:space="preserve"> de los grupos de trabajo de confidencialidad y diseño conceptual, que deberán entregar los documen</w:t>
      </w:r>
      <w:r w:rsidR="00932A06">
        <w:rPr>
          <w:rFonts w:ascii="Century Gothic" w:hAnsi="Century Gothic"/>
          <w:sz w:val="19"/>
          <w:szCs w:val="19"/>
        </w:rPr>
        <w:t>tos normativos correspondientes.</w:t>
      </w:r>
    </w:p>
    <w:p w:rsidR="00647963" w:rsidRPr="00D10FAA" w:rsidRDefault="00905F46" w:rsidP="00FB19BB">
      <w:pPr>
        <w:spacing w:before="120" w:after="120"/>
        <w:jc w:val="both"/>
        <w:rPr>
          <w:rFonts w:ascii="Century Gothic" w:hAnsi="Century Gothic"/>
        </w:rPr>
      </w:pPr>
      <w:r w:rsidRPr="00D10FAA">
        <w:rPr>
          <w:rFonts w:ascii="Century Gothic" w:hAnsi="Century Gothic"/>
        </w:rPr>
        <w:t>Retos</w:t>
      </w:r>
      <w:r w:rsidR="00647963" w:rsidRPr="00D10FAA">
        <w:rPr>
          <w:rFonts w:ascii="Century Gothic" w:hAnsi="Century Gothic"/>
        </w:rPr>
        <w:t>:</w:t>
      </w:r>
    </w:p>
    <w:p w:rsidR="001C1128" w:rsidRDefault="003A5AF2"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 xml:space="preserve">Estandarización de las evidencias por tipo de programa y naturaleza de cada fase. </w:t>
      </w:r>
    </w:p>
    <w:p w:rsidR="00E11BB1" w:rsidRPr="00D10FAA" w:rsidRDefault="003A5AF2" w:rsidP="00F21352">
      <w:pPr>
        <w:numPr>
          <w:ilvl w:val="1"/>
          <w:numId w:val="1"/>
        </w:numPr>
        <w:tabs>
          <w:tab w:val="clear" w:pos="1440"/>
          <w:tab w:val="num" w:pos="284"/>
        </w:tabs>
        <w:spacing w:after="60"/>
        <w:ind w:left="284" w:hanging="284"/>
        <w:jc w:val="both"/>
        <w:rPr>
          <w:rFonts w:ascii="Century Gothic" w:hAnsi="Century Gothic"/>
          <w:sz w:val="19"/>
          <w:szCs w:val="19"/>
        </w:rPr>
      </w:pPr>
      <w:r w:rsidRPr="00D10FAA">
        <w:rPr>
          <w:rFonts w:ascii="Century Gothic" w:hAnsi="Century Gothic"/>
          <w:sz w:val="19"/>
          <w:szCs w:val="19"/>
        </w:rPr>
        <w:t xml:space="preserve">Adecuación </w:t>
      </w:r>
      <w:r w:rsidR="00E11BB1" w:rsidRPr="00D10FAA">
        <w:rPr>
          <w:rFonts w:ascii="Century Gothic" w:hAnsi="Century Gothic"/>
          <w:sz w:val="19"/>
          <w:szCs w:val="19"/>
        </w:rPr>
        <w:t>de la normatividad vigente</w:t>
      </w:r>
      <w:r w:rsidR="00E71BEB" w:rsidRPr="00D10FAA">
        <w:rPr>
          <w:rFonts w:ascii="Century Gothic" w:hAnsi="Century Gothic"/>
          <w:sz w:val="19"/>
          <w:szCs w:val="19"/>
        </w:rPr>
        <w:t xml:space="preserve"> con el fin de hacerla compatible</w:t>
      </w:r>
      <w:r w:rsidR="00A012C8">
        <w:rPr>
          <w:rFonts w:ascii="Century Gothic" w:hAnsi="Century Gothic"/>
          <w:sz w:val="19"/>
          <w:szCs w:val="19"/>
        </w:rPr>
        <w:t xml:space="preserve"> con </w:t>
      </w:r>
      <w:r w:rsidR="00A7465B">
        <w:rPr>
          <w:rFonts w:ascii="Century Gothic" w:hAnsi="Century Gothic"/>
          <w:sz w:val="19"/>
          <w:szCs w:val="19"/>
        </w:rPr>
        <w:t>la Norma MPEG</w:t>
      </w:r>
      <w:r w:rsidR="00E11BB1" w:rsidRPr="00D10FAA">
        <w:rPr>
          <w:rFonts w:ascii="Century Gothic" w:hAnsi="Century Gothic"/>
          <w:sz w:val="19"/>
          <w:szCs w:val="19"/>
        </w:rPr>
        <w:t>.</w:t>
      </w:r>
    </w:p>
    <w:p w:rsidR="00FA2FDD" w:rsidRPr="0020708C" w:rsidRDefault="00FA34EE" w:rsidP="00F21352">
      <w:pPr>
        <w:numPr>
          <w:ilvl w:val="1"/>
          <w:numId w:val="1"/>
        </w:numPr>
        <w:tabs>
          <w:tab w:val="clear" w:pos="1440"/>
          <w:tab w:val="num" w:pos="284"/>
        </w:tabs>
        <w:spacing w:after="60"/>
        <w:ind w:left="284" w:hanging="284"/>
        <w:jc w:val="both"/>
        <w:rPr>
          <w:rFonts w:ascii="Century Gothic" w:hAnsi="Century Gothic"/>
        </w:rPr>
      </w:pPr>
      <w:r>
        <w:rPr>
          <w:rFonts w:ascii="Century Gothic" w:hAnsi="Century Gothic"/>
          <w:sz w:val="19"/>
          <w:szCs w:val="19"/>
        </w:rPr>
        <w:t xml:space="preserve">Definición de indicadores operativos y tableros para reforzar los </w:t>
      </w:r>
      <w:r w:rsidR="00101BE8" w:rsidRPr="00A012C8">
        <w:rPr>
          <w:rFonts w:ascii="Century Gothic" w:hAnsi="Century Gothic"/>
          <w:sz w:val="19"/>
          <w:szCs w:val="19"/>
        </w:rPr>
        <w:t>controles de calidad</w:t>
      </w:r>
      <w:r w:rsidR="003A5AF2">
        <w:rPr>
          <w:rFonts w:ascii="Century Gothic" w:hAnsi="Century Gothic"/>
          <w:sz w:val="19"/>
          <w:szCs w:val="19"/>
        </w:rPr>
        <w:t xml:space="preserve"> </w:t>
      </w:r>
      <w:r w:rsidR="009A3491">
        <w:rPr>
          <w:rFonts w:ascii="Century Gothic" w:hAnsi="Century Gothic"/>
          <w:sz w:val="19"/>
          <w:szCs w:val="19"/>
        </w:rPr>
        <w:t xml:space="preserve">y hacer más eficiente el </w:t>
      </w:r>
      <w:r>
        <w:rPr>
          <w:rFonts w:ascii="Century Gothic" w:hAnsi="Century Gothic"/>
          <w:sz w:val="19"/>
          <w:szCs w:val="19"/>
        </w:rPr>
        <w:t>proceso de producción</w:t>
      </w:r>
      <w:r w:rsidR="00FA2FDD" w:rsidRPr="00A012C8">
        <w:rPr>
          <w:rFonts w:ascii="Century Gothic" w:hAnsi="Century Gothic"/>
          <w:sz w:val="19"/>
          <w:szCs w:val="19"/>
        </w:rPr>
        <w:t>.</w:t>
      </w:r>
    </w:p>
    <w:tbl>
      <w:tblPr>
        <w:tblW w:w="0" w:type="auto"/>
        <w:tblBorders>
          <w:left w:val="single" w:sz="2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3798"/>
        <w:gridCol w:w="6258"/>
      </w:tblGrid>
      <w:tr w:rsidR="003E0D4E" w:rsidRPr="00D10FAA" w:rsidTr="00DF31C8">
        <w:trPr>
          <w:trHeight w:val="2072"/>
        </w:trPr>
        <w:tc>
          <w:tcPr>
            <w:tcW w:w="3798" w:type="dxa"/>
          </w:tcPr>
          <w:p w:rsidR="003E0D4E" w:rsidRPr="00DF31C8" w:rsidRDefault="003E0D4E" w:rsidP="003E0D4E">
            <w:pPr>
              <w:spacing w:after="120"/>
              <w:ind w:left="369"/>
              <w:jc w:val="center"/>
              <w:rPr>
                <w:rFonts w:ascii="Century Gothic" w:hAnsi="Century Gothic"/>
                <w:color w:val="0079BF"/>
              </w:rPr>
            </w:pPr>
            <w:r w:rsidRPr="00DF31C8">
              <w:rPr>
                <w:rFonts w:ascii="Century Gothic" w:hAnsi="Century Gothic"/>
                <w:b/>
                <w:color w:val="0079BF"/>
                <w:sz w:val="28"/>
              </w:rPr>
              <w:t>Los sistemas están listos para que en 2020 el</w:t>
            </w:r>
            <w:r w:rsidRPr="00DF31C8">
              <w:rPr>
                <w:rFonts w:ascii="Century Gothic" w:hAnsi="Century Gothic"/>
                <w:b/>
                <w:color w:val="0079BF"/>
                <w:sz w:val="28"/>
              </w:rPr>
              <w:br/>
            </w:r>
            <w:r w:rsidRPr="00F21352">
              <w:rPr>
                <w:rFonts w:ascii="Century Gothic" w:hAnsi="Century Gothic"/>
                <w:b/>
                <w:color w:val="0079BF"/>
                <w:sz w:val="56"/>
              </w:rPr>
              <w:t xml:space="preserve"> </w:t>
            </w:r>
            <w:r w:rsidRPr="00F21352">
              <w:rPr>
                <w:rFonts w:ascii="Century Gothic" w:hAnsi="Century Gothic"/>
                <w:b/>
                <w:color w:val="0079BF"/>
                <w:sz w:val="40"/>
              </w:rPr>
              <w:t>100%</w:t>
            </w:r>
            <w:r w:rsidRPr="00F21352">
              <w:rPr>
                <w:rFonts w:ascii="Century Gothic" w:hAnsi="Century Gothic"/>
                <w:b/>
                <w:color w:val="0079BF"/>
                <w:sz w:val="56"/>
              </w:rPr>
              <w:t xml:space="preserve"> </w:t>
            </w:r>
            <w:r w:rsidRPr="00DF31C8">
              <w:rPr>
                <w:rFonts w:ascii="Century Gothic" w:hAnsi="Century Gothic"/>
                <w:b/>
                <w:color w:val="0079BF"/>
                <w:sz w:val="72"/>
              </w:rPr>
              <w:br/>
            </w:r>
            <w:r w:rsidRPr="00DF31C8">
              <w:rPr>
                <w:rFonts w:ascii="Century Gothic" w:hAnsi="Century Gothic"/>
                <w:b/>
                <w:color w:val="0079BF"/>
                <w:sz w:val="28"/>
              </w:rPr>
              <w:t>de los programas de información del INEGI:</w:t>
            </w:r>
          </w:p>
        </w:tc>
        <w:tc>
          <w:tcPr>
            <w:tcW w:w="6258" w:type="dxa"/>
          </w:tcPr>
          <w:p w:rsidR="003E0D4E" w:rsidRPr="00F21352" w:rsidRDefault="003E0D4E" w:rsidP="003E0D4E">
            <w:pPr>
              <w:pStyle w:val="Prrafodelista"/>
              <w:numPr>
                <w:ilvl w:val="0"/>
                <w:numId w:val="27"/>
              </w:numPr>
              <w:spacing w:after="120"/>
              <w:ind w:left="323" w:hanging="284"/>
              <w:rPr>
                <w:rFonts w:ascii="Century Gothic" w:hAnsi="Century Gothic"/>
                <w:color w:val="0079BF"/>
                <w:szCs w:val="23"/>
              </w:rPr>
            </w:pPr>
            <w:r w:rsidRPr="00F21352">
              <w:rPr>
                <w:rFonts w:ascii="Century Gothic" w:hAnsi="Century Gothic"/>
                <w:color w:val="0079BF"/>
                <w:sz w:val="24"/>
              </w:rPr>
              <w:t>registren sus costos conforme a las fases del MPEG en el Sistema de Administración Presupuestal y Financiera (SAPFIN)</w:t>
            </w:r>
          </w:p>
          <w:p w:rsidR="003E0D4E" w:rsidRPr="00F21352" w:rsidRDefault="003E0D4E" w:rsidP="003E0D4E">
            <w:pPr>
              <w:pStyle w:val="Prrafodelista"/>
              <w:spacing w:after="120"/>
              <w:ind w:left="323"/>
              <w:rPr>
                <w:rFonts w:ascii="Century Gothic" w:hAnsi="Century Gothic"/>
                <w:color w:val="0079BF"/>
                <w:szCs w:val="23"/>
              </w:rPr>
            </w:pPr>
          </w:p>
          <w:p w:rsidR="003E0D4E" w:rsidRPr="00DF31C8" w:rsidRDefault="003E0D4E" w:rsidP="000B5281">
            <w:pPr>
              <w:pStyle w:val="Prrafodelista"/>
              <w:numPr>
                <w:ilvl w:val="0"/>
                <w:numId w:val="27"/>
              </w:numPr>
              <w:spacing w:after="120"/>
              <w:ind w:left="323" w:hanging="284"/>
              <w:rPr>
                <w:rFonts w:ascii="Century Gothic" w:hAnsi="Century Gothic"/>
                <w:color w:val="0079BF"/>
                <w:sz w:val="23"/>
                <w:szCs w:val="23"/>
              </w:rPr>
            </w:pPr>
            <w:r w:rsidRPr="00F21352">
              <w:rPr>
                <w:rFonts w:ascii="Century Gothic" w:hAnsi="Century Gothic"/>
                <w:color w:val="0079BF"/>
                <w:sz w:val="24"/>
              </w:rPr>
              <w:t>almacenen las evidencias del MPEG en el Sistema PTRACKING</w:t>
            </w:r>
          </w:p>
        </w:tc>
      </w:tr>
    </w:tbl>
    <w:p w:rsidR="00E338CD" w:rsidRPr="00D10FAA" w:rsidRDefault="00E338CD" w:rsidP="009F3663">
      <w:pPr>
        <w:spacing w:after="120"/>
        <w:rPr>
          <w:rFonts w:ascii="Century Gothic" w:hAnsi="Century Gothic"/>
        </w:rPr>
      </w:pPr>
      <w:r w:rsidRPr="00D10FAA">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4"/>
                <w:szCs w:val="32"/>
              </w:rPr>
            </w:pPr>
          </w:p>
        </w:tc>
        <w:tc>
          <w:tcPr>
            <w:tcW w:w="7513" w:type="dxa"/>
            <w:shd w:val="clear" w:color="auto" w:fill="0079BF"/>
          </w:tcPr>
          <w:p w:rsidR="002517E4" w:rsidRPr="0022505B" w:rsidRDefault="002517E4" w:rsidP="008D0572">
            <w:pPr>
              <w:rPr>
                <w:rFonts w:cstheme="minorHAnsi"/>
                <w:color w:val="FFFFFF" w:themeColor="background1"/>
                <w:sz w:val="14"/>
                <w:szCs w:val="32"/>
              </w:rPr>
            </w:pPr>
          </w:p>
        </w:tc>
      </w:tr>
      <w:tr w:rsidR="002517E4" w:rsidRPr="0022505B" w:rsidTr="008D0572">
        <w:trPr>
          <w:trHeight w:val="201"/>
        </w:trPr>
        <w:tc>
          <w:tcPr>
            <w:tcW w:w="12333" w:type="dxa"/>
            <w:gridSpan w:val="2"/>
            <w:shd w:val="clear" w:color="auto" w:fill="auto"/>
          </w:tcPr>
          <w:p w:rsidR="002517E4" w:rsidRPr="00613C02" w:rsidRDefault="002517E4" w:rsidP="00882081">
            <w:pPr>
              <w:spacing w:after="0"/>
              <w:jc w:val="center"/>
              <w:rPr>
                <w:rFonts w:cstheme="minorHAnsi"/>
                <w:color w:val="000000" w:themeColor="text1"/>
                <w:sz w:val="32"/>
                <w:szCs w:val="32"/>
              </w:rPr>
            </w:pPr>
            <w:r>
              <w:rPr>
                <w:rFonts w:cstheme="minorHAnsi"/>
                <w:color w:val="000000" w:themeColor="text1"/>
                <w:sz w:val="32"/>
                <w:szCs w:val="32"/>
              </w:rPr>
              <w:t>EVALUACIÓN</w:t>
            </w:r>
          </w:p>
        </w:tc>
      </w:tr>
      <w:tr w:rsidR="002517E4" w:rsidRPr="0022505B" w:rsidTr="008D0572">
        <w:trPr>
          <w:trHeight w:val="201"/>
        </w:trPr>
        <w:tc>
          <w:tcPr>
            <w:tcW w:w="4820" w:type="dxa"/>
            <w:shd w:val="clear" w:color="auto" w:fill="1F3864" w:themeFill="accent5" w:themeFillShade="80"/>
          </w:tcPr>
          <w:p w:rsidR="002517E4" w:rsidRPr="0022505B" w:rsidRDefault="002517E4" w:rsidP="008D0572">
            <w:pPr>
              <w:rPr>
                <w:rFonts w:cstheme="minorHAnsi"/>
                <w:color w:val="FFFFFF" w:themeColor="background1"/>
                <w:sz w:val="12"/>
                <w:szCs w:val="32"/>
              </w:rPr>
            </w:pPr>
          </w:p>
        </w:tc>
        <w:tc>
          <w:tcPr>
            <w:tcW w:w="7513" w:type="dxa"/>
            <w:shd w:val="clear" w:color="auto" w:fill="0079BF"/>
          </w:tcPr>
          <w:p w:rsidR="002517E4" w:rsidRPr="0022505B" w:rsidRDefault="002517E4" w:rsidP="008D0572">
            <w:pPr>
              <w:rPr>
                <w:rFonts w:cstheme="minorHAnsi"/>
                <w:color w:val="FFFFFF" w:themeColor="background1"/>
                <w:sz w:val="12"/>
                <w:szCs w:val="32"/>
              </w:rPr>
            </w:pPr>
          </w:p>
        </w:tc>
      </w:tr>
    </w:tbl>
    <w:p w:rsidR="006E2A56" w:rsidRPr="00D10FAA" w:rsidRDefault="006E2A56" w:rsidP="00B3382F">
      <w:pPr>
        <w:spacing w:after="0"/>
        <w:rPr>
          <w:rFonts w:ascii="Century Gothic" w:hAnsi="Century Gothic"/>
          <w:b/>
          <w:sz w:val="18"/>
        </w:rPr>
      </w:pPr>
    </w:p>
    <w:p w:rsidR="00EC3679" w:rsidRDefault="00EC3679" w:rsidP="00605051">
      <w:pPr>
        <w:pStyle w:val="Ttulo1"/>
        <w:spacing w:before="0" w:after="120"/>
        <w:ind w:left="2835" w:hanging="2835"/>
        <w:rPr>
          <w:rFonts w:ascii="Century Gothic" w:eastAsiaTheme="minorHAnsi" w:hAnsi="Century Gothic" w:cstheme="minorBidi"/>
          <w:b/>
          <w:color w:val="auto"/>
          <w:sz w:val="22"/>
          <w:szCs w:val="22"/>
        </w:rPr>
      </w:pPr>
      <w:bookmarkStart w:id="5" w:name="_Toc34310018"/>
      <w:r w:rsidRPr="004D352F">
        <w:rPr>
          <w:rFonts w:ascii="Century Gothic" w:eastAsiaTheme="minorHAnsi" w:hAnsi="Century Gothic" w:cstheme="minorBidi"/>
          <w:b/>
          <w:color w:val="auto"/>
          <w:sz w:val="22"/>
          <w:szCs w:val="22"/>
        </w:rPr>
        <w:t xml:space="preserve">Actividad estratégica 2. </w:t>
      </w:r>
      <w:r w:rsidR="003F4D43" w:rsidRPr="004D352F">
        <w:rPr>
          <w:rFonts w:ascii="Century Gothic" w:eastAsiaTheme="minorHAnsi" w:hAnsi="Century Gothic" w:cstheme="minorBidi"/>
          <w:b/>
          <w:color w:val="auto"/>
          <w:sz w:val="22"/>
          <w:szCs w:val="22"/>
        </w:rPr>
        <w:tab/>
      </w:r>
      <w:r w:rsidRPr="004D352F">
        <w:rPr>
          <w:rFonts w:ascii="Century Gothic" w:eastAsiaTheme="minorHAnsi" w:hAnsi="Century Gothic" w:cstheme="minorBidi"/>
          <w:b/>
          <w:color w:val="auto"/>
          <w:sz w:val="22"/>
          <w:szCs w:val="22"/>
        </w:rPr>
        <w:t>Evaluar de forma sistemática la calidad de la información</w:t>
      </w:r>
      <w:bookmarkEnd w:id="5"/>
      <w:r w:rsidRPr="004D352F">
        <w:rPr>
          <w:rFonts w:ascii="Century Gothic" w:eastAsiaTheme="minorHAnsi" w:hAnsi="Century Gothic" w:cstheme="minorBidi"/>
          <w:b/>
          <w:color w:val="auto"/>
          <w:sz w:val="22"/>
          <w:szCs w:val="22"/>
        </w:rPr>
        <w:t xml:space="preserve"> </w:t>
      </w: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5954"/>
        <w:gridCol w:w="4132"/>
      </w:tblGrid>
      <w:tr w:rsidR="00EC3679" w:rsidRPr="00D10FAA" w:rsidTr="00647A75">
        <w:trPr>
          <w:jc w:val="center"/>
        </w:trPr>
        <w:tc>
          <w:tcPr>
            <w:tcW w:w="5954" w:type="dxa"/>
            <w:shd w:val="clear" w:color="auto" w:fill="C5EAFF"/>
            <w:vAlign w:val="center"/>
          </w:tcPr>
          <w:p w:rsidR="00840EB4" w:rsidRPr="0006275D" w:rsidRDefault="00840EB4" w:rsidP="00840EB4">
            <w:pPr>
              <w:pStyle w:val="Default"/>
              <w:spacing w:after="120"/>
              <w:jc w:val="center"/>
              <w:rPr>
                <w:rFonts w:ascii="Century Gothic" w:hAnsi="Century Gothic"/>
                <w:color w:val="404040" w:themeColor="text1" w:themeTint="BF"/>
                <w:sz w:val="18"/>
                <w:szCs w:val="20"/>
                <w:lang w:val="es-MX"/>
              </w:rPr>
            </w:pPr>
            <w:r w:rsidRPr="0006275D">
              <w:rPr>
                <w:rFonts w:ascii="Century Gothic" w:hAnsi="Century Gothic"/>
                <w:b/>
                <w:bCs/>
                <w:color w:val="404040" w:themeColor="text1" w:themeTint="BF"/>
                <w:sz w:val="18"/>
                <w:szCs w:val="20"/>
                <w:lang w:val="es-MX"/>
              </w:rPr>
              <w:t xml:space="preserve">Metas 2017-2019: </w:t>
            </w:r>
          </w:p>
          <w:p w:rsidR="00840EB4" w:rsidRPr="0006275D" w:rsidRDefault="00840EB4" w:rsidP="00840EB4">
            <w:pPr>
              <w:pStyle w:val="Default"/>
              <w:spacing w:after="120"/>
              <w:ind w:left="178" w:hanging="178"/>
              <w:rPr>
                <w:rFonts w:ascii="Century Gothic" w:hAnsi="Century Gothic"/>
                <w:color w:val="404040" w:themeColor="text1" w:themeTint="BF"/>
                <w:sz w:val="18"/>
                <w:szCs w:val="20"/>
                <w:lang w:val="es-MX"/>
              </w:rPr>
            </w:pPr>
            <w:r w:rsidRPr="0006275D">
              <w:rPr>
                <w:rFonts w:ascii="Century Gothic" w:hAnsi="Century Gothic"/>
                <w:color w:val="404040" w:themeColor="text1" w:themeTint="BF"/>
                <w:sz w:val="18"/>
                <w:szCs w:val="20"/>
                <w:lang w:val="es-MX"/>
              </w:rPr>
              <w:t>• 85% de los proyectos</w:t>
            </w:r>
            <w:r w:rsidR="008D4923">
              <w:rPr>
                <w:rStyle w:val="Refdenotaalpie"/>
                <w:rFonts w:ascii="Century Gothic" w:hAnsi="Century Gothic"/>
                <w:color w:val="404040" w:themeColor="text1" w:themeTint="BF"/>
                <w:sz w:val="18"/>
                <w:szCs w:val="20"/>
                <w:lang w:val="es-MX"/>
              </w:rPr>
              <w:footnoteReference w:id="10"/>
            </w:r>
            <w:r w:rsidRPr="0006275D">
              <w:rPr>
                <w:rFonts w:ascii="Century Gothic" w:hAnsi="Century Gothic"/>
                <w:color w:val="404040" w:themeColor="text1" w:themeTint="BF"/>
                <w:sz w:val="18"/>
                <w:szCs w:val="20"/>
                <w:lang w:val="es-MX"/>
              </w:rPr>
              <w:t xml:space="preserve"> de IIN del INEGI cuentan con una herramienta de evaluación aprobada por el Comité. </w:t>
            </w:r>
          </w:p>
          <w:p w:rsidR="00EC3679" w:rsidRPr="0006275D" w:rsidRDefault="00840EB4" w:rsidP="008D0ED0">
            <w:pPr>
              <w:pStyle w:val="Default"/>
              <w:spacing w:after="120"/>
              <w:ind w:left="179" w:hanging="163"/>
              <w:rPr>
                <w:rFonts w:ascii="Century Gothic" w:hAnsi="Century Gothic"/>
                <w:b/>
                <w:bCs/>
                <w:color w:val="404040" w:themeColor="text1" w:themeTint="BF"/>
                <w:sz w:val="18"/>
                <w:szCs w:val="20"/>
                <w:lang w:val="es-MX"/>
              </w:rPr>
            </w:pPr>
            <w:r w:rsidRPr="0006275D">
              <w:rPr>
                <w:rFonts w:ascii="Century Gothic" w:hAnsi="Century Gothic"/>
                <w:color w:val="404040" w:themeColor="text1" w:themeTint="BF"/>
                <w:sz w:val="18"/>
                <w:szCs w:val="20"/>
                <w:lang w:val="es-MX"/>
              </w:rPr>
              <w:t>• 85% de los proyectos de IIN del INEGI incluye en sus metadatos indicadores de calidad aprobados por el Comité.</w:t>
            </w:r>
          </w:p>
        </w:tc>
        <w:tc>
          <w:tcPr>
            <w:tcW w:w="4132" w:type="dxa"/>
            <w:shd w:val="clear" w:color="auto" w:fill="C5EAFF"/>
            <w:vAlign w:val="center"/>
          </w:tcPr>
          <w:p w:rsidR="00EC3679" w:rsidRPr="0006275D" w:rsidRDefault="00EC3679" w:rsidP="009F3663">
            <w:pPr>
              <w:pStyle w:val="Default"/>
              <w:spacing w:after="120"/>
              <w:jc w:val="center"/>
              <w:rPr>
                <w:rFonts w:ascii="Century Gothic" w:hAnsi="Century Gothic"/>
                <w:color w:val="404040" w:themeColor="text1" w:themeTint="BF"/>
                <w:sz w:val="18"/>
                <w:szCs w:val="20"/>
                <w:lang w:val="es-MX"/>
              </w:rPr>
            </w:pPr>
            <w:r w:rsidRPr="0006275D">
              <w:rPr>
                <w:rFonts w:ascii="Century Gothic" w:hAnsi="Century Gothic"/>
                <w:b/>
                <w:bCs/>
                <w:color w:val="404040" w:themeColor="text1" w:themeTint="BF"/>
                <w:sz w:val="18"/>
                <w:szCs w:val="20"/>
                <w:lang w:val="es-MX"/>
              </w:rPr>
              <w:t xml:space="preserve">Metas </w:t>
            </w:r>
            <w:r w:rsidR="00840EB4" w:rsidRPr="0006275D">
              <w:rPr>
                <w:rFonts w:ascii="Century Gothic" w:hAnsi="Century Gothic"/>
                <w:b/>
                <w:bCs/>
                <w:color w:val="404040" w:themeColor="text1" w:themeTint="BF"/>
                <w:sz w:val="18"/>
                <w:szCs w:val="20"/>
                <w:lang w:val="es-MX"/>
              </w:rPr>
              <w:t>2020-</w:t>
            </w:r>
            <w:r w:rsidRPr="0006275D">
              <w:rPr>
                <w:rFonts w:ascii="Century Gothic" w:hAnsi="Century Gothic"/>
                <w:b/>
                <w:bCs/>
                <w:color w:val="404040" w:themeColor="text1" w:themeTint="BF"/>
                <w:sz w:val="18"/>
                <w:szCs w:val="20"/>
                <w:lang w:val="es-MX"/>
              </w:rPr>
              <w:t>20</w:t>
            </w:r>
            <w:r w:rsidR="00840EB4" w:rsidRPr="0006275D">
              <w:rPr>
                <w:rFonts w:ascii="Century Gothic" w:hAnsi="Century Gothic"/>
                <w:b/>
                <w:bCs/>
                <w:color w:val="404040" w:themeColor="text1" w:themeTint="BF"/>
                <w:sz w:val="18"/>
                <w:szCs w:val="20"/>
                <w:lang w:val="es-MX"/>
              </w:rPr>
              <w:t>22</w:t>
            </w:r>
            <w:r w:rsidRPr="0006275D">
              <w:rPr>
                <w:rFonts w:ascii="Century Gothic" w:hAnsi="Century Gothic"/>
                <w:b/>
                <w:bCs/>
                <w:color w:val="404040" w:themeColor="text1" w:themeTint="BF"/>
                <w:sz w:val="18"/>
                <w:szCs w:val="20"/>
                <w:lang w:val="es-MX"/>
              </w:rPr>
              <w:t xml:space="preserve">: </w:t>
            </w:r>
          </w:p>
          <w:p w:rsidR="00EC3679" w:rsidRPr="0006275D" w:rsidRDefault="00EC3679" w:rsidP="009F3663">
            <w:pPr>
              <w:pStyle w:val="Default"/>
              <w:spacing w:after="120"/>
              <w:ind w:left="178" w:hanging="178"/>
              <w:rPr>
                <w:rFonts w:ascii="Century Gothic" w:hAnsi="Century Gothic"/>
                <w:color w:val="404040" w:themeColor="text1" w:themeTint="BF"/>
                <w:sz w:val="18"/>
                <w:szCs w:val="20"/>
                <w:lang w:val="es-MX"/>
              </w:rPr>
            </w:pPr>
            <w:r w:rsidRPr="0006275D">
              <w:rPr>
                <w:rFonts w:ascii="Century Gothic" w:hAnsi="Century Gothic"/>
                <w:color w:val="404040" w:themeColor="text1" w:themeTint="BF"/>
                <w:sz w:val="18"/>
                <w:szCs w:val="20"/>
                <w:lang w:val="es-MX"/>
              </w:rPr>
              <w:t xml:space="preserve">• </w:t>
            </w:r>
            <w:r w:rsidR="00840EB4" w:rsidRPr="0006275D">
              <w:rPr>
                <w:rFonts w:ascii="Century Gothic" w:hAnsi="Century Gothic"/>
                <w:color w:val="404040" w:themeColor="text1" w:themeTint="BF"/>
                <w:sz w:val="18"/>
                <w:szCs w:val="20"/>
                <w:lang w:val="es-MX"/>
              </w:rPr>
              <w:t>100% de los programas del INEGI incluye en sus metadatos indicadores de calidad</w:t>
            </w:r>
            <w:r w:rsidRPr="0006275D">
              <w:rPr>
                <w:rFonts w:ascii="Century Gothic" w:hAnsi="Century Gothic"/>
                <w:color w:val="404040" w:themeColor="text1" w:themeTint="BF"/>
                <w:sz w:val="18"/>
                <w:szCs w:val="20"/>
                <w:lang w:val="es-MX"/>
              </w:rPr>
              <w:t xml:space="preserve">. </w:t>
            </w:r>
          </w:p>
          <w:p w:rsidR="00EC3679" w:rsidRPr="0006275D" w:rsidRDefault="00EC3679" w:rsidP="008D0ED0">
            <w:pPr>
              <w:pStyle w:val="Default"/>
              <w:spacing w:after="120"/>
              <w:ind w:left="177" w:hanging="177"/>
              <w:rPr>
                <w:rFonts w:ascii="Century Gothic" w:hAnsi="Century Gothic"/>
                <w:b/>
                <w:bCs/>
                <w:color w:val="404040" w:themeColor="text1" w:themeTint="BF"/>
                <w:sz w:val="18"/>
                <w:szCs w:val="20"/>
                <w:lang w:val="es-MX"/>
              </w:rPr>
            </w:pPr>
            <w:r w:rsidRPr="0006275D">
              <w:rPr>
                <w:rFonts w:ascii="Century Gothic" w:hAnsi="Century Gothic"/>
                <w:color w:val="404040" w:themeColor="text1" w:themeTint="BF"/>
                <w:sz w:val="18"/>
                <w:szCs w:val="20"/>
                <w:lang w:val="es-MX"/>
              </w:rPr>
              <w:t xml:space="preserve">• </w:t>
            </w:r>
            <w:r w:rsidR="00840EB4" w:rsidRPr="0006275D">
              <w:rPr>
                <w:rFonts w:ascii="Century Gothic" w:hAnsi="Century Gothic"/>
                <w:color w:val="404040" w:themeColor="text1" w:themeTint="BF"/>
                <w:sz w:val="18"/>
                <w:szCs w:val="20"/>
                <w:lang w:val="es-MX"/>
              </w:rPr>
              <w:t>Existe un catálogo de evaluaciones por tipo de programa</w:t>
            </w:r>
            <w:r w:rsidRPr="0006275D">
              <w:rPr>
                <w:rFonts w:ascii="Century Gothic" w:hAnsi="Century Gothic"/>
                <w:color w:val="404040" w:themeColor="text1" w:themeTint="BF"/>
                <w:sz w:val="18"/>
                <w:szCs w:val="20"/>
                <w:lang w:val="es-MX"/>
              </w:rPr>
              <w:t>.</w:t>
            </w:r>
          </w:p>
        </w:tc>
      </w:tr>
    </w:tbl>
    <w:p w:rsidR="00042159" w:rsidRPr="00D10FAA" w:rsidRDefault="00042159" w:rsidP="00517DCC">
      <w:pPr>
        <w:spacing w:before="240" w:after="60"/>
        <w:rPr>
          <w:rFonts w:ascii="Century Gothic" w:hAnsi="Century Gothic"/>
        </w:rPr>
      </w:pPr>
      <w:r w:rsidRPr="00D10FAA">
        <w:rPr>
          <w:rFonts w:ascii="Century Gothic" w:hAnsi="Century Gothic"/>
        </w:rPr>
        <w:t>Avances</w:t>
      </w:r>
      <w:r w:rsidR="003B7080" w:rsidRPr="00FD183F">
        <w:rPr>
          <w:rFonts w:ascii="Century Gothic" w:hAnsi="Century Gothic"/>
          <w:sz w:val="19"/>
          <w:szCs w:val="19"/>
          <w:vertAlign w:val="superscript"/>
        </w:rPr>
        <w:t>10</w:t>
      </w:r>
      <w:r w:rsidRPr="00D10FAA">
        <w:rPr>
          <w:rFonts w:ascii="Century Gothic" w:hAnsi="Century Gothic"/>
        </w:rPr>
        <w:t>:</w:t>
      </w:r>
    </w:p>
    <w:p w:rsidR="00A73324" w:rsidRDefault="00A73324" w:rsidP="008B289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Desde 2017 se han reportado los 5 indicadores aprobados de accesibilidad, puntualidad y oportunidad que incluyen en su cálculo al 100% de los programas de información del INEGI</w:t>
      </w:r>
      <w:r w:rsidR="00FD183F">
        <w:rPr>
          <w:rStyle w:val="Refdenotaalpie"/>
          <w:rFonts w:ascii="Century Gothic" w:hAnsi="Century Gothic"/>
          <w:sz w:val="19"/>
          <w:szCs w:val="19"/>
        </w:rPr>
        <w:footnoteReference w:id="11"/>
      </w:r>
      <w:r>
        <w:rPr>
          <w:rFonts w:ascii="Century Gothic" w:hAnsi="Century Gothic"/>
          <w:sz w:val="19"/>
          <w:szCs w:val="19"/>
        </w:rPr>
        <w:t>.</w:t>
      </w:r>
    </w:p>
    <w:p w:rsidR="00247DA7" w:rsidRPr="00454DFA" w:rsidRDefault="00A73324" w:rsidP="00454DFA">
      <w:pPr>
        <w:numPr>
          <w:ilvl w:val="1"/>
          <w:numId w:val="1"/>
        </w:numPr>
        <w:tabs>
          <w:tab w:val="clear" w:pos="1440"/>
          <w:tab w:val="num" w:pos="284"/>
        </w:tabs>
        <w:spacing w:after="60"/>
        <w:ind w:left="284" w:hanging="284"/>
        <w:jc w:val="both"/>
        <w:rPr>
          <w:rFonts w:ascii="Century Gothic" w:hAnsi="Century Gothic"/>
          <w:sz w:val="19"/>
          <w:szCs w:val="19"/>
        </w:rPr>
      </w:pPr>
      <w:r w:rsidRPr="00454DFA">
        <w:rPr>
          <w:rFonts w:ascii="Century Gothic" w:hAnsi="Century Gothic"/>
          <w:sz w:val="19"/>
          <w:szCs w:val="19"/>
        </w:rPr>
        <w:t xml:space="preserve">En 2019 </w:t>
      </w:r>
      <w:r w:rsidR="00247DA7" w:rsidRPr="00454DFA">
        <w:rPr>
          <w:rFonts w:ascii="Century Gothic" w:hAnsi="Century Gothic"/>
          <w:sz w:val="19"/>
          <w:szCs w:val="19"/>
        </w:rPr>
        <w:t>se aprobaron 10 indicadores de pertinencia que fueron medidos para el 100% de los programas de información del INEGI</w:t>
      </w:r>
      <w:r w:rsidR="00454DFA">
        <w:rPr>
          <w:rFonts w:ascii="Century Gothic" w:hAnsi="Century Gothic"/>
          <w:sz w:val="19"/>
          <w:szCs w:val="19"/>
        </w:rPr>
        <w:t xml:space="preserve"> y </w:t>
      </w:r>
      <w:r w:rsidR="00247DA7" w:rsidRPr="00454DFA">
        <w:rPr>
          <w:rFonts w:ascii="Century Gothic" w:hAnsi="Century Gothic"/>
          <w:sz w:val="19"/>
          <w:szCs w:val="19"/>
        </w:rPr>
        <w:t>3 indicadores de precisión y confiabilidad para programas cuyo insumo son únicamente registros administrativos</w:t>
      </w:r>
      <w:r w:rsidR="00454DFA">
        <w:rPr>
          <w:rFonts w:ascii="Century Gothic" w:hAnsi="Century Gothic"/>
          <w:sz w:val="19"/>
          <w:szCs w:val="19"/>
        </w:rPr>
        <w:t xml:space="preserve"> que fueron medidos para el 79% de este tipo de programas</w:t>
      </w:r>
      <w:r w:rsidR="00247DA7" w:rsidRPr="00454DFA">
        <w:rPr>
          <w:rFonts w:ascii="Century Gothic" w:hAnsi="Century Gothic"/>
          <w:sz w:val="19"/>
          <w:szCs w:val="19"/>
        </w:rPr>
        <w:t>.</w:t>
      </w:r>
    </w:p>
    <w:p w:rsidR="00792689" w:rsidRDefault="00454DFA" w:rsidP="008B289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En términos generales, s</w:t>
      </w:r>
      <w:r w:rsidR="00824BBD">
        <w:rPr>
          <w:rFonts w:ascii="Century Gothic" w:hAnsi="Century Gothic"/>
          <w:sz w:val="19"/>
          <w:szCs w:val="19"/>
        </w:rPr>
        <w:t xml:space="preserve">ólo </w:t>
      </w:r>
      <w:r w:rsidR="00792689">
        <w:rPr>
          <w:rFonts w:ascii="Century Gothic" w:hAnsi="Century Gothic"/>
          <w:sz w:val="19"/>
          <w:szCs w:val="19"/>
        </w:rPr>
        <w:t xml:space="preserve">62% de los programas de información del INEGI </w:t>
      </w:r>
      <w:r w:rsidR="006E539F">
        <w:rPr>
          <w:rFonts w:ascii="Century Gothic" w:hAnsi="Century Gothic"/>
          <w:sz w:val="19"/>
          <w:szCs w:val="19"/>
        </w:rPr>
        <w:t>han</w:t>
      </w:r>
      <w:r w:rsidR="00792689">
        <w:rPr>
          <w:rFonts w:ascii="Century Gothic" w:hAnsi="Century Gothic"/>
          <w:sz w:val="19"/>
          <w:szCs w:val="19"/>
        </w:rPr>
        <w:t xml:space="preserve"> </w:t>
      </w:r>
      <w:r w:rsidR="006E539F">
        <w:rPr>
          <w:rFonts w:ascii="Century Gothic" w:hAnsi="Century Gothic"/>
          <w:sz w:val="19"/>
          <w:szCs w:val="19"/>
        </w:rPr>
        <w:t xml:space="preserve">reportado </w:t>
      </w:r>
      <w:r w:rsidR="00792689">
        <w:rPr>
          <w:rFonts w:ascii="Century Gothic" w:hAnsi="Century Gothic"/>
          <w:sz w:val="19"/>
          <w:szCs w:val="19"/>
        </w:rPr>
        <w:t>indicador</w:t>
      </w:r>
      <w:r w:rsidR="00AA00C1">
        <w:rPr>
          <w:rFonts w:ascii="Century Gothic" w:hAnsi="Century Gothic"/>
          <w:sz w:val="19"/>
          <w:szCs w:val="19"/>
        </w:rPr>
        <w:t>es</w:t>
      </w:r>
      <w:r w:rsidR="00792689">
        <w:rPr>
          <w:rFonts w:ascii="Century Gothic" w:hAnsi="Century Gothic"/>
          <w:sz w:val="19"/>
          <w:szCs w:val="19"/>
        </w:rPr>
        <w:t xml:space="preserve"> de precisión</w:t>
      </w:r>
      <w:r w:rsidR="00565A87">
        <w:rPr>
          <w:rFonts w:ascii="Century Gothic" w:hAnsi="Century Gothic"/>
          <w:sz w:val="19"/>
          <w:szCs w:val="19"/>
        </w:rPr>
        <w:t xml:space="preserve"> en sus metadatos</w:t>
      </w:r>
      <w:r w:rsidR="001803A9">
        <w:rPr>
          <w:rFonts w:ascii="Century Gothic" w:hAnsi="Century Gothic"/>
          <w:sz w:val="19"/>
          <w:szCs w:val="19"/>
        </w:rPr>
        <w:t>,</w:t>
      </w:r>
      <w:r w:rsidR="00792689">
        <w:rPr>
          <w:rFonts w:ascii="Century Gothic" w:hAnsi="Century Gothic"/>
          <w:sz w:val="19"/>
          <w:szCs w:val="19"/>
        </w:rPr>
        <w:t xml:space="preserve"> </w:t>
      </w:r>
      <w:r w:rsidR="006E539F">
        <w:rPr>
          <w:rFonts w:ascii="Century Gothic" w:hAnsi="Century Gothic"/>
          <w:sz w:val="19"/>
          <w:szCs w:val="19"/>
        </w:rPr>
        <w:t>ya que aún falta la medición de los indicadores de información geoespacial</w:t>
      </w:r>
      <w:r w:rsidR="007D299E">
        <w:rPr>
          <w:rFonts w:ascii="Century Gothic" w:hAnsi="Century Gothic"/>
          <w:sz w:val="19"/>
          <w:szCs w:val="19"/>
        </w:rPr>
        <w:t xml:space="preserve"> que ya fueron aprobados</w:t>
      </w:r>
      <w:r w:rsidR="006E539F">
        <w:rPr>
          <w:rFonts w:ascii="Century Gothic" w:hAnsi="Century Gothic"/>
          <w:sz w:val="19"/>
          <w:szCs w:val="19"/>
        </w:rPr>
        <w:t xml:space="preserve"> y la definición de indicadores de precisión para Censos y Cuentas Nacionales.</w:t>
      </w:r>
    </w:p>
    <w:p w:rsidR="007E5FFC" w:rsidRPr="00565A87" w:rsidRDefault="00A25CC7" w:rsidP="00DD11E1">
      <w:pPr>
        <w:numPr>
          <w:ilvl w:val="1"/>
          <w:numId w:val="1"/>
        </w:numPr>
        <w:tabs>
          <w:tab w:val="clear" w:pos="1440"/>
          <w:tab w:val="num" w:pos="284"/>
        </w:tabs>
        <w:spacing w:after="60"/>
        <w:ind w:left="284" w:hanging="284"/>
        <w:jc w:val="both"/>
        <w:rPr>
          <w:rFonts w:ascii="Century Gothic" w:hAnsi="Century Gothic"/>
          <w:sz w:val="19"/>
          <w:szCs w:val="19"/>
        </w:rPr>
      </w:pPr>
      <w:r w:rsidRPr="00565A87">
        <w:rPr>
          <w:rFonts w:ascii="Century Gothic" w:hAnsi="Century Gothic"/>
          <w:sz w:val="19"/>
          <w:szCs w:val="19"/>
        </w:rPr>
        <w:t xml:space="preserve">La Herramienta de </w:t>
      </w:r>
      <w:r w:rsidR="00EF0627" w:rsidRPr="00565A87">
        <w:rPr>
          <w:rFonts w:ascii="Century Gothic" w:hAnsi="Century Gothic"/>
          <w:sz w:val="19"/>
          <w:szCs w:val="19"/>
        </w:rPr>
        <w:t xml:space="preserve">Evaluación </w:t>
      </w:r>
      <w:r w:rsidRPr="00565A87">
        <w:rPr>
          <w:rFonts w:ascii="Century Gothic" w:hAnsi="Century Gothic"/>
          <w:sz w:val="19"/>
          <w:szCs w:val="19"/>
        </w:rPr>
        <w:t xml:space="preserve">de la </w:t>
      </w:r>
      <w:r w:rsidR="00EF0627" w:rsidRPr="00565A87">
        <w:rPr>
          <w:rFonts w:ascii="Century Gothic" w:hAnsi="Century Gothic"/>
          <w:sz w:val="19"/>
          <w:szCs w:val="19"/>
        </w:rPr>
        <w:t xml:space="preserve">Calidad </w:t>
      </w:r>
      <w:r w:rsidRPr="00565A87">
        <w:rPr>
          <w:rFonts w:ascii="Century Gothic" w:hAnsi="Century Gothic"/>
          <w:sz w:val="19"/>
          <w:szCs w:val="19"/>
        </w:rPr>
        <w:t xml:space="preserve">de los </w:t>
      </w:r>
      <w:r w:rsidR="00EF0627" w:rsidRPr="00565A87">
        <w:rPr>
          <w:rFonts w:ascii="Century Gothic" w:hAnsi="Century Gothic"/>
          <w:sz w:val="19"/>
          <w:szCs w:val="19"/>
        </w:rPr>
        <w:t xml:space="preserve">Registros Administrativos </w:t>
      </w:r>
      <w:r w:rsidR="00454DFA" w:rsidRPr="00565A87">
        <w:rPr>
          <w:rFonts w:ascii="Century Gothic" w:hAnsi="Century Gothic"/>
          <w:sz w:val="19"/>
          <w:szCs w:val="19"/>
        </w:rPr>
        <w:t>(HECRA)</w:t>
      </w:r>
      <w:r w:rsidRPr="00565A87">
        <w:rPr>
          <w:rFonts w:ascii="Century Gothic" w:hAnsi="Century Gothic"/>
          <w:sz w:val="19"/>
          <w:szCs w:val="19"/>
        </w:rPr>
        <w:t xml:space="preserve"> ha sido aplicada </w:t>
      </w:r>
      <w:r w:rsidR="003F6178" w:rsidRPr="00565A87">
        <w:rPr>
          <w:rFonts w:ascii="Century Gothic" w:hAnsi="Century Gothic"/>
          <w:sz w:val="19"/>
          <w:szCs w:val="19"/>
        </w:rPr>
        <w:t>por las Direcciones Generales que tienen programas de información cuyos insumos son registros administrativos</w:t>
      </w:r>
      <w:r w:rsidR="009B59F3" w:rsidRPr="00565A87">
        <w:rPr>
          <w:rFonts w:ascii="Century Gothic" w:hAnsi="Century Gothic"/>
          <w:sz w:val="19"/>
          <w:szCs w:val="19"/>
        </w:rPr>
        <w:t xml:space="preserve"> </w:t>
      </w:r>
      <w:r w:rsidR="00454DFA" w:rsidRPr="00565A87">
        <w:rPr>
          <w:rFonts w:ascii="Century Gothic" w:hAnsi="Century Gothic"/>
          <w:sz w:val="19"/>
          <w:szCs w:val="19"/>
        </w:rPr>
        <w:t>y estará disponible para usuarios tanto internos como externos a partir de 2020.</w:t>
      </w:r>
      <w:r w:rsidR="00565A87" w:rsidRPr="00565A87">
        <w:rPr>
          <w:rFonts w:ascii="Century Gothic" w:hAnsi="Century Gothic"/>
          <w:sz w:val="19"/>
          <w:szCs w:val="19"/>
        </w:rPr>
        <w:t xml:space="preserve"> </w:t>
      </w:r>
      <w:r w:rsidR="00C12587" w:rsidRPr="00565A87">
        <w:rPr>
          <w:rFonts w:ascii="Century Gothic" w:hAnsi="Century Gothic"/>
          <w:sz w:val="19"/>
          <w:szCs w:val="19"/>
        </w:rPr>
        <w:t>Ésta es la única herramienta aprobada por el comité que sirve al 17% de los programas del INEGI.</w:t>
      </w:r>
    </w:p>
    <w:p w:rsidR="0095627D" w:rsidRPr="0095627D" w:rsidRDefault="0095627D" w:rsidP="0095627D">
      <w:pPr>
        <w:spacing w:after="0"/>
        <w:ind w:left="284"/>
        <w:rPr>
          <w:rFonts w:ascii="Century Gothic" w:hAnsi="Century Gothic"/>
          <w:sz w:val="10"/>
          <w:szCs w:val="19"/>
        </w:rPr>
      </w:pPr>
    </w:p>
    <w:tbl>
      <w:tblPr>
        <w:tblW w:w="10035" w:type="dxa"/>
        <w:jc w:val="center"/>
        <w:tblBorders>
          <w:left w:val="single" w:sz="24" w:space="0" w:color="A6A6A6" w:themeColor="background1" w:themeShade="A6"/>
          <w:insideH w:val="single" w:sz="36" w:space="0" w:color="808080" w:themeColor="background1" w:themeShade="80"/>
          <w:insideV w:val="single" w:sz="24" w:space="0" w:color="A6A6A6" w:themeColor="background1" w:themeShade="A6"/>
        </w:tblBorders>
        <w:tblLook w:val="04A0" w:firstRow="1" w:lastRow="0" w:firstColumn="1" w:lastColumn="0" w:noHBand="0" w:noVBand="1"/>
      </w:tblPr>
      <w:tblGrid>
        <w:gridCol w:w="254"/>
        <w:gridCol w:w="9781"/>
      </w:tblGrid>
      <w:tr w:rsidR="00363889" w:rsidRPr="00D10FAA" w:rsidTr="00070768">
        <w:trPr>
          <w:trHeight w:val="3405"/>
          <w:jc w:val="center"/>
        </w:trPr>
        <w:tc>
          <w:tcPr>
            <w:tcW w:w="254" w:type="dxa"/>
            <w:tcBorders>
              <w:right w:val="nil"/>
            </w:tcBorders>
            <w:vAlign w:val="center"/>
          </w:tcPr>
          <w:p w:rsidR="007E5FFC" w:rsidRPr="00D10FAA" w:rsidRDefault="007E5FFC" w:rsidP="00070768">
            <w:pPr>
              <w:spacing w:after="120"/>
              <w:ind w:left="7" w:hanging="7"/>
              <w:jc w:val="center"/>
              <w:rPr>
                <w:rFonts w:ascii="Century Gothic" w:hAnsi="Century Gothic"/>
              </w:rPr>
            </w:pPr>
          </w:p>
        </w:tc>
        <w:tc>
          <w:tcPr>
            <w:tcW w:w="9781" w:type="dxa"/>
            <w:tcBorders>
              <w:top w:val="nil"/>
              <w:left w:val="nil"/>
              <w:bottom w:val="nil"/>
            </w:tcBorders>
            <w:vAlign w:val="center"/>
          </w:tcPr>
          <w:p w:rsidR="00BF563A" w:rsidRPr="00D10FAA" w:rsidRDefault="00071D57" w:rsidP="00070768">
            <w:pPr>
              <w:spacing w:after="120"/>
              <w:jc w:val="center"/>
              <w:rPr>
                <w:rFonts w:ascii="Century Gothic" w:hAnsi="Century Gothic"/>
              </w:rPr>
            </w:pPr>
            <w:r w:rsidRPr="00071D57">
              <w:rPr>
                <w:rFonts w:ascii="Century Gothic" w:hAnsi="Century Gothic"/>
                <w:noProof/>
                <w:lang w:val="en-US"/>
              </w:rPr>
              <w:drawing>
                <wp:inline distT="0" distB="0" distL="0" distR="0" wp14:anchorId="7D80B0E3" wp14:editId="4D0EF86A">
                  <wp:extent cx="5809485" cy="32626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3524" cy="3264919"/>
                          </a:xfrm>
                          <a:prstGeom prst="rect">
                            <a:avLst/>
                          </a:prstGeom>
                          <a:noFill/>
                          <a:ln>
                            <a:noFill/>
                          </a:ln>
                        </pic:spPr>
                      </pic:pic>
                    </a:graphicData>
                  </a:graphic>
                </wp:inline>
              </w:drawing>
            </w:r>
          </w:p>
        </w:tc>
      </w:tr>
    </w:tbl>
    <w:p w:rsidR="00B93248" w:rsidRPr="000D54F6" w:rsidRDefault="00B93248">
      <w:pPr>
        <w:rPr>
          <w:rFonts w:ascii="Century Gothic" w:hAnsi="Century Gothic"/>
          <w:sz w:val="4"/>
        </w:rPr>
      </w:pPr>
      <w:r w:rsidRPr="000D54F6">
        <w:rPr>
          <w:rFonts w:ascii="Century Gothic" w:hAnsi="Century Gothic"/>
          <w:sz w:val="4"/>
        </w:rPr>
        <w:br w:type="page"/>
      </w:r>
    </w:p>
    <w:tbl>
      <w:tblPr>
        <w:tblW w:w="12333" w:type="dxa"/>
        <w:tblInd w:w="-1139" w:type="dxa"/>
        <w:tblLook w:val="04A0" w:firstRow="1" w:lastRow="0" w:firstColumn="1" w:lastColumn="0" w:noHBand="0" w:noVBand="1"/>
      </w:tblPr>
      <w:tblGrid>
        <w:gridCol w:w="4820"/>
        <w:gridCol w:w="7513"/>
      </w:tblGrid>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4"/>
                <w:szCs w:val="32"/>
              </w:rPr>
            </w:pPr>
          </w:p>
        </w:tc>
        <w:tc>
          <w:tcPr>
            <w:tcW w:w="7513" w:type="dxa"/>
            <w:shd w:val="clear" w:color="auto" w:fill="0079BF"/>
          </w:tcPr>
          <w:p w:rsidR="00B93248" w:rsidRPr="0022505B" w:rsidRDefault="00B93248" w:rsidP="008D0572">
            <w:pPr>
              <w:rPr>
                <w:rFonts w:cstheme="minorHAnsi"/>
                <w:color w:val="FFFFFF" w:themeColor="background1"/>
                <w:sz w:val="14"/>
                <w:szCs w:val="32"/>
              </w:rPr>
            </w:pPr>
          </w:p>
        </w:tc>
      </w:tr>
      <w:tr w:rsidR="00B93248" w:rsidRPr="0022505B" w:rsidTr="008D0572">
        <w:trPr>
          <w:trHeight w:val="201"/>
        </w:trPr>
        <w:tc>
          <w:tcPr>
            <w:tcW w:w="12333" w:type="dxa"/>
            <w:gridSpan w:val="2"/>
            <w:shd w:val="clear" w:color="auto" w:fill="auto"/>
          </w:tcPr>
          <w:p w:rsidR="00B93248" w:rsidRPr="00613C02" w:rsidRDefault="00B93248" w:rsidP="00882081">
            <w:pPr>
              <w:spacing w:after="0"/>
              <w:jc w:val="center"/>
              <w:rPr>
                <w:rFonts w:cstheme="minorHAnsi"/>
                <w:color w:val="000000" w:themeColor="text1"/>
                <w:sz w:val="32"/>
                <w:szCs w:val="32"/>
              </w:rPr>
            </w:pPr>
            <w:r>
              <w:rPr>
                <w:rFonts w:cstheme="minorHAnsi"/>
                <w:color w:val="000000" w:themeColor="text1"/>
                <w:sz w:val="32"/>
                <w:szCs w:val="32"/>
              </w:rPr>
              <w:t xml:space="preserve">                INDICADORES DE CALIDAD</w:t>
            </w:r>
          </w:p>
        </w:tc>
      </w:tr>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2"/>
                <w:szCs w:val="32"/>
              </w:rPr>
            </w:pPr>
          </w:p>
        </w:tc>
        <w:tc>
          <w:tcPr>
            <w:tcW w:w="7513" w:type="dxa"/>
            <w:shd w:val="clear" w:color="auto" w:fill="0079BF"/>
          </w:tcPr>
          <w:p w:rsidR="00B93248" w:rsidRPr="0022505B" w:rsidRDefault="00B93248" w:rsidP="008D0572">
            <w:pPr>
              <w:rPr>
                <w:rFonts w:cstheme="minorHAnsi"/>
                <w:color w:val="FFFFFF" w:themeColor="background1"/>
                <w:sz w:val="12"/>
                <w:szCs w:val="32"/>
              </w:rPr>
            </w:pPr>
          </w:p>
        </w:tc>
      </w:tr>
    </w:tbl>
    <w:p w:rsidR="006E2A56" w:rsidRPr="00D10FAA" w:rsidRDefault="006E2A56" w:rsidP="00E41130">
      <w:pPr>
        <w:spacing w:after="0"/>
        <w:rPr>
          <w:rFonts w:ascii="Century Gothic" w:hAnsi="Century Gothic"/>
        </w:rPr>
      </w:pPr>
    </w:p>
    <w:tbl>
      <w:tblPr>
        <w:tblW w:w="10490" w:type="dxa"/>
        <w:jc w:val="center"/>
        <w:tblBorders>
          <w:insideH w:val="single" w:sz="24"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3119"/>
        <w:gridCol w:w="3969"/>
        <w:gridCol w:w="3402"/>
      </w:tblGrid>
      <w:tr w:rsidR="006E2A56" w:rsidRPr="00D10FAA" w:rsidTr="00145FF8">
        <w:trPr>
          <w:jc w:val="center"/>
        </w:trPr>
        <w:tc>
          <w:tcPr>
            <w:tcW w:w="3119" w:type="dxa"/>
            <w:shd w:val="clear" w:color="auto" w:fill="C5EAFF"/>
          </w:tcPr>
          <w:p w:rsidR="006E2A56" w:rsidRPr="0006275D" w:rsidRDefault="003E70CE" w:rsidP="00A273D4">
            <w:pPr>
              <w:spacing w:after="120"/>
              <w:jc w:val="center"/>
              <w:rPr>
                <w:rFonts w:ascii="Century Gothic" w:hAnsi="Century Gothic"/>
                <w:b/>
                <w:color w:val="404040" w:themeColor="text1" w:themeTint="BF"/>
                <w:sz w:val="18"/>
              </w:rPr>
            </w:pPr>
            <w:r>
              <w:rPr>
                <w:rFonts w:ascii="Century Gothic" w:hAnsi="Century Gothic"/>
                <w:b/>
                <w:color w:val="404040" w:themeColor="text1" w:themeTint="BF"/>
                <w:sz w:val="18"/>
              </w:rPr>
              <w:t>PERTINENCIA</w:t>
            </w:r>
          </w:p>
          <w:p w:rsidR="006E2A56" w:rsidRPr="0006275D" w:rsidRDefault="003E70CE" w:rsidP="00A273D4">
            <w:pPr>
              <w:spacing w:after="120"/>
              <w:rPr>
                <w:rFonts w:ascii="Century Gothic" w:hAnsi="Century Gothic"/>
                <w:color w:val="404040" w:themeColor="text1" w:themeTint="BF"/>
                <w:sz w:val="18"/>
              </w:rPr>
            </w:pPr>
            <w:r w:rsidRPr="003E70CE">
              <w:rPr>
                <w:rFonts w:ascii="Century Gothic" w:hAnsi="Century Gothic"/>
                <w:color w:val="404040" w:themeColor="text1" w:themeTint="BF"/>
                <w:sz w:val="18"/>
              </w:rPr>
              <w:t>La información estadística y geográfica satisface las necesidades actuales y requerimientos potenciales o emergentes de los usuarios</w:t>
            </w:r>
            <w:r w:rsidR="006E2A56" w:rsidRPr="0006275D">
              <w:rPr>
                <w:rFonts w:ascii="Century Gothic" w:hAnsi="Century Gothic"/>
                <w:color w:val="404040" w:themeColor="text1" w:themeTint="BF"/>
                <w:sz w:val="18"/>
              </w:rPr>
              <w:t>.</w:t>
            </w:r>
          </w:p>
        </w:tc>
        <w:tc>
          <w:tcPr>
            <w:tcW w:w="3969" w:type="dxa"/>
            <w:shd w:val="clear" w:color="auto" w:fill="C5EAFF"/>
          </w:tcPr>
          <w:p w:rsidR="003E70CE" w:rsidRPr="0006275D" w:rsidRDefault="003E70CE" w:rsidP="003E70CE">
            <w:pPr>
              <w:spacing w:after="120"/>
              <w:jc w:val="center"/>
              <w:rPr>
                <w:rFonts w:ascii="Century Gothic" w:hAnsi="Century Gothic"/>
                <w:b/>
                <w:color w:val="404040" w:themeColor="text1" w:themeTint="BF"/>
                <w:sz w:val="18"/>
              </w:rPr>
            </w:pPr>
            <w:r w:rsidRPr="0006275D">
              <w:rPr>
                <w:rFonts w:ascii="Century Gothic" w:hAnsi="Century Gothic"/>
                <w:b/>
                <w:color w:val="404040" w:themeColor="text1" w:themeTint="BF"/>
                <w:sz w:val="18"/>
              </w:rPr>
              <w:t>ACCESIBILIDAD</w:t>
            </w:r>
          </w:p>
          <w:p w:rsidR="006E2A56" w:rsidRPr="0006275D" w:rsidRDefault="003E70CE" w:rsidP="003E70CE">
            <w:pPr>
              <w:spacing w:after="120"/>
              <w:rPr>
                <w:rFonts w:ascii="Century Gothic" w:hAnsi="Century Gothic"/>
                <w:color w:val="404040" w:themeColor="text1" w:themeTint="BF"/>
                <w:sz w:val="18"/>
              </w:rPr>
            </w:pPr>
            <w:r w:rsidRPr="0006275D">
              <w:rPr>
                <w:rFonts w:ascii="Century Gothic" w:hAnsi="Century Gothic"/>
                <w:color w:val="404040" w:themeColor="text1" w:themeTint="BF"/>
                <w:sz w:val="18"/>
              </w:rPr>
              <w:t>La información estadística y geográfica se presenta de forma clara y comprensible, garantizando el acceso sin más límite que el que imponga el interés público y los principios de confidencialidad y reserva que establece la Ley.</w:t>
            </w:r>
          </w:p>
        </w:tc>
        <w:tc>
          <w:tcPr>
            <w:tcW w:w="3402" w:type="dxa"/>
            <w:shd w:val="clear" w:color="auto" w:fill="C5EAFF"/>
          </w:tcPr>
          <w:p w:rsidR="006E2A56" w:rsidRPr="0006275D" w:rsidRDefault="006E2A56" w:rsidP="00A273D4">
            <w:pPr>
              <w:spacing w:after="120"/>
              <w:jc w:val="center"/>
              <w:rPr>
                <w:rFonts w:ascii="Century Gothic" w:hAnsi="Century Gothic"/>
                <w:b/>
                <w:color w:val="404040" w:themeColor="text1" w:themeTint="BF"/>
                <w:sz w:val="18"/>
              </w:rPr>
            </w:pPr>
            <w:r w:rsidRPr="0006275D">
              <w:rPr>
                <w:rFonts w:ascii="Century Gothic" w:hAnsi="Century Gothic"/>
                <w:b/>
                <w:color w:val="404040" w:themeColor="text1" w:themeTint="BF"/>
                <w:sz w:val="18"/>
              </w:rPr>
              <w:t>OPORTUNIDAD</w:t>
            </w:r>
            <w:r w:rsidR="003E70CE">
              <w:rPr>
                <w:rFonts w:ascii="Century Gothic" w:hAnsi="Century Gothic"/>
                <w:b/>
                <w:color w:val="404040" w:themeColor="text1" w:themeTint="BF"/>
                <w:sz w:val="18"/>
              </w:rPr>
              <w:t xml:space="preserve"> Y PUNTUALIDAD</w:t>
            </w:r>
          </w:p>
          <w:p w:rsidR="006E2A56" w:rsidRPr="0006275D" w:rsidRDefault="003E70CE" w:rsidP="00A273D4">
            <w:pPr>
              <w:spacing w:after="120"/>
              <w:rPr>
                <w:rFonts w:ascii="Century Gothic" w:hAnsi="Century Gothic"/>
                <w:color w:val="404040" w:themeColor="text1" w:themeTint="BF"/>
                <w:sz w:val="18"/>
              </w:rPr>
            </w:pPr>
            <w:r w:rsidRPr="003E70CE">
              <w:rPr>
                <w:rFonts w:ascii="Century Gothic" w:hAnsi="Century Gothic"/>
                <w:color w:val="404040" w:themeColor="text1" w:themeTint="BF"/>
                <w:sz w:val="18"/>
              </w:rPr>
              <w:t>La información estadística y geográfica se produce y difunde de forma oportuna para la toma de decisiones de los usuarios clave y puntualmente conforme a un calendario establecido</w:t>
            </w:r>
            <w:r w:rsidR="006E2A56" w:rsidRPr="0006275D">
              <w:rPr>
                <w:rFonts w:ascii="Century Gothic" w:hAnsi="Century Gothic"/>
                <w:color w:val="404040" w:themeColor="text1" w:themeTint="BF"/>
                <w:sz w:val="18"/>
              </w:rPr>
              <w:t>.</w:t>
            </w:r>
          </w:p>
        </w:tc>
      </w:tr>
    </w:tbl>
    <w:p w:rsidR="00A805D4" w:rsidRPr="00D10FAA" w:rsidRDefault="00A805D4" w:rsidP="001A2B0B">
      <w:pPr>
        <w:spacing w:before="240" w:after="120"/>
        <w:rPr>
          <w:rFonts w:ascii="Century Gothic" w:hAnsi="Century Gothic"/>
        </w:rPr>
      </w:pPr>
      <w:r w:rsidRPr="00D10FAA">
        <w:rPr>
          <w:rFonts w:ascii="Century Gothic" w:hAnsi="Century Gothic"/>
        </w:rPr>
        <w:t>Avances:</w:t>
      </w:r>
    </w:p>
    <w:p w:rsidR="00FD5CF8" w:rsidRDefault="00621F6E" w:rsidP="00FD5CF8">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Desde 2017 se han medido los indicadores de accesibilidad, oportunidad y puntualidad</w:t>
      </w:r>
      <w:r w:rsidR="00381675">
        <w:rPr>
          <w:rFonts w:ascii="Century Gothic" w:hAnsi="Century Gothic"/>
          <w:sz w:val="19"/>
          <w:szCs w:val="19"/>
        </w:rPr>
        <w:t>.</w:t>
      </w:r>
      <w:r>
        <w:rPr>
          <w:rFonts w:ascii="Century Gothic" w:hAnsi="Century Gothic"/>
          <w:sz w:val="19"/>
          <w:szCs w:val="19"/>
        </w:rPr>
        <w:t xml:space="preserve"> Esta medición ha servido para concientizar a las áreas responsables de la producción de información</w:t>
      </w:r>
      <w:r w:rsidR="0096689D">
        <w:rPr>
          <w:rFonts w:ascii="Century Gothic" w:hAnsi="Century Gothic"/>
          <w:sz w:val="19"/>
          <w:szCs w:val="19"/>
        </w:rPr>
        <w:t xml:space="preserve"> por lo que puede observarse una mejora de</w:t>
      </w:r>
      <w:r>
        <w:rPr>
          <w:rFonts w:ascii="Century Gothic" w:hAnsi="Century Gothic"/>
          <w:sz w:val="19"/>
          <w:szCs w:val="19"/>
        </w:rPr>
        <w:t xml:space="preserve"> estos indicadores a lo largo del tiempo.</w:t>
      </w:r>
    </w:p>
    <w:p w:rsidR="00FD5CF8" w:rsidRPr="00FD5CF8" w:rsidRDefault="00FD5CF8" w:rsidP="00FD5CF8">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 xml:space="preserve">Destacan las mejoras en oportunidad con que se difunde la información de los programas: </w:t>
      </w:r>
      <w:r w:rsidRPr="00FD5CF8">
        <w:rPr>
          <w:rFonts w:ascii="Century Gothic" w:hAnsi="Century Gothic"/>
          <w:sz w:val="19"/>
          <w:szCs w:val="19"/>
        </w:rPr>
        <w:t>Estadísticas de Finanzas Públicas Estatales y Municipales</w:t>
      </w:r>
      <w:r>
        <w:rPr>
          <w:rFonts w:ascii="Century Gothic" w:hAnsi="Century Gothic"/>
          <w:sz w:val="19"/>
          <w:szCs w:val="19"/>
        </w:rPr>
        <w:t xml:space="preserve"> (reducción de</w:t>
      </w:r>
      <w:r w:rsidRPr="00FD5CF8">
        <w:rPr>
          <w:rFonts w:ascii="Century Gothic" w:hAnsi="Century Gothic"/>
          <w:sz w:val="19"/>
          <w:szCs w:val="19"/>
        </w:rPr>
        <w:t xml:space="preserve"> 61%</w:t>
      </w:r>
      <w:r>
        <w:rPr>
          <w:rFonts w:ascii="Century Gothic" w:hAnsi="Century Gothic"/>
          <w:sz w:val="19"/>
          <w:szCs w:val="19"/>
        </w:rPr>
        <w:t>)</w:t>
      </w:r>
      <w:r w:rsidRPr="00FD5CF8">
        <w:rPr>
          <w:rFonts w:ascii="Century Gothic" w:hAnsi="Century Gothic"/>
          <w:sz w:val="19"/>
          <w:szCs w:val="19"/>
        </w:rPr>
        <w:t xml:space="preserve">, Estaciones de la Red Geodésica Nacional Pasiva” </w:t>
      </w:r>
      <w:r>
        <w:rPr>
          <w:rFonts w:ascii="Century Gothic" w:hAnsi="Century Gothic"/>
          <w:sz w:val="19"/>
          <w:szCs w:val="19"/>
        </w:rPr>
        <w:t>(</w:t>
      </w:r>
      <w:r w:rsidRPr="00FD5CF8">
        <w:rPr>
          <w:rFonts w:ascii="Century Gothic" w:hAnsi="Century Gothic"/>
          <w:sz w:val="19"/>
          <w:szCs w:val="19"/>
        </w:rPr>
        <w:t>50%</w:t>
      </w:r>
      <w:r>
        <w:rPr>
          <w:rFonts w:ascii="Century Gothic" w:hAnsi="Century Gothic"/>
          <w:sz w:val="19"/>
          <w:szCs w:val="19"/>
        </w:rPr>
        <w:t>)</w:t>
      </w:r>
      <w:r w:rsidRPr="00FD5CF8">
        <w:rPr>
          <w:rFonts w:ascii="Century Gothic" w:hAnsi="Century Gothic"/>
          <w:sz w:val="19"/>
          <w:szCs w:val="19"/>
        </w:rPr>
        <w:t>, Cuenta Satélite de la Vivienda de México</w:t>
      </w:r>
      <w:r>
        <w:rPr>
          <w:rFonts w:ascii="Century Gothic" w:hAnsi="Century Gothic"/>
          <w:sz w:val="19"/>
          <w:szCs w:val="19"/>
        </w:rPr>
        <w:t xml:space="preserve"> (</w:t>
      </w:r>
      <w:r w:rsidRPr="00FD5CF8">
        <w:rPr>
          <w:rFonts w:ascii="Century Gothic" w:hAnsi="Century Gothic"/>
          <w:sz w:val="19"/>
          <w:szCs w:val="19"/>
        </w:rPr>
        <w:t>37.5%</w:t>
      </w:r>
      <w:r>
        <w:rPr>
          <w:rFonts w:ascii="Century Gothic" w:hAnsi="Century Gothic"/>
          <w:sz w:val="19"/>
          <w:szCs w:val="19"/>
        </w:rPr>
        <w:t>)</w:t>
      </w:r>
      <w:r w:rsidRPr="00FD5CF8">
        <w:rPr>
          <w:rFonts w:ascii="Century Gothic" w:hAnsi="Century Gothic"/>
          <w:sz w:val="19"/>
          <w:szCs w:val="19"/>
        </w:rPr>
        <w:t xml:space="preserve">, Estadísticas de Accidentes de Tránsito Terrestre en Zonas Urbanas y Suburbanas </w:t>
      </w:r>
      <w:r>
        <w:rPr>
          <w:rFonts w:ascii="Century Gothic" w:hAnsi="Century Gothic"/>
          <w:sz w:val="19"/>
          <w:szCs w:val="19"/>
        </w:rPr>
        <w:t>(</w:t>
      </w:r>
      <w:r w:rsidRPr="00FD5CF8">
        <w:rPr>
          <w:rFonts w:ascii="Century Gothic" w:hAnsi="Century Gothic"/>
          <w:sz w:val="19"/>
          <w:szCs w:val="19"/>
        </w:rPr>
        <w:t>27.4%</w:t>
      </w:r>
      <w:r>
        <w:rPr>
          <w:rFonts w:ascii="Century Gothic" w:hAnsi="Century Gothic"/>
          <w:sz w:val="19"/>
          <w:szCs w:val="19"/>
        </w:rPr>
        <w:t>)</w:t>
      </w:r>
      <w:r w:rsidRPr="00FD5CF8">
        <w:rPr>
          <w:rFonts w:ascii="Century Gothic" w:hAnsi="Century Gothic"/>
          <w:sz w:val="19"/>
          <w:szCs w:val="19"/>
        </w:rPr>
        <w:t xml:space="preserve">, Estadísticas de Relaciones Laborales de Jurisdicción Local </w:t>
      </w:r>
      <w:r>
        <w:rPr>
          <w:rFonts w:ascii="Century Gothic" w:hAnsi="Century Gothic"/>
          <w:sz w:val="19"/>
          <w:szCs w:val="19"/>
        </w:rPr>
        <w:t>(</w:t>
      </w:r>
      <w:r w:rsidRPr="00FD5CF8">
        <w:rPr>
          <w:rFonts w:ascii="Century Gothic" w:hAnsi="Century Gothic"/>
          <w:sz w:val="19"/>
          <w:szCs w:val="19"/>
        </w:rPr>
        <w:t>25%</w:t>
      </w:r>
      <w:r>
        <w:rPr>
          <w:rFonts w:ascii="Century Gothic" w:hAnsi="Century Gothic"/>
          <w:sz w:val="19"/>
          <w:szCs w:val="19"/>
        </w:rPr>
        <w:t>)</w:t>
      </w:r>
      <w:r w:rsidRPr="00FD5CF8">
        <w:rPr>
          <w:rFonts w:ascii="Century Gothic" w:hAnsi="Century Gothic"/>
          <w:sz w:val="19"/>
          <w:szCs w:val="19"/>
        </w:rPr>
        <w:t xml:space="preserve"> y la Encuesta Nacional de Ingresos y Gastos de los Hogares</w:t>
      </w:r>
      <w:r>
        <w:rPr>
          <w:rFonts w:ascii="Century Gothic" w:hAnsi="Century Gothic"/>
          <w:sz w:val="19"/>
          <w:szCs w:val="19"/>
        </w:rPr>
        <w:t xml:space="preserve"> (</w:t>
      </w:r>
      <w:r w:rsidRPr="00FD5CF8">
        <w:rPr>
          <w:rFonts w:ascii="Century Gothic" w:hAnsi="Century Gothic"/>
          <w:sz w:val="19"/>
          <w:szCs w:val="19"/>
        </w:rPr>
        <w:t>22.3%</w:t>
      </w:r>
      <w:r>
        <w:rPr>
          <w:rFonts w:ascii="Century Gothic" w:hAnsi="Century Gothic"/>
          <w:sz w:val="19"/>
          <w:szCs w:val="19"/>
        </w:rPr>
        <w:t>)</w:t>
      </w:r>
      <w:r w:rsidRPr="00FD5CF8">
        <w:rPr>
          <w:rFonts w:ascii="Century Gothic" w:hAnsi="Century Gothic"/>
          <w:sz w:val="19"/>
          <w:szCs w:val="19"/>
        </w:rPr>
        <w:t>.</w:t>
      </w:r>
    </w:p>
    <w:p w:rsidR="00817951" w:rsidRDefault="00817951" w:rsidP="00817951">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E</w:t>
      </w:r>
      <w:r w:rsidRPr="00817951">
        <w:rPr>
          <w:rFonts w:ascii="Century Gothic" w:hAnsi="Century Gothic"/>
          <w:sz w:val="19"/>
          <w:szCs w:val="19"/>
        </w:rPr>
        <w:t>n 2019 el 92% de los programas de información que publicaron resultados, los acompañaron con metadatos estandarizados.</w:t>
      </w:r>
      <w:r w:rsidR="004E4EB2">
        <w:rPr>
          <w:rFonts w:ascii="Century Gothic" w:hAnsi="Century Gothic"/>
          <w:sz w:val="19"/>
          <w:szCs w:val="19"/>
        </w:rPr>
        <w:t xml:space="preserve"> El 8% restante corresponde a 1</w:t>
      </w:r>
      <w:r w:rsidR="00EE5A9B">
        <w:rPr>
          <w:rFonts w:ascii="Century Gothic" w:hAnsi="Century Gothic"/>
          <w:sz w:val="19"/>
          <w:szCs w:val="19"/>
        </w:rPr>
        <w:t>7</w:t>
      </w:r>
      <w:r w:rsidR="004E4EB2">
        <w:rPr>
          <w:rFonts w:ascii="Century Gothic" w:hAnsi="Century Gothic"/>
          <w:sz w:val="19"/>
          <w:szCs w:val="19"/>
        </w:rPr>
        <w:t xml:space="preserve"> programas de información</w:t>
      </w:r>
      <w:r w:rsidR="00F9585F">
        <w:rPr>
          <w:rFonts w:ascii="Century Gothic" w:hAnsi="Century Gothic"/>
          <w:sz w:val="19"/>
          <w:szCs w:val="19"/>
        </w:rPr>
        <w:t>.</w:t>
      </w:r>
    </w:p>
    <w:p w:rsidR="0077655C" w:rsidRPr="00D10FAA" w:rsidRDefault="0077655C" w:rsidP="008B2892">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 xml:space="preserve">En 2019 se aprobaron 10 indicadores de pertinencia </w:t>
      </w:r>
      <w:r w:rsidR="003460EE">
        <w:rPr>
          <w:rFonts w:ascii="Century Gothic" w:hAnsi="Century Gothic"/>
          <w:sz w:val="19"/>
          <w:szCs w:val="19"/>
        </w:rPr>
        <w:t>y se inició su medición.</w:t>
      </w:r>
      <w:r w:rsidR="00C26967">
        <w:rPr>
          <w:rFonts w:ascii="Century Gothic" w:hAnsi="Century Gothic"/>
          <w:sz w:val="19"/>
          <w:szCs w:val="19"/>
        </w:rPr>
        <w:t xml:space="preserve">  Estos indicadores permiten conocer en qué medida los programas de información del INEGI </w:t>
      </w:r>
      <w:r w:rsidR="00FC0F47">
        <w:rPr>
          <w:rFonts w:ascii="Century Gothic" w:hAnsi="Century Gothic"/>
          <w:sz w:val="19"/>
          <w:szCs w:val="19"/>
        </w:rPr>
        <w:t xml:space="preserve">son utilizados </w:t>
      </w:r>
      <w:r w:rsidR="005A68FF">
        <w:rPr>
          <w:rFonts w:ascii="Century Gothic" w:hAnsi="Century Gothic"/>
          <w:sz w:val="19"/>
          <w:szCs w:val="19"/>
        </w:rPr>
        <w:t xml:space="preserve">como insumo para otros programas de información del </w:t>
      </w:r>
      <w:r w:rsidR="00F9585F">
        <w:rPr>
          <w:rFonts w:ascii="Century Gothic" w:hAnsi="Century Gothic"/>
          <w:sz w:val="19"/>
          <w:szCs w:val="19"/>
        </w:rPr>
        <w:t>propio Instituto</w:t>
      </w:r>
      <w:r w:rsidR="00FC0F47">
        <w:rPr>
          <w:rFonts w:ascii="Century Gothic" w:hAnsi="Century Gothic"/>
          <w:sz w:val="19"/>
          <w:szCs w:val="19"/>
        </w:rPr>
        <w:t xml:space="preserve">, para atender disposiciones legales, medir el </w:t>
      </w:r>
      <w:r w:rsidR="0009623E">
        <w:rPr>
          <w:rFonts w:ascii="Century Gothic" w:hAnsi="Century Gothic"/>
          <w:sz w:val="19"/>
          <w:szCs w:val="19"/>
        </w:rPr>
        <w:t xml:space="preserve">Desarrollo Nacional </w:t>
      </w:r>
      <w:r w:rsidR="00FC0F47">
        <w:rPr>
          <w:rFonts w:ascii="Century Gothic" w:hAnsi="Century Gothic"/>
          <w:sz w:val="19"/>
          <w:szCs w:val="19"/>
        </w:rPr>
        <w:t xml:space="preserve">o </w:t>
      </w:r>
      <w:r w:rsidR="005A68FF">
        <w:rPr>
          <w:rFonts w:ascii="Century Gothic" w:hAnsi="Century Gothic"/>
          <w:sz w:val="19"/>
          <w:szCs w:val="19"/>
        </w:rPr>
        <w:t xml:space="preserve">son directamente consultados por </w:t>
      </w:r>
      <w:r w:rsidR="00FC0F47">
        <w:rPr>
          <w:rFonts w:ascii="Century Gothic" w:hAnsi="Century Gothic"/>
          <w:sz w:val="19"/>
          <w:szCs w:val="19"/>
        </w:rPr>
        <w:t>los usuarios.</w:t>
      </w:r>
    </w:p>
    <w:p w:rsidR="00A805D4" w:rsidRPr="00D10FAA" w:rsidRDefault="00A805D4" w:rsidP="00A805D4">
      <w:pPr>
        <w:spacing w:after="120"/>
        <w:rPr>
          <w:rFonts w:ascii="Century Gothic" w:hAnsi="Century Gothic"/>
        </w:rPr>
      </w:pPr>
      <w:r w:rsidRPr="00D10FAA">
        <w:rPr>
          <w:rFonts w:ascii="Century Gothic" w:hAnsi="Century Gothic"/>
        </w:rPr>
        <w:t>Retos:</w:t>
      </w:r>
    </w:p>
    <w:p w:rsidR="00A805D4" w:rsidRPr="00D10FAA" w:rsidRDefault="00A55C9D" w:rsidP="00845D4D">
      <w:pPr>
        <w:numPr>
          <w:ilvl w:val="1"/>
          <w:numId w:val="1"/>
        </w:numPr>
        <w:tabs>
          <w:tab w:val="clear" w:pos="1440"/>
          <w:tab w:val="num" w:pos="284"/>
        </w:tabs>
        <w:spacing w:after="120"/>
        <w:ind w:left="284" w:hanging="284"/>
        <w:rPr>
          <w:rFonts w:ascii="Century Gothic" w:hAnsi="Century Gothic"/>
          <w:sz w:val="19"/>
          <w:szCs w:val="19"/>
        </w:rPr>
      </w:pPr>
      <w:r>
        <w:rPr>
          <w:rFonts w:ascii="Century Gothic" w:hAnsi="Century Gothic"/>
          <w:sz w:val="19"/>
          <w:szCs w:val="19"/>
        </w:rPr>
        <w:t>C</w:t>
      </w:r>
      <w:r w:rsidR="00845D4D" w:rsidRPr="00D10FAA">
        <w:rPr>
          <w:rFonts w:ascii="Century Gothic" w:hAnsi="Century Gothic"/>
          <w:sz w:val="19"/>
          <w:szCs w:val="19"/>
        </w:rPr>
        <w:t>onsolidar la medición y reporte sistemático</w:t>
      </w:r>
      <w:r w:rsidR="00A805D4" w:rsidRPr="00D10FAA">
        <w:rPr>
          <w:rFonts w:ascii="Century Gothic" w:hAnsi="Century Gothic"/>
          <w:sz w:val="19"/>
          <w:szCs w:val="19"/>
        </w:rPr>
        <w:t>s</w:t>
      </w:r>
      <w:r w:rsidR="00845D4D" w:rsidRPr="00D10FAA">
        <w:rPr>
          <w:rFonts w:ascii="Century Gothic" w:hAnsi="Century Gothic"/>
          <w:sz w:val="19"/>
          <w:szCs w:val="19"/>
        </w:rPr>
        <w:t xml:space="preserve"> de estos indicadores</w:t>
      </w:r>
      <w:r w:rsidR="00A805D4" w:rsidRPr="00D10FAA">
        <w:rPr>
          <w:rFonts w:ascii="Century Gothic" w:hAnsi="Century Gothic"/>
          <w:sz w:val="19"/>
          <w:szCs w:val="19"/>
        </w:rPr>
        <w:t>.</w:t>
      </w:r>
      <w:r w:rsidR="009A3491">
        <w:rPr>
          <w:rFonts w:ascii="Century Gothic" w:hAnsi="Century Gothic"/>
          <w:sz w:val="19"/>
          <w:szCs w:val="19"/>
        </w:rPr>
        <w:t xml:space="preserve"> Para lo cual deberá revisarse las fichas de los indicadores aprobados para homologar definiciones y universos de atención.</w:t>
      </w:r>
    </w:p>
    <w:p w:rsidR="00845D4D" w:rsidRDefault="00845D4D" w:rsidP="00845D4D">
      <w:pPr>
        <w:numPr>
          <w:ilvl w:val="1"/>
          <w:numId w:val="1"/>
        </w:numPr>
        <w:tabs>
          <w:tab w:val="clear" w:pos="1440"/>
          <w:tab w:val="num" w:pos="284"/>
        </w:tabs>
        <w:spacing w:after="120"/>
        <w:ind w:left="284" w:hanging="284"/>
        <w:rPr>
          <w:rFonts w:ascii="Century Gothic" w:hAnsi="Century Gothic"/>
          <w:sz w:val="19"/>
          <w:szCs w:val="19"/>
        </w:rPr>
      </w:pPr>
      <w:r w:rsidRPr="00D10FAA">
        <w:rPr>
          <w:rFonts w:ascii="Century Gothic" w:hAnsi="Century Gothic"/>
          <w:sz w:val="19"/>
          <w:szCs w:val="19"/>
        </w:rPr>
        <w:t>Los principios de calidad tienen como fin la satisfacción de las necesidades de información, por lo que es importante generar indicadores a partir de la opinión de los usuarios y en especial de los tomadores de decisiones.</w:t>
      </w:r>
    </w:p>
    <w:p w:rsidR="00E81495" w:rsidRDefault="00E81495" w:rsidP="00845D4D">
      <w:pPr>
        <w:numPr>
          <w:ilvl w:val="1"/>
          <w:numId w:val="1"/>
        </w:numPr>
        <w:tabs>
          <w:tab w:val="clear" w:pos="1440"/>
          <w:tab w:val="num" w:pos="284"/>
        </w:tabs>
        <w:spacing w:after="120"/>
        <w:ind w:left="284" w:hanging="284"/>
        <w:rPr>
          <w:rFonts w:ascii="Century Gothic" w:hAnsi="Century Gothic"/>
          <w:sz w:val="19"/>
          <w:szCs w:val="19"/>
        </w:rPr>
      </w:pPr>
      <w:r>
        <w:rPr>
          <w:rFonts w:ascii="Century Gothic" w:hAnsi="Century Gothic"/>
          <w:sz w:val="19"/>
          <w:szCs w:val="19"/>
        </w:rPr>
        <w:t>Es necesario reforzar el vínculo entre los productores de información y los principales usuarios</w:t>
      </w:r>
      <w:r w:rsidR="0009623E">
        <w:rPr>
          <w:rFonts w:ascii="Century Gothic" w:hAnsi="Century Gothic"/>
          <w:sz w:val="19"/>
          <w:szCs w:val="19"/>
        </w:rPr>
        <w:t xml:space="preserve"> para incrementar el uso de la información que se produce y, en su caso</w:t>
      </w:r>
      <w:r w:rsidR="00D5464C">
        <w:rPr>
          <w:rFonts w:ascii="Century Gothic" w:hAnsi="Century Gothic"/>
          <w:sz w:val="19"/>
          <w:szCs w:val="19"/>
        </w:rPr>
        <w:t>,</w:t>
      </w:r>
      <w:r w:rsidR="0009623E">
        <w:rPr>
          <w:rFonts w:ascii="Century Gothic" w:hAnsi="Century Gothic"/>
          <w:sz w:val="19"/>
          <w:szCs w:val="19"/>
        </w:rPr>
        <w:t xml:space="preserve"> adecuarla a las necesidades</w:t>
      </w:r>
      <w:r>
        <w:rPr>
          <w:rFonts w:ascii="Century Gothic" w:hAnsi="Century Gothic"/>
          <w:sz w:val="19"/>
          <w:szCs w:val="19"/>
        </w:rPr>
        <w:t>.</w:t>
      </w:r>
    </w:p>
    <w:tbl>
      <w:tblPr>
        <w:tblW w:w="10632" w:type="dxa"/>
        <w:jc w:val="center"/>
        <w:tblBorders>
          <w:insideH w:val="single" w:sz="36" w:space="0" w:color="FFFFFF" w:themeColor="background1"/>
        </w:tblBorders>
        <w:tblLook w:val="04A0" w:firstRow="1" w:lastRow="0" w:firstColumn="1" w:lastColumn="0" w:noHBand="0" w:noVBand="1"/>
      </w:tblPr>
      <w:tblGrid>
        <w:gridCol w:w="1702"/>
        <w:gridCol w:w="7938"/>
        <w:gridCol w:w="992"/>
      </w:tblGrid>
      <w:tr w:rsidR="006A3172" w:rsidRPr="00D10FAA" w:rsidTr="00B3382F">
        <w:trPr>
          <w:jc w:val="center"/>
        </w:trPr>
        <w:tc>
          <w:tcPr>
            <w:tcW w:w="1702" w:type="dxa"/>
            <w:tcBorders>
              <w:top w:val="nil"/>
            </w:tcBorders>
            <w:shd w:val="clear" w:color="auto" w:fill="C5EAFF"/>
            <w:vAlign w:val="center"/>
          </w:tcPr>
          <w:p w:rsidR="006A3172" w:rsidRPr="007A794A" w:rsidRDefault="006A3172" w:rsidP="00817951">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Accesibilidad</w:t>
            </w:r>
          </w:p>
        </w:tc>
        <w:tc>
          <w:tcPr>
            <w:tcW w:w="7938" w:type="dxa"/>
            <w:tcBorders>
              <w:top w:val="nil"/>
              <w:bottom w:val="single" w:sz="36" w:space="0" w:color="FFFFFF" w:themeColor="background1"/>
              <w:right w:val="single" w:sz="4" w:space="0" w:color="FFFFFF" w:themeColor="background1"/>
            </w:tcBorders>
            <w:shd w:val="clear" w:color="auto" w:fill="C5EAFF"/>
            <w:vAlign w:val="center"/>
          </w:tcPr>
          <w:p w:rsidR="006A3172" w:rsidRPr="001A2B0B" w:rsidRDefault="006A3172" w:rsidP="00A609A9">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ciclos de programas que publicaron metadatos documentados con base en un estándar internacional.</w:t>
            </w:r>
          </w:p>
        </w:tc>
        <w:tc>
          <w:tcPr>
            <w:tcW w:w="992"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rsidR="006A3172" w:rsidRPr="007A794A" w:rsidRDefault="006A3172" w:rsidP="00EE5A9B">
            <w:pPr>
              <w:spacing w:after="120"/>
              <w:jc w:val="center"/>
              <w:rPr>
                <w:rFonts w:ascii="Century Gothic" w:hAnsi="Century Gothic"/>
                <w:b/>
                <w:color w:val="1F3864" w:themeColor="accent5" w:themeShade="80"/>
                <w:sz w:val="24"/>
                <w:szCs w:val="18"/>
              </w:rPr>
            </w:pPr>
            <w:r w:rsidRPr="007A794A">
              <w:rPr>
                <w:rFonts w:ascii="Century Gothic" w:hAnsi="Century Gothic"/>
                <w:b/>
                <w:color w:val="1F3864" w:themeColor="accent5" w:themeShade="80"/>
                <w:sz w:val="24"/>
                <w:szCs w:val="18"/>
              </w:rPr>
              <w:t>9</w:t>
            </w:r>
            <w:r w:rsidR="00EE5A9B">
              <w:rPr>
                <w:rFonts w:ascii="Century Gothic" w:hAnsi="Century Gothic"/>
                <w:b/>
                <w:color w:val="1F3864" w:themeColor="accent5" w:themeShade="80"/>
                <w:sz w:val="24"/>
                <w:szCs w:val="18"/>
              </w:rPr>
              <w:t>2</w:t>
            </w:r>
            <w:r w:rsidRPr="007A794A">
              <w:rPr>
                <w:rFonts w:ascii="Century Gothic" w:hAnsi="Century Gothic"/>
                <w:b/>
                <w:color w:val="1F3864" w:themeColor="accent5" w:themeShade="80"/>
                <w:sz w:val="24"/>
                <w:szCs w:val="18"/>
              </w:rPr>
              <w:t>%</w:t>
            </w:r>
          </w:p>
        </w:tc>
      </w:tr>
      <w:tr w:rsidR="006A3172" w:rsidRPr="00D10FAA" w:rsidTr="00B3382F">
        <w:trPr>
          <w:jc w:val="center"/>
        </w:trPr>
        <w:tc>
          <w:tcPr>
            <w:tcW w:w="1702" w:type="dxa"/>
            <w:shd w:val="clear" w:color="auto" w:fill="C5EAFF"/>
            <w:vAlign w:val="center"/>
          </w:tcPr>
          <w:p w:rsidR="006A3172" w:rsidRPr="007A794A" w:rsidRDefault="006A3172" w:rsidP="00817951">
            <w:pPr>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Puntualidad</w:t>
            </w:r>
          </w:p>
        </w:tc>
        <w:tc>
          <w:tcPr>
            <w:tcW w:w="7938" w:type="dxa"/>
            <w:tcBorders>
              <w:top w:val="single" w:sz="36" w:space="0" w:color="FFFFFF" w:themeColor="background1"/>
              <w:bottom w:val="single" w:sz="4" w:space="0" w:color="C5EAFF"/>
              <w:right w:val="single" w:sz="4" w:space="0" w:color="FFFFFF" w:themeColor="background1"/>
            </w:tcBorders>
            <w:shd w:val="clear" w:color="auto" w:fill="C5EAFF"/>
            <w:vAlign w:val="center"/>
          </w:tcPr>
          <w:p w:rsidR="006A3172" w:rsidRPr="001A2B0B" w:rsidRDefault="006A3172" w:rsidP="00B3382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programas publicados en el sitio del INEGI cuya fecha de publicación se comprometió en el Calendario de difusión aprobado en diciembre del año anterior.</w:t>
            </w:r>
          </w:p>
        </w:tc>
        <w:tc>
          <w:tcPr>
            <w:tcW w:w="992"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rsidR="006A3172" w:rsidRPr="007A794A" w:rsidRDefault="006A3172" w:rsidP="00817951">
            <w:pPr>
              <w:spacing w:after="120"/>
              <w:jc w:val="center"/>
              <w:rPr>
                <w:rFonts w:ascii="Century Gothic" w:hAnsi="Century Gothic"/>
                <w:b/>
                <w:color w:val="1F3864" w:themeColor="accent5" w:themeShade="80"/>
                <w:sz w:val="24"/>
                <w:szCs w:val="18"/>
              </w:rPr>
            </w:pPr>
            <w:r w:rsidRPr="007A794A">
              <w:rPr>
                <w:rFonts w:ascii="Century Gothic" w:hAnsi="Century Gothic"/>
                <w:b/>
                <w:color w:val="1F3864" w:themeColor="accent5" w:themeShade="80"/>
                <w:sz w:val="24"/>
                <w:szCs w:val="18"/>
              </w:rPr>
              <w:t>97%</w:t>
            </w:r>
          </w:p>
        </w:tc>
      </w:tr>
      <w:tr w:rsidR="006A3172" w:rsidRPr="00D10FAA" w:rsidTr="00B3382F">
        <w:trPr>
          <w:jc w:val="center"/>
        </w:trPr>
        <w:tc>
          <w:tcPr>
            <w:tcW w:w="1702" w:type="dxa"/>
            <w:shd w:val="clear" w:color="auto" w:fill="C5EAFF"/>
            <w:vAlign w:val="center"/>
          </w:tcPr>
          <w:p w:rsidR="006A3172" w:rsidRPr="007A794A" w:rsidRDefault="006A3172" w:rsidP="009F3663">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Oportunidad</w:t>
            </w:r>
          </w:p>
        </w:tc>
        <w:tc>
          <w:tcPr>
            <w:tcW w:w="7938" w:type="dxa"/>
            <w:tcBorders>
              <w:top w:val="single" w:sz="36" w:space="0" w:color="FFFFFF" w:themeColor="background1"/>
              <w:bottom w:val="single" w:sz="36" w:space="0" w:color="FFFFFF" w:themeColor="background1"/>
              <w:right w:val="single" w:sz="4" w:space="0" w:color="FFFFFF" w:themeColor="background1"/>
            </w:tcBorders>
            <w:shd w:val="clear" w:color="auto" w:fill="C5EAFF"/>
            <w:vAlign w:val="center"/>
          </w:tcPr>
          <w:p w:rsidR="006A3172" w:rsidRPr="001A2B0B" w:rsidRDefault="006A3172" w:rsidP="00B3382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programas de información publicados que cumplen con el parámetro de oportunidad definido.</w:t>
            </w:r>
          </w:p>
        </w:tc>
        <w:tc>
          <w:tcPr>
            <w:tcW w:w="992"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rsidR="006A3172" w:rsidRPr="007A794A" w:rsidRDefault="006A3172" w:rsidP="00C36123">
            <w:pPr>
              <w:spacing w:after="120"/>
              <w:jc w:val="center"/>
              <w:rPr>
                <w:rFonts w:ascii="Century Gothic" w:hAnsi="Century Gothic"/>
                <w:b/>
                <w:color w:val="1F3864" w:themeColor="accent5" w:themeShade="80"/>
                <w:sz w:val="24"/>
                <w:szCs w:val="18"/>
              </w:rPr>
            </w:pPr>
            <w:r>
              <w:rPr>
                <w:rFonts w:ascii="Century Gothic" w:hAnsi="Century Gothic"/>
                <w:b/>
                <w:color w:val="1F3864" w:themeColor="accent5" w:themeShade="80"/>
                <w:sz w:val="24"/>
                <w:szCs w:val="18"/>
              </w:rPr>
              <w:t>70%</w:t>
            </w:r>
          </w:p>
        </w:tc>
      </w:tr>
      <w:tr w:rsidR="006A3172" w:rsidRPr="00D10FAA" w:rsidTr="00B3382F">
        <w:trPr>
          <w:jc w:val="center"/>
        </w:trPr>
        <w:tc>
          <w:tcPr>
            <w:tcW w:w="1702" w:type="dxa"/>
            <w:shd w:val="clear" w:color="auto" w:fill="C5EAFF"/>
            <w:vAlign w:val="center"/>
          </w:tcPr>
          <w:p w:rsidR="006A3172" w:rsidRPr="007A794A" w:rsidRDefault="006A3172" w:rsidP="005D771D">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Pertinencia</w:t>
            </w:r>
          </w:p>
        </w:tc>
        <w:tc>
          <w:tcPr>
            <w:tcW w:w="7938" w:type="dxa"/>
            <w:tcBorders>
              <w:top w:val="single" w:sz="36" w:space="0" w:color="FFFFFF" w:themeColor="background1"/>
              <w:bottom w:val="single" w:sz="8" w:space="0" w:color="FFFFFF" w:themeColor="background1"/>
              <w:right w:val="single" w:sz="4" w:space="0" w:color="FFFFFF" w:themeColor="background1"/>
            </w:tcBorders>
            <w:shd w:val="clear" w:color="auto" w:fill="C5EAFF"/>
            <w:vAlign w:val="center"/>
          </w:tcPr>
          <w:p w:rsidR="006A3172" w:rsidRPr="001A2B0B" w:rsidRDefault="006A3172" w:rsidP="00B3382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Programas de información estadística y geográfica del INEGI utilizados en la atención de disposiciones legales y medición del Desarrollo Nacional.</w:t>
            </w:r>
          </w:p>
        </w:tc>
        <w:tc>
          <w:tcPr>
            <w:tcW w:w="992"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rsidR="006A3172" w:rsidRPr="007A794A" w:rsidRDefault="006A3172" w:rsidP="00647A75">
            <w:pPr>
              <w:spacing w:after="120"/>
              <w:jc w:val="center"/>
              <w:rPr>
                <w:rFonts w:ascii="Century Gothic" w:hAnsi="Century Gothic"/>
                <w:b/>
                <w:color w:val="1F3864" w:themeColor="accent5" w:themeShade="80"/>
                <w:sz w:val="28"/>
                <w:szCs w:val="18"/>
              </w:rPr>
            </w:pPr>
            <w:r w:rsidRPr="007A794A">
              <w:rPr>
                <w:rFonts w:ascii="Century Gothic" w:hAnsi="Century Gothic"/>
                <w:b/>
                <w:color w:val="1F3864" w:themeColor="accent5" w:themeShade="80"/>
                <w:sz w:val="24"/>
                <w:szCs w:val="18"/>
              </w:rPr>
              <w:t>7</w:t>
            </w:r>
            <w:r w:rsidR="00647A75">
              <w:rPr>
                <w:rFonts w:ascii="Century Gothic" w:hAnsi="Century Gothic"/>
                <w:b/>
                <w:color w:val="1F3864" w:themeColor="accent5" w:themeShade="80"/>
                <w:sz w:val="24"/>
                <w:szCs w:val="18"/>
              </w:rPr>
              <w:t>6</w:t>
            </w:r>
            <w:r w:rsidRPr="007A794A">
              <w:rPr>
                <w:rFonts w:ascii="Century Gothic" w:hAnsi="Century Gothic"/>
                <w:b/>
                <w:color w:val="1F3864" w:themeColor="accent5" w:themeShade="80"/>
                <w:sz w:val="24"/>
                <w:szCs w:val="18"/>
              </w:rPr>
              <w:t>%</w:t>
            </w:r>
          </w:p>
        </w:tc>
      </w:tr>
    </w:tbl>
    <w:p w:rsidR="00322818" w:rsidRPr="00D10FAA" w:rsidRDefault="00322818">
      <w:pPr>
        <w:rPr>
          <w:rFonts w:ascii="Century Gothic" w:hAnsi="Century Gothic"/>
        </w:rPr>
      </w:pPr>
      <w:r w:rsidRPr="00D10FAA">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4"/>
                <w:szCs w:val="32"/>
              </w:rPr>
            </w:pPr>
          </w:p>
        </w:tc>
        <w:tc>
          <w:tcPr>
            <w:tcW w:w="7513" w:type="dxa"/>
            <w:shd w:val="clear" w:color="auto" w:fill="0079BF"/>
          </w:tcPr>
          <w:p w:rsidR="00B93248" w:rsidRPr="0022505B" w:rsidRDefault="00B93248" w:rsidP="008D0572">
            <w:pPr>
              <w:rPr>
                <w:rFonts w:cstheme="minorHAnsi"/>
                <w:color w:val="FFFFFF" w:themeColor="background1"/>
                <w:sz w:val="14"/>
                <w:szCs w:val="32"/>
              </w:rPr>
            </w:pPr>
          </w:p>
        </w:tc>
      </w:tr>
      <w:tr w:rsidR="00B93248" w:rsidRPr="0022505B" w:rsidTr="008D0572">
        <w:trPr>
          <w:trHeight w:val="201"/>
        </w:trPr>
        <w:tc>
          <w:tcPr>
            <w:tcW w:w="12333" w:type="dxa"/>
            <w:gridSpan w:val="2"/>
            <w:shd w:val="clear" w:color="auto" w:fill="auto"/>
          </w:tcPr>
          <w:p w:rsidR="00B93248" w:rsidRPr="00613C02" w:rsidRDefault="00B93248" w:rsidP="00882081">
            <w:pPr>
              <w:spacing w:after="0"/>
              <w:jc w:val="center"/>
              <w:rPr>
                <w:rFonts w:cstheme="minorHAnsi"/>
                <w:color w:val="000000" w:themeColor="text1"/>
                <w:sz w:val="32"/>
                <w:szCs w:val="32"/>
              </w:rPr>
            </w:pPr>
            <w:r>
              <w:rPr>
                <w:rFonts w:cstheme="minorHAnsi"/>
                <w:color w:val="000000" w:themeColor="text1"/>
                <w:sz w:val="32"/>
                <w:szCs w:val="32"/>
              </w:rPr>
              <w:t xml:space="preserve">                INDICADORES DE CALIDAD</w:t>
            </w:r>
          </w:p>
        </w:tc>
      </w:tr>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2"/>
                <w:szCs w:val="32"/>
              </w:rPr>
            </w:pPr>
          </w:p>
        </w:tc>
        <w:tc>
          <w:tcPr>
            <w:tcW w:w="7513" w:type="dxa"/>
            <w:shd w:val="clear" w:color="auto" w:fill="0079BF"/>
          </w:tcPr>
          <w:p w:rsidR="00B93248" w:rsidRPr="0022505B" w:rsidRDefault="00B93248" w:rsidP="008D0572">
            <w:pPr>
              <w:rPr>
                <w:rFonts w:cstheme="minorHAnsi"/>
                <w:color w:val="FFFFFF" w:themeColor="background1"/>
                <w:sz w:val="12"/>
                <w:szCs w:val="32"/>
              </w:rPr>
            </w:pPr>
          </w:p>
        </w:tc>
      </w:tr>
    </w:tbl>
    <w:p w:rsidR="00B93248" w:rsidRDefault="00B93248" w:rsidP="00262500">
      <w:pPr>
        <w:spacing w:after="0"/>
        <w:rPr>
          <w:rFonts w:ascii="Century Gothic" w:hAnsi="Century Gothic"/>
          <w:b/>
          <w:sz w:val="18"/>
        </w:rPr>
      </w:pPr>
    </w:p>
    <w:tbl>
      <w:tblPr>
        <w:tblW w:w="0" w:type="auto"/>
        <w:jc w:val="center"/>
        <w:tblLook w:val="04A0" w:firstRow="1" w:lastRow="0" w:firstColumn="1" w:lastColumn="0" w:noHBand="0" w:noVBand="1"/>
      </w:tblPr>
      <w:tblGrid>
        <w:gridCol w:w="5038"/>
        <w:gridCol w:w="5038"/>
      </w:tblGrid>
      <w:tr w:rsidR="00C20A7B" w:rsidTr="00647A75">
        <w:trPr>
          <w:jc w:val="center"/>
        </w:trPr>
        <w:tc>
          <w:tcPr>
            <w:tcW w:w="10076" w:type="dxa"/>
            <w:gridSpan w:val="2"/>
            <w:shd w:val="clear" w:color="auto" w:fill="C5EAFF"/>
          </w:tcPr>
          <w:p w:rsidR="00C20A7B" w:rsidRDefault="00C20A7B" w:rsidP="00647A75">
            <w:pPr>
              <w:spacing w:after="120"/>
              <w:jc w:val="center"/>
              <w:rPr>
                <w:rFonts w:ascii="Century Gothic" w:hAnsi="Century Gothic"/>
                <w:b/>
                <w:color w:val="404040" w:themeColor="text1" w:themeTint="BF"/>
                <w:sz w:val="18"/>
              </w:rPr>
            </w:pPr>
            <w:r w:rsidRPr="0006275D">
              <w:rPr>
                <w:rFonts w:ascii="Century Gothic" w:hAnsi="Century Gothic"/>
                <w:b/>
                <w:color w:val="404040" w:themeColor="text1" w:themeTint="BF"/>
                <w:sz w:val="18"/>
              </w:rPr>
              <w:t>PRINCIPIO DE VERACIDAD</w:t>
            </w:r>
          </w:p>
          <w:p w:rsidR="00C20A7B" w:rsidRDefault="00C20A7B" w:rsidP="00647A75">
            <w:pPr>
              <w:spacing w:after="120"/>
              <w:jc w:val="center"/>
              <w:rPr>
                <w:rFonts w:ascii="Century Gothic" w:hAnsi="Century Gothic"/>
                <w:color w:val="404040" w:themeColor="text1" w:themeTint="BF"/>
                <w:sz w:val="16"/>
              </w:rPr>
            </w:pPr>
            <w:r w:rsidRPr="0006275D">
              <w:rPr>
                <w:rFonts w:ascii="Century Gothic" w:hAnsi="Century Gothic"/>
                <w:color w:val="404040" w:themeColor="text1" w:themeTint="BF"/>
                <w:sz w:val="18"/>
              </w:rPr>
              <w:t>La información representa la realidad de manera adecuada. Se subdivide en:</w:t>
            </w:r>
          </w:p>
        </w:tc>
      </w:tr>
      <w:tr w:rsidR="00C20A7B" w:rsidTr="00647A75">
        <w:trPr>
          <w:jc w:val="center"/>
        </w:trPr>
        <w:tc>
          <w:tcPr>
            <w:tcW w:w="5038" w:type="dxa"/>
            <w:shd w:val="clear" w:color="auto" w:fill="C5EAFF"/>
          </w:tcPr>
          <w:p w:rsidR="00C20A7B" w:rsidRPr="00C20A7B" w:rsidRDefault="00C20A7B" w:rsidP="00C20A7B">
            <w:pPr>
              <w:pStyle w:val="Prrafodelista"/>
              <w:numPr>
                <w:ilvl w:val="0"/>
                <w:numId w:val="41"/>
              </w:numPr>
              <w:spacing w:after="120"/>
              <w:rPr>
                <w:rFonts w:ascii="Century Gothic" w:hAnsi="Century Gothic"/>
                <w:color w:val="404040" w:themeColor="text1" w:themeTint="BF"/>
                <w:sz w:val="16"/>
              </w:rPr>
            </w:pPr>
            <w:r w:rsidRPr="00C20A7B">
              <w:rPr>
                <w:rFonts w:ascii="Century Gothic" w:hAnsi="Century Gothic"/>
                <w:color w:val="404040" w:themeColor="text1" w:themeTint="BF"/>
                <w:sz w:val="18"/>
              </w:rPr>
              <w:t>Precisión y confiabilidad estadística</w:t>
            </w:r>
          </w:p>
        </w:tc>
        <w:tc>
          <w:tcPr>
            <w:tcW w:w="5038" w:type="dxa"/>
            <w:shd w:val="clear" w:color="auto" w:fill="C5EAFF"/>
          </w:tcPr>
          <w:p w:rsidR="00C20A7B" w:rsidRPr="00C20A7B" w:rsidRDefault="00C20A7B" w:rsidP="00C20A7B">
            <w:pPr>
              <w:pStyle w:val="Prrafodelista"/>
              <w:numPr>
                <w:ilvl w:val="0"/>
                <w:numId w:val="41"/>
              </w:numPr>
              <w:spacing w:after="120"/>
              <w:rPr>
                <w:rFonts w:ascii="Century Gothic" w:hAnsi="Century Gothic"/>
                <w:color w:val="404040" w:themeColor="text1" w:themeTint="BF"/>
                <w:sz w:val="16"/>
              </w:rPr>
            </w:pPr>
            <w:r w:rsidRPr="00C20A7B">
              <w:rPr>
                <w:rFonts w:ascii="Century Gothic" w:hAnsi="Century Gothic"/>
                <w:color w:val="404040" w:themeColor="text1" w:themeTint="BF"/>
                <w:sz w:val="18"/>
              </w:rPr>
              <w:t>Exactitud y completitud geográfica</w:t>
            </w:r>
          </w:p>
        </w:tc>
      </w:tr>
    </w:tbl>
    <w:p w:rsidR="00383393" w:rsidRPr="00D10FAA" w:rsidRDefault="00383393" w:rsidP="00262500">
      <w:pPr>
        <w:spacing w:before="120" w:after="120"/>
        <w:rPr>
          <w:rFonts w:ascii="Century Gothic" w:hAnsi="Century Gothic"/>
        </w:rPr>
      </w:pPr>
      <w:r w:rsidRPr="00D10FAA">
        <w:rPr>
          <w:rFonts w:ascii="Century Gothic" w:hAnsi="Century Gothic"/>
        </w:rPr>
        <w:t>Avances:</w:t>
      </w:r>
    </w:p>
    <w:p w:rsidR="002D4B6C" w:rsidRDefault="002D4B6C" w:rsidP="002D4B6C">
      <w:pPr>
        <w:numPr>
          <w:ilvl w:val="1"/>
          <w:numId w:val="1"/>
        </w:numPr>
        <w:tabs>
          <w:tab w:val="clear" w:pos="1440"/>
          <w:tab w:val="num" w:pos="284"/>
        </w:tabs>
        <w:spacing w:after="100"/>
        <w:ind w:left="284" w:hanging="284"/>
        <w:jc w:val="both"/>
        <w:rPr>
          <w:rFonts w:ascii="Century Gothic" w:hAnsi="Century Gothic"/>
          <w:sz w:val="19"/>
          <w:szCs w:val="19"/>
        </w:rPr>
      </w:pPr>
      <w:r>
        <w:rPr>
          <w:rFonts w:ascii="Century Gothic" w:hAnsi="Century Gothic"/>
          <w:sz w:val="19"/>
          <w:szCs w:val="19"/>
        </w:rPr>
        <w:t>S</w:t>
      </w:r>
      <w:r w:rsidRPr="00D10FAA">
        <w:rPr>
          <w:rFonts w:ascii="Century Gothic" w:hAnsi="Century Gothic"/>
          <w:sz w:val="19"/>
          <w:szCs w:val="19"/>
        </w:rPr>
        <w:t>e han aprobado 1</w:t>
      </w:r>
      <w:r>
        <w:rPr>
          <w:rFonts w:ascii="Century Gothic" w:hAnsi="Century Gothic"/>
          <w:sz w:val="19"/>
          <w:szCs w:val="19"/>
        </w:rPr>
        <w:t>5</w:t>
      </w:r>
      <w:r w:rsidRPr="00D10FAA">
        <w:rPr>
          <w:rFonts w:ascii="Century Gothic" w:hAnsi="Century Gothic"/>
          <w:sz w:val="19"/>
          <w:szCs w:val="19"/>
        </w:rPr>
        <w:t xml:space="preserve"> indicadores de precisión y confiabilidad: </w:t>
      </w:r>
      <w:r w:rsidR="00137118">
        <w:rPr>
          <w:rFonts w:ascii="Century Gothic" w:hAnsi="Century Gothic"/>
          <w:sz w:val="19"/>
          <w:szCs w:val="19"/>
        </w:rPr>
        <w:t>4</w:t>
      </w:r>
      <w:r w:rsidRPr="00D10FAA">
        <w:rPr>
          <w:rFonts w:ascii="Century Gothic" w:hAnsi="Century Gothic"/>
          <w:sz w:val="19"/>
          <w:szCs w:val="19"/>
        </w:rPr>
        <w:t>para encuestas con muestreo probabilístico</w:t>
      </w:r>
      <w:r>
        <w:rPr>
          <w:rFonts w:ascii="Century Gothic" w:hAnsi="Century Gothic"/>
          <w:sz w:val="19"/>
          <w:szCs w:val="19"/>
        </w:rPr>
        <w:t xml:space="preserve"> y</w:t>
      </w:r>
      <w:r w:rsidRPr="00D10FAA">
        <w:rPr>
          <w:rFonts w:ascii="Century Gothic" w:hAnsi="Century Gothic"/>
          <w:sz w:val="19"/>
          <w:szCs w:val="19"/>
        </w:rPr>
        <w:t xml:space="preserve"> no probabilístico</w:t>
      </w:r>
      <w:r>
        <w:rPr>
          <w:rFonts w:ascii="Century Gothic" w:hAnsi="Century Gothic"/>
          <w:sz w:val="19"/>
          <w:szCs w:val="19"/>
        </w:rPr>
        <w:t xml:space="preserve">, </w:t>
      </w:r>
      <w:r w:rsidR="00137118">
        <w:rPr>
          <w:rFonts w:ascii="Century Gothic" w:hAnsi="Century Gothic"/>
          <w:sz w:val="19"/>
          <w:szCs w:val="19"/>
        </w:rPr>
        <w:t xml:space="preserve">4 </w:t>
      </w:r>
      <w:r>
        <w:rPr>
          <w:rFonts w:ascii="Century Gothic" w:hAnsi="Century Gothic"/>
          <w:sz w:val="19"/>
          <w:szCs w:val="19"/>
        </w:rPr>
        <w:t xml:space="preserve">exclusivos para encuestas con muestreo probabilístico, </w:t>
      </w:r>
      <w:r w:rsidR="00137118">
        <w:rPr>
          <w:rFonts w:ascii="Century Gothic" w:hAnsi="Century Gothic"/>
          <w:sz w:val="19"/>
          <w:szCs w:val="19"/>
        </w:rPr>
        <w:t xml:space="preserve">1 exclusivo para encuestas con muestreo no probabilístico, </w:t>
      </w:r>
      <w:r>
        <w:rPr>
          <w:rFonts w:ascii="Century Gothic" w:hAnsi="Century Gothic"/>
          <w:sz w:val="19"/>
          <w:szCs w:val="19"/>
        </w:rPr>
        <w:t>3</w:t>
      </w:r>
      <w:r w:rsidRPr="00D10FAA">
        <w:rPr>
          <w:rFonts w:ascii="Century Gothic" w:hAnsi="Century Gothic"/>
          <w:sz w:val="19"/>
          <w:szCs w:val="19"/>
        </w:rPr>
        <w:t xml:space="preserve"> para información geográfica</w:t>
      </w:r>
      <w:r>
        <w:rPr>
          <w:rFonts w:ascii="Century Gothic" w:hAnsi="Century Gothic"/>
          <w:sz w:val="19"/>
          <w:szCs w:val="19"/>
        </w:rPr>
        <w:t xml:space="preserve"> y 3 para programas cuya fuente son únicamente registros administrativos</w:t>
      </w:r>
      <w:r w:rsidR="007746A4">
        <w:rPr>
          <w:rFonts w:ascii="Century Gothic" w:hAnsi="Century Gothic"/>
          <w:sz w:val="19"/>
          <w:szCs w:val="19"/>
        </w:rPr>
        <w:t>.</w:t>
      </w:r>
    </w:p>
    <w:p w:rsidR="00454DFA" w:rsidRPr="00137118" w:rsidRDefault="00454DFA" w:rsidP="002D4B6C">
      <w:pPr>
        <w:numPr>
          <w:ilvl w:val="1"/>
          <w:numId w:val="1"/>
        </w:numPr>
        <w:tabs>
          <w:tab w:val="clear" w:pos="1440"/>
          <w:tab w:val="num" w:pos="284"/>
        </w:tabs>
        <w:spacing w:after="100"/>
        <w:ind w:left="284" w:hanging="284"/>
        <w:jc w:val="both"/>
        <w:rPr>
          <w:rFonts w:ascii="Century Gothic" w:hAnsi="Century Gothic"/>
          <w:sz w:val="19"/>
          <w:szCs w:val="19"/>
        </w:rPr>
      </w:pPr>
      <w:r w:rsidRPr="00137118">
        <w:rPr>
          <w:rFonts w:ascii="Century Gothic" w:hAnsi="Century Gothic"/>
          <w:sz w:val="19"/>
          <w:szCs w:val="19"/>
        </w:rPr>
        <w:t xml:space="preserve">Destaca el </w:t>
      </w:r>
      <w:r w:rsidR="00C2621C" w:rsidRPr="00137118">
        <w:rPr>
          <w:rFonts w:ascii="Century Gothic" w:hAnsi="Century Gothic"/>
          <w:sz w:val="19"/>
          <w:szCs w:val="19"/>
        </w:rPr>
        <w:t xml:space="preserve">aumento en el </w:t>
      </w:r>
      <w:r w:rsidRPr="00137118">
        <w:rPr>
          <w:rFonts w:ascii="Century Gothic" w:hAnsi="Century Gothic"/>
          <w:sz w:val="19"/>
          <w:szCs w:val="19"/>
        </w:rPr>
        <w:t xml:space="preserve">reporte de los indicadores de precisión de uso </w:t>
      </w:r>
      <w:r w:rsidR="00C2621C" w:rsidRPr="00137118">
        <w:rPr>
          <w:rFonts w:ascii="Century Gothic" w:hAnsi="Century Gothic"/>
          <w:sz w:val="19"/>
          <w:szCs w:val="19"/>
        </w:rPr>
        <w:t>interno</w:t>
      </w:r>
      <w:r w:rsidRPr="00137118">
        <w:rPr>
          <w:rFonts w:ascii="Century Gothic" w:hAnsi="Century Gothic"/>
          <w:sz w:val="19"/>
          <w:szCs w:val="19"/>
        </w:rPr>
        <w:t xml:space="preserve"> en encuestas</w:t>
      </w:r>
      <w:r w:rsidR="007746A4" w:rsidRPr="00137118">
        <w:rPr>
          <w:rFonts w:ascii="Century Gothic" w:hAnsi="Century Gothic"/>
          <w:sz w:val="19"/>
          <w:szCs w:val="19"/>
        </w:rPr>
        <w:t xml:space="preserve"> que pasó</w:t>
      </w:r>
      <w:r w:rsidRPr="00137118">
        <w:rPr>
          <w:rFonts w:ascii="Century Gothic" w:hAnsi="Century Gothic"/>
          <w:sz w:val="19"/>
          <w:szCs w:val="19"/>
        </w:rPr>
        <w:t xml:space="preserve"> de 20%</w:t>
      </w:r>
      <w:r w:rsidR="00C2621C" w:rsidRPr="00137118">
        <w:rPr>
          <w:rFonts w:ascii="Century Gothic" w:hAnsi="Century Gothic"/>
          <w:sz w:val="19"/>
          <w:szCs w:val="19"/>
        </w:rPr>
        <w:t xml:space="preserve"> en 2018</w:t>
      </w:r>
      <w:r w:rsidRPr="00137118">
        <w:rPr>
          <w:rFonts w:ascii="Century Gothic" w:hAnsi="Century Gothic"/>
          <w:sz w:val="19"/>
          <w:szCs w:val="19"/>
        </w:rPr>
        <w:t xml:space="preserve"> a 81%</w:t>
      </w:r>
      <w:r w:rsidR="00C2621C" w:rsidRPr="00137118">
        <w:rPr>
          <w:rFonts w:ascii="Century Gothic" w:hAnsi="Century Gothic"/>
          <w:sz w:val="19"/>
          <w:szCs w:val="19"/>
        </w:rPr>
        <w:t xml:space="preserve"> en 2019</w:t>
      </w:r>
      <w:r w:rsidR="000A4D31" w:rsidRPr="00137118">
        <w:rPr>
          <w:rFonts w:ascii="Century Gothic" w:hAnsi="Century Gothic"/>
          <w:sz w:val="19"/>
          <w:szCs w:val="19"/>
        </w:rPr>
        <w:t>, aunque se mantiene el reto de que sean reportados dentro de los 30 días posteriores a la publicación de los datos</w:t>
      </w:r>
      <w:r w:rsidRPr="00137118">
        <w:rPr>
          <w:rFonts w:ascii="Century Gothic" w:hAnsi="Century Gothic"/>
          <w:sz w:val="19"/>
          <w:szCs w:val="19"/>
        </w:rPr>
        <w:t>.</w:t>
      </w:r>
    </w:p>
    <w:p w:rsidR="00355B39" w:rsidRDefault="008D59A2" w:rsidP="00355B39">
      <w:pPr>
        <w:numPr>
          <w:ilvl w:val="1"/>
          <w:numId w:val="1"/>
        </w:numPr>
        <w:tabs>
          <w:tab w:val="clear" w:pos="1440"/>
          <w:tab w:val="num" w:pos="284"/>
        </w:tabs>
        <w:spacing w:after="100"/>
        <w:ind w:left="284" w:hanging="284"/>
        <w:jc w:val="both"/>
        <w:rPr>
          <w:rFonts w:ascii="Century Gothic" w:hAnsi="Century Gothic"/>
          <w:sz w:val="19"/>
          <w:szCs w:val="19"/>
        </w:rPr>
      </w:pPr>
      <w:r>
        <w:rPr>
          <w:rFonts w:ascii="Century Gothic" w:hAnsi="Century Gothic"/>
          <w:sz w:val="19"/>
          <w:szCs w:val="19"/>
        </w:rPr>
        <w:t xml:space="preserve">En 2019 no se avanzó en la medición del </w:t>
      </w:r>
      <w:r w:rsidRPr="00E60514">
        <w:rPr>
          <w:rFonts w:ascii="Century Gothic" w:hAnsi="Century Gothic"/>
          <w:sz w:val="19"/>
          <w:szCs w:val="19"/>
        </w:rPr>
        <w:t>error medio cuadrático planimétrico y el error medio cuadrático vertical</w:t>
      </w:r>
      <w:r>
        <w:rPr>
          <w:rFonts w:ascii="Century Gothic" w:hAnsi="Century Gothic"/>
          <w:sz w:val="19"/>
          <w:szCs w:val="19"/>
        </w:rPr>
        <w:t xml:space="preserve"> debido a que </w:t>
      </w:r>
      <w:r w:rsidRPr="00E60514">
        <w:rPr>
          <w:rFonts w:ascii="Century Gothic" w:hAnsi="Century Gothic"/>
          <w:sz w:val="19"/>
          <w:szCs w:val="19"/>
        </w:rPr>
        <w:t>se evaluó la utilización de un grupo de puntos de control obtenidos a partir de una muestra cercana a las Coordinaciones Estatales del INEGI e integrados en una Red de Puntos para Evaluaciones de Calidad (REPEC)</w:t>
      </w:r>
      <w:r>
        <w:rPr>
          <w:rFonts w:ascii="Century Gothic" w:hAnsi="Century Gothic"/>
          <w:sz w:val="19"/>
          <w:szCs w:val="19"/>
        </w:rPr>
        <w:t>.  Se</w:t>
      </w:r>
      <w:r w:rsidR="007746A4">
        <w:rPr>
          <w:rFonts w:ascii="Century Gothic" w:hAnsi="Century Gothic"/>
          <w:sz w:val="19"/>
          <w:szCs w:val="19"/>
        </w:rPr>
        <w:t xml:space="preserve"> tomó la decisión de no generalizar la evaluación hasta tener los resultados de una nueva</w:t>
      </w:r>
      <w:r>
        <w:rPr>
          <w:rFonts w:ascii="Century Gothic" w:hAnsi="Century Gothic"/>
          <w:sz w:val="19"/>
          <w:szCs w:val="19"/>
        </w:rPr>
        <w:t xml:space="preserve"> prueba piloto para evaluar la mejor forma de </w:t>
      </w:r>
      <w:r w:rsidRPr="00E60514">
        <w:rPr>
          <w:rFonts w:ascii="Century Gothic" w:hAnsi="Century Gothic"/>
          <w:sz w:val="19"/>
          <w:szCs w:val="19"/>
        </w:rPr>
        <w:t xml:space="preserve">obtener </w:t>
      </w:r>
      <w:r w:rsidR="007746A4">
        <w:rPr>
          <w:rFonts w:ascii="Century Gothic" w:hAnsi="Century Gothic"/>
          <w:sz w:val="19"/>
          <w:szCs w:val="19"/>
        </w:rPr>
        <w:t>los</w:t>
      </w:r>
      <w:r w:rsidRPr="00E60514">
        <w:rPr>
          <w:rFonts w:ascii="Century Gothic" w:hAnsi="Century Gothic"/>
          <w:sz w:val="19"/>
          <w:szCs w:val="19"/>
        </w:rPr>
        <w:t xml:space="preserve"> puntos de control</w:t>
      </w:r>
      <w:r>
        <w:rPr>
          <w:rFonts w:ascii="Century Gothic" w:hAnsi="Century Gothic"/>
          <w:sz w:val="19"/>
          <w:szCs w:val="19"/>
        </w:rPr>
        <w:t>.</w:t>
      </w:r>
    </w:p>
    <w:p w:rsidR="00355B39" w:rsidRPr="00355B39" w:rsidRDefault="005E6023" w:rsidP="00355B39">
      <w:pPr>
        <w:numPr>
          <w:ilvl w:val="1"/>
          <w:numId w:val="1"/>
        </w:numPr>
        <w:tabs>
          <w:tab w:val="clear" w:pos="1440"/>
          <w:tab w:val="num" w:pos="284"/>
        </w:tabs>
        <w:spacing w:after="100"/>
        <w:ind w:left="284" w:hanging="284"/>
        <w:jc w:val="both"/>
        <w:rPr>
          <w:rFonts w:ascii="Century Gothic" w:hAnsi="Century Gothic"/>
          <w:sz w:val="19"/>
          <w:szCs w:val="19"/>
        </w:rPr>
      </w:pPr>
      <w:r w:rsidRPr="00355B39">
        <w:rPr>
          <w:rFonts w:ascii="Century Gothic" w:hAnsi="Century Gothic"/>
          <w:sz w:val="19"/>
          <w:szCs w:val="19"/>
        </w:rPr>
        <w:t>En 2018 s</w:t>
      </w:r>
      <w:r w:rsidR="00FE0566" w:rsidRPr="00355B39">
        <w:rPr>
          <w:rFonts w:ascii="Century Gothic" w:hAnsi="Century Gothic"/>
          <w:sz w:val="19"/>
          <w:szCs w:val="19"/>
        </w:rPr>
        <w:t>e inició el reporte del Indicador de Consistencia Topológica en los metadatos de 9 programas geográficos</w:t>
      </w:r>
      <w:r w:rsidRPr="00355B39">
        <w:rPr>
          <w:rFonts w:ascii="Century Gothic" w:hAnsi="Century Gothic"/>
          <w:sz w:val="19"/>
          <w:szCs w:val="19"/>
        </w:rPr>
        <w:t xml:space="preserve"> y en 2019 se actualizó el indicador en 2 de esos programas que publicaron información</w:t>
      </w:r>
      <w:r w:rsidR="00355B39" w:rsidRPr="00355B39">
        <w:rPr>
          <w:rFonts w:ascii="Century Gothic" w:hAnsi="Century Gothic"/>
          <w:sz w:val="19"/>
          <w:szCs w:val="19"/>
        </w:rPr>
        <w:t xml:space="preserve"> (Marco Geoestadístico y Red Nacional de Caminos).</w:t>
      </w:r>
    </w:p>
    <w:p w:rsidR="007817E7" w:rsidRPr="00D10FAA" w:rsidRDefault="007817E7" w:rsidP="008B2892">
      <w:pPr>
        <w:spacing w:after="60"/>
        <w:jc w:val="both"/>
        <w:rPr>
          <w:rFonts w:ascii="Century Gothic" w:hAnsi="Century Gothic"/>
        </w:rPr>
      </w:pPr>
      <w:r w:rsidRPr="00D10FAA">
        <w:rPr>
          <w:rFonts w:ascii="Century Gothic" w:hAnsi="Century Gothic"/>
        </w:rPr>
        <w:t>Retos:</w:t>
      </w:r>
    </w:p>
    <w:p w:rsidR="00AE5B84" w:rsidRDefault="00AE5B84" w:rsidP="00AE5B84">
      <w:pPr>
        <w:numPr>
          <w:ilvl w:val="1"/>
          <w:numId w:val="1"/>
        </w:numPr>
        <w:tabs>
          <w:tab w:val="clear" w:pos="1440"/>
          <w:tab w:val="num" w:pos="284"/>
        </w:tabs>
        <w:spacing w:after="100"/>
        <w:ind w:left="284" w:hanging="284"/>
        <w:jc w:val="both"/>
        <w:rPr>
          <w:rFonts w:ascii="Century Gothic" w:hAnsi="Century Gothic"/>
          <w:sz w:val="19"/>
          <w:szCs w:val="19"/>
        </w:rPr>
      </w:pPr>
      <w:r>
        <w:rPr>
          <w:rFonts w:ascii="Century Gothic" w:hAnsi="Century Gothic"/>
          <w:sz w:val="19"/>
          <w:szCs w:val="19"/>
        </w:rPr>
        <w:t xml:space="preserve">El objetivo de los indicadores externos es que los usuarios mejoren el uso de la información proporcionada por el INEGI y los indicadores internos buscan ayudar a la toma de decisiones. Por ello, es necesario </w:t>
      </w:r>
      <w:r w:rsidR="00F72008" w:rsidRPr="00D10FAA">
        <w:rPr>
          <w:rFonts w:ascii="Century Gothic" w:hAnsi="Century Gothic"/>
          <w:sz w:val="19"/>
          <w:szCs w:val="19"/>
        </w:rPr>
        <w:t xml:space="preserve">reforzar el compromiso </w:t>
      </w:r>
      <w:r w:rsidR="00F72008">
        <w:rPr>
          <w:rFonts w:ascii="Century Gothic" w:hAnsi="Century Gothic"/>
          <w:sz w:val="19"/>
          <w:szCs w:val="19"/>
        </w:rPr>
        <w:t>de</w:t>
      </w:r>
      <w:r w:rsidR="00F72008" w:rsidRPr="00D10FAA">
        <w:rPr>
          <w:rFonts w:ascii="Century Gothic" w:hAnsi="Century Gothic"/>
          <w:sz w:val="19"/>
          <w:szCs w:val="19"/>
        </w:rPr>
        <w:t xml:space="preserve"> las áreas productoras para que </w:t>
      </w:r>
      <w:r w:rsidR="00584C84">
        <w:rPr>
          <w:rFonts w:ascii="Century Gothic" w:hAnsi="Century Gothic"/>
          <w:sz w:val="19"/>
          <w:szCs w:val="19"/>
        </w:rPr>
        <w:t xml:space="preserve">estos </w:t>
      </w:r>
      <w:r w:rsidR="00F72008" w:rsidRPr="00D10FAA">
        <w:rPr>
          <w:rFonts w:ascii="Century Gothic" w:hAnsi="Century Gothic"/>
          <w:sz w:val="19"/>
          <w:szCs w:val="19"/>
        </w:rPr>
        <w:t xml:space="preserve">indicadores se publiquen </w:t>
      </w:r>
      <w:r w:rsidR="00F72008" w:rsidRPr="00C47C15">
        <w:rPr>
          <w:rFonts w:ascii="Century Gothic" w:hAnsi="Century Gothic"/>
          <w:sz w:val="19"/>
          <w:szCs w:val="19"/>
        </w:rPr>
        <w:t xml:space="preserve">dentro de los 30 días naturales </w:t>
      </w:r>
      <w:r w:rsidR="008D4923">
        <w:rPr>
          <w:rFonts w:ascii="Century Gothic" w:hAnsi="Century Gothic"/>
          <w:sz w:val="19"/>
          <w:szCs w:val="19"/>
        </w:rPr>
        <w:t>posteriores a la publicación de</w:t>
      </w:r>
      <w:r w:rsidR="00F72008" w:rsidRPr="00C47C15">
        <w:rPr>
          <w:rFonts w:ascii="Century Gothic" w:hAnsi="Century Gothic"/>
          <w:sz w:val="19"/>
          <w:szCs w:val="19"/>
        </w:rPr>
        <w:t xml:space="preserve"> resultado</w:t>
      </w:r>
      <w:r w:rsidR="00F72008">
        <w:rPr>
          <w:rFonts w:ascii="Century Gothic" w:hAnsi="Century Gothic"/>
          <w:sz w:val="19"/>
          <w:szCs w:val="19"/>
        </w:rPr>
        <w:t>s</w:t>
      </w:r>
      <w:r w:rsidR="00F72008" w:rsidRPr="00D10FAA">
        <w:rPr>
          <w:rFonts w:ascii="Century Gothic" w:hAnsi="Century Gothic"/>
          <w:sz w:val="19"/>
          <w:szCs w:val="19"/>
        </w:rPr>
        <w:t>.</w:t>
      </w:r>
    </w:p>
    <w:p w:rsidR="00F72008" w:rsidRPr="00AE5B84" w:rsidRDefault="00AE5B84" w:rsidP="00AE5B84">
      <w:pPr>
        <w:numPr>
          <w:ilvl w:val="1"/>
          <w:numId w:val="1"/>
        </w:numPr>
        <w:tabs>
          <w:tab w:val="clear" w:pos="1440"/>
          <w:tab w:val="num" w:pos="284"/>
        </w:tabs>
        <w:spacing w:after="100"/>
        <w:ind w:left="284" w:hanging="284"/>
        <w:jc w:val="both"/>
        <w:rPr>
          <w:rFonts w:ascii="Century Gothic" w:hAnsi="Century Gothic"/>
          <w:sz w:val="19"/>
          <w:szCs w:val="19"/>
        </w:rPr>
      </w:pPr>
      <w:r w:rsidRPr="00AE5B84">
        <w:rPr>
          <w:rFonts w:ascii="Century Gothic" w:hAnsi="Century Gothic"/>
          <w:sz w:val="19"/>
          <w:szCs w:val="19"/>
        </w:rPr>
        <w:t xml:space="preserve">Concluir la herramienta para la automatización del cálculo y publicación de los indicadores de precisión y confiabilidad de uso externo para facilitar </w:t>
      </w:r>
      <w:r w:rsidR="00D5464C">
        <w:rPr>
          <w:rFonts w:ascii="Century Gothic" w:hAnsi="Century Gothic"/>
          <w:sz w:val="19"/>
          <w:szCs w:val="19"/>
        </w:rPr>
        <w:t>su</w:t>
      </w:r>
      <w:r w:rsidRPr="00AE5B84">
        <w:rPr>
          <w:rFonts w:ascii="Century Gothic" w:hAnsi="Century Gothic"/>
          <w:sz w:val="19"/>
          <w:szCs w:val="19"/>
        </w:rPr>
        <w:t xml:space="preserve"> difusió</w:t>
      </w:r>
      <w:r w:rsidR="008D4923">
        <w:rPr>
          <w:rFonts w:ascii="Century Gothic" w:hAnsi="Century Gothic"/>
          <w:sz w:val="19"/>
          <w:szCs w:val="19"/>
        </w:rPr>
        <w:t>n oportuna</w:t>
      </w:r>
      <w:r w:rsidR="00D5464C">
        <w:rPr>
          <w:rFonts w:ascii="Century Gothic" w:hAnsi="Century Gothic"/>
          <w:sz w:val="19"/>
          <w:szCs w:val="19"/>
        </w:rPr>
        <w:t>, la cual es</w:t>
      </w:r>
      <w:r w:rsidR="008D4923">
        <w:rPr>
          <w:rFonts w:ascii="Century Gothic" w:hAnsi="Century Gothic"/>
          <w:sz w:val="19"/>
          <w:szCs w:val="19"/>
        </w:rPr>
        <w:t xml:space="preserve"> </w:t>
      </w:r>
      <w:r w:rsidRPr="00AE5B84">
        <w:rPr>
          <w:rFonts w:ascii="Century Gothic" w:hAnsi="Century Gothic"/>
          <w:sz w:val="19"/>
          <w:szCs w:val="19"/>
        </w:rPr>
        <w:t>desarrollada por la Dirección General Adjunta de Difusión y Servicio Público de Información de forma conjunta con la Coordinación General de Informática y con las áreas productoras</w:t>
      </w:r>
      <w:r w:rsidR="00F72008" w:rsidRPr="00AE5B84">
        <w:rPr>
          <w:rFonts w:ascii="Century Gothic" w:hAnsi="Century Gothic"/>
          <w:sz w:val="19"/>
          <w:szCs w:val="19"/>
        </w:rPr>
        <w:t>.</w:t>
      </w:r>
    </w:p>
    <w:p w:rsidR="00F72008" w:rsidRPr="00F72008" w:rsidRDefault="00F72008" w:rsidP="00AE5B84">
      <w:pPr>
        <w:numPr>
          <w:ilvl w:val="1"/>
          <w:numId w:val="1"/>
        </w:numPr>
        <w:tabs>
          <w:tab w:val="clear" w:pos="1440"/>
          <w:tab w:val="num" w:pos="284"/>
        </w:tabs>
        <w:spacing w:after="120"/>
        <w:ind w:left="284" w:hanging="284"/>
        <w:jc w:val="both"/>
        <w:rPr>
          <w:rFonts w:ascii="Century Gothic" w:hAnsi="Century Gothic"/>
          <w:sz w:val="16"/>
        </w:rPr>
      </w:pPr>
      <w:r w:rsidRPr="00F72008">
        <w:rPr>
          <w:rFonts w:ascii="Century Gothic" w:hAnsi="Century Gothic"/>
          <w:sz w:val="19"/>
          <w:szCs w:val="19"/>
        </w:rPr>
        <w:t>Desarrollo y adopción de indicadores de precisión y confiabilidad para censos y otros programas estadísticos o geográficos.</w:t>
      </w:r>
    </w:p>
    <w:p w:rsidR="007817E7" w:rsidRPr="008737A8" w:rsidRDefault="007C0B2C" w:rsidP="00AE5B84">
      <w:pPr>
        <w:numPr>
          <w:ilvl w:val="1"/>
          <w:numId w:val="1"/>
        </w:numPr>
        <w:tabs>
          <w:tab w:val="clear" w:pos="1440"/>
          <w:tab w:val="num" w:pos="284"/>
        </w:tabs>
        <w:spacing w:after="120"/>
        <w:ind w:left="284" w:hanging="284"/>
        <w:jc w:val="both"/>
        <w:rPr>
          <w:rFonts w:ascii="Century Gothic" w:hAnsi="Century Gothic"/>
          <w:sz w:val="16"/>
        </w:rPr>
      </w:pPr>
      <w:r>
        <w:rPr>
          <w:rFonts w:ascii="Century Gothic" w:hAnsi="Century Gothic"/>
          <w:sz w:val="19"/>
          <w:szCs w:val="19"/>
        </w:rPr>
        <w:t xml:space="preserve">Definir la estrategia y cronograma para la medición de los indicadores de </w:t>
      </w:r>
      <w:r w:rsidRPr="00E60514">
        <w:rPr>
          <w:rFonts w:ascii="Century Gothic" w:hAnsi="Century Gothic"/>
          <w:sz w:val="19"/>
          <w:szCs w:val="19"/>
        </w:rPr>
        <w:t>error medio cuadrático planimétrico y el error medio cuadrático vertical</w:t>
      </w:r>
      <w:r>
        <w:rPr>
          <w:rFonts w:ascii="Century Gothic" w:hAnsi="Century Gothic"/>
          <w:sz w:val="19"/>
          <w:szCs w:val="19"/>
        </w:rPr>
        <w:t xml:space="preserve"> para la información geográfica.</w:t>
      </w:r>
    </w:p>
    <w:p w:rsidR="008737A8" w:rsidRPr="00F72008" w:rsidRDefault="008737A8" w:rsidP="008737A8">
      <w:pPr>
        <w:spacing w:after="120"/>
        <w:ind w:left="284"/>
        <w:jc w:val="both"/>
        <w:rPr>
          <w:rFonts w:ascii="Century Gothic" w:hAnsi="Century Gothic"/>
          <w:sz w:val="16"/>
        </w:rPr>
      </w:pPr>
    </w:p>
    <w:tbl>
      <w:tblPr>
        <w:tblW w:w="0" w:type="auto"/>
        <w:jc w:val="center"/>
        <w:tblBorders>
          <w:left w:val="single" w:sz="24" w:space="0" w:color="A6A6A6" w:themeColor="background1" w:themeShade="A6"/>
          <w:insideH w:val="single" w:sz="36" w:space="0" w:color="808080" w:themeColor="background1" w:themeShade="80"/>
          <w:insideV w:val="single" w:sz="24" w:space="0" w:color="A6A6A6" w:themeColor="background1" w:themeShade="A6"/>
        </w:tblBorders>
        <w:tblLook w:val="04A0" w:firstRow="1" w:lastRow="0" w:firstColumn="1" w:lastColumn="0" w:noHBand="0" w:noVBand="1"/>
      </w:tblPr>
      <w:tblGrid>
        <w:gridCol w:w="4112"/>
        <w:gridCol w:w="6400"/>
      </w:tblGrid>
      <w:tr w:rsidR="005C551D" w:rsidRPr="00D10FAA" w:rsidTr="00B3382F">
        <w:trPr>
          <w:jc w:val="center"/>
        </w:trPr>
        <w:tc>
          <w:tcPr>
            <w:tcW w:w="4112" w:type="dxa"/>
          </w:tcPr>
          <w:p w:rsidR="005C551D" w:rsidRPr="004044B4" w:rsidRDefault="008B03F3" w:rsidP="008B03F3">
            <w:pPr>
              <w:tabs>
                <w:tab w:val="left" w:pos="4543"/>
              </w:tabs>
              <w:spacing w:after="120"/>
              <w:ind w:left="149" w:right="272"/>
              <w:rPr>
                <w:rFonts w:ascii="Century Gothic" w:hAnsi="Century Gothic"/>
                <w:color w:val="0079BF"/>
                <w:szCs w:val="24"/>
              </w:rPr>
            </w:pPr>
            <w:r w:rsidRPr="004044B4">
              <w:rPr>
                <w:rFonts w:ascii="Century Gothic" w:hAnsi="Century Gothic"/>
                <w:color w:val="0079BF"/>
                <w:szCs w:val="24"/>
              </w:rPr>
              <w:t xml:space="preserve">El </w:t>
            </w:r>
            <w:r w:rsidRPr="004044B4">
              <w:rPr>
                <w:rFonts w:ascii="Century Gothic" w:hAnsi="Century Gothic"/>
                <w:b/>
                <w:color w:val="0079BF"/>
                <w:sz w:val="32"/>
                <w:szCs w:val="24"/>
              </w:rPr>
              <w:t>90%</w:t>
            </w:r>
            <w:r w:rsidRPr="004044B4">
              <w:rPr>
                <w:rFonts w:ascii="Century Gothic" w:hAnsi="Century Gothic"/>
                <w:color w:val="0079BF"/>
                <w:szCs w:val="24"/>
              </w:rPr>
              <w:t xml:space="preserve"> de los programas cuyo único insumo son registros administrativos reportaron los indicadores de precisión</w:t>
            </w:r>
            <w:r w:rsidR="008737A8" w:rsidRPr="004044B4">
              <w:rPr>
                <w:rFonts w:ascii="Century Gothic" w:hAnsi="Century Gothic"/>
                <w:color w:val="0079BF"/>
                <w:szCs w:val="24"/>
              </w:rPr>
              <w:t>.</w:t>
            </w:r>
          </w:p>
        </w:tc>
        <w:tc>
          <w:tcPr>
            <w:tcW w:w="6400" w:type="dxa"/>
          </w:tcPr>
          <w:p w:rsidR="005C551D" w:rsidRPr="004044B4" w:rsidRDefault="00926FD4" w:rsidP="003A0B62">
            <w:pPr>
              <w:spacing w:after="120"/>
              <w:ind w:left="369"/>
              <w:rPr>
                <w:rFonts w:ascii="Century Gothic" w:hAnsi="Century Gothic"/>
                <w:color w:val="0079BF"/>
              </w:rPr>
            </w:pPr>
            <w:r w:rsidRPr="004044B4">
              <w:rPr>
                <w:rFonts w:ascii="Century Gothic" w:hAnsi="Century Gothic"/>
                <w:color w:val="0079BF"/>
                <w:szCs w:val="24"/>
              </w:rPr>
              <w:t xml:space="preserve">El </w:t>
            </w:r>
            <w:r w:rsidRPr="004044B4">
              <w:rPr>
                <w:rFonts w:ascii="Century Gothic" w:hAnsi="Century Gothic"/>
                <w:b/>
                <w:color w:val="0079BF"/>
                <w:szCs w:val="24"/>
              </w:rPr>
              <w:t>coeficiente de variación</w:t>
            </w:r>
            <w:r w:rsidRPr="004044B4">
              <w:rPr>
                <w:rFonts w:ascii="Century Gothic" w:hAnsi="Century Gothic"/>
                <w:color w:val="0079BF"/>
                <w:szCs w:val="24"/>
              </w:rPr>
              <w:t xml:space="preserve"> máximo observado en los parámetros de interés del </w:t>
            </w:r>
            <w:r w:rsidRPr="004044B4">
              <w:rPr>
                <w:rFonts w:ascii="Century Gothic" w:hAnsi="Century Gothic"/>
                <w:b/>
                <w:color w:val="0079BF"/>
                <w:sz w:val="32"/>
                <w:szCs w:val="68"/>
              </w:rPr>
              <w:t>80%</w:t>
            </w:r>
            <w:r w:rsidRPr="004044B4">
              <w:rPr>
                <w:rFonts w:ascii="Century Gothic" w:hAnsi="Century Gothic"/>
                <w:color w:val="0079BF"/>
                <w:szCs w:val="68"/>
              </w:rPr>
              <w:t xml:space="preserve"> </w:t>
            </w:r>
            <w:r w:rsidRPr="004044B4">
              <w:rPr>
                <w:rFonts w:ascii="Century Gothic" w:hAnsi="Century Gothic"/>
                <w:color w:val="0079BF"/>
                <w:szCs w:val="24"/>
              </w:rPr>
              <w:t xml:space="preserve">de las encuestas con muestreo probabilístico reflejan un nivel de </w:t>
            </w:r>
            <w:r w:rsidRPr="004044B4">
              <w:rPr>
                <w:rFonts w:ascii="Century Gothic" w:hAnsi="Century Gothic"/>
                <w:b/>
                <w:color w:val="0079BF"/>
                <w:szCs w:val="24"/>
              </w:rPr>
              <w:t>precisión alto o moderado</w:t>
            </w:r>
            <w:r w:rsidRPr="004044B4">
              <w:rPr>
                <w:rFonts w:ascii="Century Gothic" w:hAnsi="Century Gothic"/>
                <w:color w:val="0079BF"/>
                <w:szCs w:val="24"/>
              </w:rPr>
              <w:t xml:space="preserve"> (coeficiente menor a 30).</w:t>
            </w:r>
          </w:p>
        </w:tc>
      </w:tr>
    </w:tbl>
    <w:p w:rsidR="00993DB4" w:rsidRDefault="00993DB4">
      <w:pPr>
        <w:rPr>
          <w:rFonts w:ascii="Century Gothic" w:hAnsi="Century Gothic"/>
          <w:b/>
        </w:rPr>
      </w:pPr>
      <w:r>
        <w:rPr>
          <w:rFonts w:ascii="Century Gothic" w:hAnsi="Century Gothic"/>
          <w:b/>
        </w:rPr>
        <w:br w:type="page"/>
      </w:r>
    </w:p>
    <w:tbl>
      <w:tblPr>
        <w:tblW w:w="12333" w:type="dxa"/>
        <w:tblInd w:w="-1139" w:type="dxa"/>
        <w:tblLook w:val="04A0" w:firstRow="1" w:lastRow="0" w:firstColumn="1" w:lastColumn="0" w:noHBand="0" w:noVBand="1"/>
      </w:tblPr>
      <w:tblGrid>
        <w:gridCol w:w="4820"/>
        <w:gridCol w:w="7513"/>
      </w:tblGrid>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4"/>
                <w:szCs w:val="32"/>
              </w:rPr>
            </w:pPr>
          </w:p>
        </w:tc>
        <w:tc>
          <w:tcPr>
            <w:tcW w:w="7513" w:type="dxa"/>
            <w:shd w:val="clear" w:color="auto" w:fill="0079BF"/>
          </w:tcPr>
          <w:p w:rsidR="00B93248" w:rsidRPr="0022505B" w:rsidRDefault="00B93248" w:rsidP="008D0572">
            <w:pPr>
              <w:rPr>
                <w:rFonts w:cstheme="minorHAnsi"/>
                <w:color w:val="FFFFFF" w:themeColor="background1"/>
                <w:sz w:val="14"/>
                <w:szCs w:val="32"/>
              </w:rPr>
            </w:pPr>
          </w:p>
        </w:tc>
      </w:tr>
      <w:tr w:rsidR="00B93248" w:rsidRPr="0022505B" w:rsidTr="008D0572">
        <w:trPr>
          <w:trHeight w:val="201"/>
        </w:trPr>
        <w:tc>
          <w:tcPr>
            <w:tcW w:w="12333" w:type="dxa"/>
            <w:gridSpan w:val="2"/>
            <w:shd w:val="clear" w:color="auto" w:fill="auto"/>
          </w:tcPr>
          <w:p w:rsidR="00B93248" w:rsidRPr="00613C02" w:rsidRDefault="00B93248" w:rsidP="00882081">
            <w:pPr>
              <w:spacing w:after="0"/>
              <w:jc w:val="center"/>
              <w:rPr>
                <w:rFonts w:cstheme="minorHAnsi"/>
                <w:color w:val="000000" w:themeColor="text1"/>
                <w:sz w:val="32"/>
                <w:szCs w:val="32"/>
              </w:rPr>
            </w:pPr>
            <w:r>
              <w:rPr>
                <w:rFonts w:cstheme="minorHAnsi"/>
                <w:color w:val="000000" w:themeColor="text1"/>
                <w:sz w:val="32"/>
                <w:szCs w:val="32"/>
              </w:rPr>
              <w:t xml:space="preserve">                  GESTIÓN DE LAS MEJORAS</w:t>
            </w:r>
          </w:p>
        </w:tc>
      </w:tr>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2"/>
                <w:szCs w:val="32"/>
              </w:rPr>
            </w:pPr>
          </w:p>
        </w:tc>
        <w:tc>
          <w:tcPr>
            <w:tcW w:w="7513" w:type="dxa"/>
            <w:shd w:val="clear" w:color="auto" w:fill="0079BF"/>
          </w:tcPr>
          <w:p w:rsidR="00B93248" w:rsidRPr="0022505B" w:rsidRDefault="00B93248" w:rsidP="008D0572">
            <w:pPr>
              <w:rPr>
                <w:rFonts w:cstheme="minorHAnsi"/>
                <w:color w:val="FFFFFF" w:themeColor="background1"/>
                <w:sz w:val="12"/>
                <w:szCs w:val="32"/>
              </w:rPr>
            </w:pPr>
          </w:p>
        </w:tc>
      </w:tr>
    </w:tbl>
    <w:p w:rsidR="006E2A56" w:rsidRPr="00124E04" w:rsidRDefault="006E2A56" w:rsidP="00124E04">
      <w:pPr>
        <w:spacing w:after="120"/>
        <w:rPr>
          <w:rFonts w:ascii="Century Gothic" w:hAnsi="Century Gothic"/>
          <w:b/>
          <w:sz w:val="18"/>
        </w:rPr>
      </w:pPr>
    </w:p>
    <w:p w:rsidR="00EC3679" w:rsidRPr="004D352F" w:rsidRDefault="009F3663" w:rsidP="004D352F">
      <w:pPr>
        <w:pStyle w:val="Ttulo1"/>
        <w:ind w:left="2835" w:hanging="2835"/>
        <w:rPr>
          <w:rFonts w:ascii="Century Gothic" w:eastAsiaTheme="minorHAnsi" w:hAnsi="Century Gothic" w:cstheme="minorBidi"/>
          <w:b/>
          <w:color w:val="auto"/>
          <w:sz w:val="22"/>
          <w:szCs w:val="22"/>
        </w:rPr>
      </w:pPr>
      <w:bookmarkStart w:id="6" w:name="_Toc34310019"/>
      <w:r w:rsidRPr="004D352F">
        <w:rPr>
          <w:rFonts w:ascii="Century Gothic" w:eastAsiaTheme="minorHAnsi" w:hAnsi="Century Gothic" w:cstheme="minorBidi"/>
          <w:b/>
          <w:color w:val="auto"/>
          <w:sz w:val="22"/>
          <w:szCs w:val="22"/>
        </w:rPr>
        <w:t>Actividad estratégica 3</w:t>
      </w:r>
      <w:r w:rsidR="00EC3679" w:rsidRPr="004D352F">
        <w:rPr>
          <w:rFonts w:ascii="Century Gothic" w:eastAsiaTheme="minorHAnsi" w:hAnsi="Century Gothic" w:cstheme="minorBidi"/>
          <w:b/>
          <w:color w:val="auto"/>
          <w:sz w:val="22"/>
          <w:szCs w:val="22"/>
        </w:rPr>
        <w:t xml:space="preserve">. </w:t>
      </w:r>
      <w:r w:rsidRPr="004D352F">
        <w:rPr>
          <w:rFonts w:ascii="Century Gothic" w:eastAsiaTheme="minorHAnsi" w:hAnsi="Century Gothic" w:cstheme="minorBidi"/>
          <w:b/>
          <w:color w:val="auto"/>
          <w:sz w:val="22"/>
          <w:szCs w:val="22"/>
        </w:rPr>
        <w:tab/>
      </w:r>
      <w:r w:rsidR="00EC3679" w:rsidRPr="004D352F">
        <w:rPr>
          <w:rFonts w:ascii="Century Gothic" w:eastAsiaTheme="minorHAnsi" w:hAnsi="Century Gothic" w:cstheme="minorBidi"/>
          <w:b/>
          <w:color w:val="auto"/>
          <w:sz w:val="22"/>
          <w:szCs w:val="22"/>
        </w:rPr>
        <w:t>Desarrollar protocolos para medir y documentar el impacto de las mejoras</w:t>
      </w:r>
      <w:bookmarkEnd w:id="6"/>
      <w:r w:rsidR="00EC3679" w:rsidRPr="004D352F">
        <w:rPr>
          <w:rFonts w:ascii="Century Gothic" w:eastAsiaTheme="minorHAnsi" w:hAnsi="Century Gothic" w:cstheme="minorBidi"/>
          <w:b/>
          <w:color w:val="auto"/>
          <w:sz w:val="22"/>
          <w:szCs w:val="22"/>
        </w:rPr>
        <w:t xml:space="preserve"> </w:t>
      </w:r>
    </w:p>
    <w:p w:rsidR="00EC3679" w:rsidRPr="00124E04" w:rsidRDefault="00EC3679" w:rsidP="009F3663">
      <w:pPr>
        <w:spacing w:after="12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4111"/>
        <w:gridCol w:w="5975"/>
      </w:tblGrid>
      <w:tr w:rsidR="00EC3679" w:rsidRPr="00D10FAA" w:rsidTr="00647A75">
        <w:trPr>
          <w:jc w:val="center"/>
        </w:trPr>
        <w:tc>
          <w:tcPr>
            <w:tcW w:w="4111" w:type="dxa"/>
            <w:shd w:val="clear" w:color="auto" w:fill="C5EAFF"/>
          </w:tcPr>
          <w:p w:rsidR="0006275D" w:rsidRPr="0006275D" w:rsidRDefault="0006275D" w:rsidP="0006275D">
            <w:pPr>
              <w:pStyle w:val="Default"/>
              <w:spacing w:after="120"/>
              <w:jc w:val="center"/>
              <w:rPr>
                <w:rFonts w:ascii="Century Gothic" w:hAnsi="Century Gothic"/>
                <w:color w:val="404040" w:themeColor="text1" w:themeTint="BF"/>
                <w:sz w:val="18"/>
                <w:szCs w:val="18"/>
                <w:lang w:val="es-MX"/>
              </w:rPr>
            </w:pPr>
            <w:r w:rsidRPr="0006275D">
              <w:rPr>
                <w:rFonts w:ascii="Century Gothic" w:hAnsi="Century Gothic"/>
                <w:b/>
                <w:bCs/>
                <w:color w:val="404040" w:themeColor="text1" w:themeTint="BF"/>
                <w:sz w:val="18"/>
                <w:szCs w:val="18"/>
                <w:lang w:val="es-MX"/>
              </w:rPr>
              <w:t xml:space="preserve">Metas </w:t>
            </w:r>
            <w:r>
              <w:rPr>
                <w:rFonts w:ascii="Century Gothic" w:hAnsi="Century Gothic"/>
                <w:b/>
                <w:bCs/>
                <w:color w:val="404040" w:themeColor="text1" w:themeTint="BF"/>
                <w:sz w:val="18"/>
                <w:szCs w:val="18"/>
                <w:lang w:val="es-MX"/>
              </w:rPr>
              <w:t>2017-</w:t>
            </w:r>
            <w:r w:rsidRPr="0006275D">
              <w:rPr>
                <w:rFonts w:ascii="Century Gothic" w:hAnsi="Century Gothic"/>
                <w:b/>
                <w:bCs/>
                <w:color w:val="404040" w:themeColor="text1" w:themeTint="BF"/>
                <w:sz w:val="18"/>
                <w:szCs w:val="18"/>
                <w:lang w:val="es-MX"/>
              </w:rPr>
              <w:t xml:space="preserve">2019: </w:t>
            </w:r>
          </w:p>
          <w:p w:rsidR="00EC3679" w:rsidRPr="0006275D" w:rsidRDefault="0006275D" w:rsidP="008D0ED0">
            <w:pPr>
              <w:pStyle w:val="Default"/>
              <w:spacing w:after="120"/>
              <w:ind w:left="179" w:hanging="142"/>
              <w:rPr>
                <w:rFonts w:ascii="Century Gothic" w:hAnsi="Century Gothic"/>
                <w:b/>
                <w:bCs/>
                <w:color w:val="404040" w:themeColor="text1" w:themeTint="BF"/>
                <w:sz w:val="18"/>
                <w:szCs w:val="18"/>
                <w:lang w:val="es-MX"/>
              </w:rPr>
            </w:pPr>
            <w:r w:rsidRPr="0006275D">
              <w:rPr>
                <w:rFonts w:ascii="Century Gothic" w:hAnsi="Century Gothic"/>
                <w:color w:val="404040" w:themeColor="text1" w:themeTint="BF"/>
                <w:sz w:val="18"/>
                <w:szCs w:val="18"/>
                <w:lang w:val="es-MX"/>
              </w:rPr>
              <w:t>• 80% de los proyectos de IIN del INEGI siguen protocolos de planeación, documentación, consulta y/o evaluación al implementar las mejoras.</w:t>
            </w:r>
          </w:p>
        </w:tc>
        <w:tc>
          <w:tcPr>
            <w:tcW w:w="5975" w:type="dxa"/>
            <w:shd w:val="clear" w:color="auto" w:fill="C5EAFF"/>
          </w:tcPr>
          <w:p w:rsidR="00EC3679" w:rsidRPr="0006275D" w:rsidRDefault="00EC3679" w:rsidP="009F3663">
            <w:pPr>
              <w:pStyle w:val="Default"/>
              <w:spacing w:after="120"/>
              <w:jc w:val="center"/>
              <w:rPr>
                <w:rFonts w:ascii="Century Gothic" w:hAnsi="Century Gothic"/>
                <w:color w:val="404040" w:themeColor="text1" w:themeTint="BF"/>
                <w:sz w:val="18"/>
                <w:szCs w:val="18"/>
                <w:lang w:val="es-MX"/>
              </w:rPr>
            </w:pPr>
            <w:r w:rsidRPr="0006275D">
              <w:rPr>
                <w:rFonts w:ascii="Century Gothic" w:hAnsi="Century Gothic"/>
                <w:b/>
                <w:bCs/>
                <w:color w:val="404040" w:themeColor="text1" w:themeTint="BF"/>
                <w:sz w:val="18"/>
                <w:szCs w:val="18"/>
                <w:lang w:val="es-MX"/>
              </w:rPr>
              <w:t>Metas 20</w:t>
            </w:r>
            <w:r w:rsidR="0006275D">
              <w:rPr>
                <w:rFonts w:ascii="Century Gothic" w:hAnsi="Century Gothic"/>
                <w:b/>
                <w:bCs/>
                <w:color w:val="404040" w:themeColor="text1" w:themeTint="BF"/>
                <w:sz w:val="18"/>
                <w:szCs w:val="18"/>
                <w:lang w:val="es-MX"/>
              </w:rPr>
              <w:t>20-2022</w:t>
            </w:r>
            <w:r w:rsidRPr="0006275D">
              <w:rPr>
                <w:rFonts w:ascii="Century Gothic" w:hAnsi="Century Gothic"/>
                <w:b/>
                <w:bCs/>
                <w:color w:val="404040" w:themeColor="text1" w:themeTint="BF"/>
                <w:sz w:val="18"/>
                <w:szCs w:val="18"/>
                <w:lang w:val="es-MX"/>
              </w:rPr>
              <w:t xml:space="preserve">: </w:t>
            </w:r>
          </w:p>
          <w:p w:rsidR="00EC3679" w:rsidRPr="0006275D" w:rsidRDefault="00EC3679" w:rsidP="008D0ED0">
            <w:pPr>
              <w:pStyle w:val="Default"/>
              <w:spacing w:after="120"/>
              <w:ind w:left="180" w:hanging="180"/>
              <w:rPr>
                <w:rFonts w:ascii="Century Gothic" w:hAnsi="Century Gothic"/>
                <w:color w:val="404040" w:themeColor="text1" w:themeTint="BF"/>
                <w:sz w:val="18"/>
                <w:szCs w:val="18"/>
                <w:lang w:val="es-MX"/>
              </w:rPr>
            </w:pPr>
            <w:r w:rsidRPr="0006275D">
              <w:rPr>
                <w:rFonts w:ascii="Century Gothic" w:hAnsi="Century Gothic"/>
                <w:color w:val="404040" w:themeColor="text1" w:themeTint="BF"/>
                <w:sz w:val="18"/>
                <w:szCs w:val="18"/>
                <w:lang w:val="es-MX"/>
              </w:rPr>
              <w:t xml:space="preserve">• </w:t>
            </w:r>
            <w:r w:rsidR="0006275D" w:rsidRPr="0006275D">
              <w:rPr>
                <w:rFonts w:ascii="Century Gothic" w:hAnsi="Century Gothic"/>
                <w:color w:val="404040" w:themeColor="text1" w:themeTint="BF"/>
                <w:sz w:val="18"/>
                <w:szCs w:val="18"/>
                <w:lang w:val="es-MX"/>
              </w:rPr>
              <w:t>100% de los programas del INEGI documentan sus mejoras a través del Sistema de Seguimiento de Cambios (</w:t>
            </w:r>
            <w:proofErr w:type="spellStart"/>
            <w:r w:rsidR="0006275D" w:rsidRPr="0006275D">
              <w:rPr>
                <w:rFonts w:ascii="Century Gothic" w:hAnsi="Century Gothic"/>
                <w:color w:val="404040" w:themeColor="text1" w:themeTint="BF"/>
                <w:sz w:val="18"/>
                <w:szCs w:val="18"/>
                <w:lang w:val="es-MX"/>
              </w:rPr>
              <w:t>Ptracking</w:t>
            </w:r>
            <w:proofErr w:type="spellEnd"/>
            <w:r w:rsidR="0006275D" w:rsidRPr="0006275D">
              <w:rPr>
                <w:rFonts w:ascii="Century Gothic" w:hAnsi="Century Gothic"/>
                <w:color w:val="404040" w:themeColor="text1" w:themeTint="BF"/>
                <w:sz w:val="18"/>
                <w:szCs w:val="18"/>
                <w:lang w:val="es-MX"/>
              </w:rPr>
              <w:t>)</w:t>
            </w:r>
            <w:r w:rsidRPr="0006275D">
              <w:rPr>
                <w:rFonts w:ascii="Century Gothic" w:hAnsi="Century Gothic"/>
                <w:color w:val="404040" w:themeColor="text1" w:themeTint="BF"/>
                <w:sz w:val="18"/>
                <w:szCs w:val="18"/>
                <w:lang w:val="es-MX"/>
              </w:rPr>
              <w:t>.</w:t>
            </w:r>
          </w:p>
          <w:p w:rsidR="0006275D" w:rsidRPr="0006275D" w:rsidRDefault="0006275D" w:rsidP="008D0ED0">
            <w:pPr>
              <w:pStyle w:val="Default"/>
              <w:spacing w:after="120"/>
              <w:ind w:left="180" w:hanging="180"/>
              <w:rPr>
                <w:rFonts w:ascii="Century Gothic" w:hAnsi="Century Gothic"/>
                <w:b/>
                <w:bCs/>
                <w:color w:val="404040" w:themeColor="text1" w:themeTint="BF"/>
                <w:sz w:val="18"/>
                <w:szCs w:val="18"/>
                <w:lang w:val="es-MX"/>
              </w:rPr>
            </w:pPr>
            <w:r w:rsidRPr="0006275D">
              <w:rPr>
                <w:rFonts w:ascii="Century Gothic" w:hAnsi="Century Gothic"/>
                <w:color w:val="404040" w:themeColor="text1" w:themeTint="BF"/>
                <w:sz w:val="18"/>
                <w:szCs w:val="18"/>
                <w:lang w:val="es-MX"/>
              </w:rPr>
              <w:t>• Existen cursos de capacitación para todas las iniciativas aprobadas por el Comité de Aseguramiento de la Calidad.</w:t>
            </w:r>
          </w:p>
        </w:tc>
      </w:tr>
    </w:tbl>
    <w:p w:rsidR="00A06F08" w:rsidRPr="00D10FAA" w:rsidRDefault="00A06F08" w:rsidP="009F3663">
      <w:pPr>
        <w:spacing w:after="120"/>
        <w:rPr>
          <w:rFonts w:ascii="Century Gothic" w:hAnsi="Century Gothic"/>
        </w:rPr>
      </w:pPr>
    </w:p>
    <w:p w:rsidR="00042159" w:rsidRPr="00D10FAA" w:rsidRDefault="00042159" w:rsidP="00042159">
      <w:pPr>
        <w:spacing w:after="120"/>
        <w:rPr>
          <w:rFonts w:ascii="Century Gothic" w:hAnsi="Century Gothic"/>
        </w:rPr>
      </w:pPr>
      <w:r w:rsidRPr="00D10FAA">
        <w:rPr>
          <w:rFonts w:ascii="Century Gothic" w:hAnsi="Century Gothic"/>
        </w:rPr>
        <w:t>Avances:</w:t>
      </w:r>
    </w:p>
    <w:p w:rsidR="009272B3" w:rsidRPr="003A30D8" w:rsidRDefault="009272B3" w:rsidP="003A30D8">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 xml:space="preserve">Se publicaron los Lineamientos del Proceso de Gestión de Cambios en los Programas de Información Estadística y Geográfica, </w:t>
      </w:r>
      <w:r w:rsidR="00D5464C">
        <w:rPr>
          <w:rFonts w:ascii="Century Gothic" w:hAnsi="Century Gothic"/>
          <w:sz w:val="19"/>
          <w:szCs w:val="19"/>
        </w:rPr>
        <w:t>los cuales</w:t>
      </w:r>
      <w:r>
        <w:rPr>
          <w:rFonts w:ascii="Century Gothic" w:hAnsi="Century Gothic"/>
          <w:sz w:val="19"/>
          <w:szCs w:val="19"/>
        </w:rPr>
        <w:t xml:space="preserve"> establece</w:t>
      </w:r>
      <w:r w:rsidR="00D5464C">
        <w:rPr>
          <w:rFonts w:ascii="Century Gothic" w:hAnsi="Century Gothic"/>
          <w:sz w:val="19"/>
          <w:szCs w:val="19"/>
        </w:rPr>
        <w:t>n</w:t>
      </w:r>
      <w:r>
        <w:rPr>
          <w:rFonts w:ascii="Century Gothic" w:hAnsi="Century Gothic"/>
          <w:sz w:val="19"/>
          <w:szCs w:val="19"/>
        </w:rPr>
        <w:t xml:space="preserve"> los pasos a seguir y la documentación que se debe generar cuando se realizan cambios tanto previstos como no previstos en el diseño de los programas de información. </w:t>
      </w:r>
      <w:r w:rsidR="00B5545C">
        <w:rPr>
          <w:rFonts w:ascii="Century Gothic" w:hAnsi="Century Gothic"/>
          <w:sz w:val="19"/>
          <w:szCs w:val="19"/>
        </w:rPr>
        <w:t xml:space="preserve">Los lineamientos </w:t>
      </w:r>
      <w:r w:rsidR="0012440F">
        <w:rPr>
          <w:rFonts w:ascii="Century Gothic" w:hAnsi="Century Gothic"/>
          <w:sz w:val="19"/>
          <w:szCs w:val="19"/>
        </w:rPr>
        <w:t>explicitan</w:t>
      </w:r>
      <w:r w:rsidR="00B5545C">
        <w:rPr>
          <w:rFonts w:ascii="Century Gothic" w:hAnsi="Century Gothic"/>
          <w:sz w:val="19"/>
          <w:szCs w:val="19"/>
        </w:rPr>
        <w:t xml:space="preserve"> que esta documentación debe realizarse a través de un Sistema de Seguimiento de Cambios</w:t>
      </w:r>
      <w:r w:rsidR="00405D92">
        <w:rPr>
          <w:rFonts w:ascii="Century Gothic" w:hAnsi="Century Gothic"/>
          <w:sz w:val="19"/>
          <w:szCs w:val="19"/>
        </w:rPr>
        <w:t xml:space="preserve">, el cual está ligado al </w:t>
      </w:r>
      <w:proofErr w:type="spellStart"/>
      <w:r w:rsidR="00405D92">
        <w:rPr>
          <w:rFonts w:ascii="Century Gothic" w:hAnsi="Century Gothic"/>
          <w:sz w:val="19"/>
          <w:szCs w:val="19"/>
        </w:rPr>
        <w:t>Ptracking</w:t>
      </w:r>
      <w:proofErr w:type="spellEnd"/>
      <w:r w:rsidR="00B5545C">
        <w:rPr>
          <w:rFonts w:ascii="Century Gothic" w:hAnsi="Century Gothic"/>
          <w:sz w:val="19"/>
          <w:szCs w:val="19"/>
        </w:rPr>
        <w:t>.</w:t>
      </w:r>
      <w:r w:rsidR="003A30D8">
        <w:rPr>
          <w:rFonts w:ascii="Century Gothic" w:hAnsi="Century Gothic"/>
          <w:sz w:val="19"/>
          <w:szCs w:val="19"/>
        </w:rPr>
        <w:t xml:space="preserve"> </w:t>
      </w:r>
      <w:r w:rsidR="003A30D8" w:rsidRPr="003A30D8">
        <w:rPr>
          <w:rFonts w:ascii="Century Gothic" w:hAnsi="Century Gothic"/>
          <w:sz w:val="19"/>
          <w:szCs w:val="19"/>
        </w:rPr>
        <w:t>A partir del Sistema para su registro en 2020 podrá cuantificarse el número de programas que siguen estos lineamientos.</w:t>
      </w:r>
    </w:p>
    <w:p w:rsidR="00042159" w:rsidRDefault="008E00C6" w:rsidP="008B2892">
      <w:pPr>
        <w:numPr>
          <w:ilvl w:val="1"/>
          <w:numId w:val="1"/>
        </w:numPr>
        <w:tabs>
          <w:tab w:val="clear" w:pos="1440"/>
          <w:tab w:val="num" w:pos="284"/>
        </w:tabs>
        <w:spacing w:after="120"/>
        <w:ind w:left="284" w:hanging="284"/>
        <w:jc w:val="both"/>
        <w:rPr>
          <w:rFonts w:ascii="Century Gothic" w:hAnsi="Century Gothic"/>
          <w:sz w:val="19"/>
          <w:szCs w:val="19"/>
        </w:rPr>
      </w:pPr>
      <w:r w:rsidRPr="00D10FAA">
        <w:rPr>
          <w:rFonts w:ascii="Century Gothic" w:hAnsi="Century Gothic"/>
          <w:sz w:val="19"/>
          <w:szCs w:val="19"/>
        </w:rPr>
        <w:t xml:space="preserve">Para difundir la </w:t>
      </w:r>
      <w:r w:rsidR="002A3825">
        <w:rPr>
          <w:rFonts w:ascii="Century Gothic" w:hAnsi="Century Gothic"/>
          <w:sz w:val="19"/>
          <w:szCs w:val="19"/>
        </w:rPr>
        <w:t xml:space="preserve">Norma Técnica del Proceso de Producción de Información Estadística y Geográfica para el INEGI se llevó a cabo </w:t>
      </w:r>
      <w:r w:rsidR="009E5AA4">
        <w:rPr>
          <w:rFonts w:ascii="Century Gothic" w:hAnsi="Century Gothic"/>
          <w:sz w:val="19"/>
          <w:szCs w:val="19"/>
        </w:rPr>
        <w:t>la campaña denominada Ruta 8</w:t>
      </w:r>
      <w:r w:rsidR="00C036A4">
        <w:rPr>
          <w:rFonts w:ascii="Century Gothic" w:hAnsi="Century Gothic"/>
          <w:sz w:val="19"/>
          <w:szCs w:val="19"/>
        </w:rPr>
        <w:t xml:space="preserve">, coordinada por la Dirección General de </w:t>
      </w:r>
      <w:r w:rsidR="00B33C17">
        <w:rPr>
          <w:rFonts w:ascii="Century Gothic" w:hAnsi="Century Gothic"/>
          <w:sz w:val="19"/>
          <w:szCs w:val="19"/>
        </w:rPr>
        <w:t>Comunicación,</w:t>
      </w:r>
      <w:r w:rsidR="00C036A4">
        <w:rPr>
          <w:rFonts w:ascii="Century Gothic" w:hAnsi="Century Gothic"/>
          <w:sz w:val="19"/>
          <w:szCs w:val="19"/>
        </w:rPr>
        <w:t xml:space="preserve"> Servicio Público de Información y Relaciones Institucionales</w:t>
      </w:r>
      <w:r w:rsidR="0034018C" w:rsidRPr="00D10FAA">
        <w:rPr>
          <w:rFonts w:ascii="Century Gothic" w:hAnsi="Century Gothic"/>
          <w:sz w:val="19"/>
          <w:szCs w:val="19"/>
        </w:rPr>
        <w:t xml:space="preserve">.   </w:t>
      </w:r>
    </w:p>
    <w:p w:rsidR="00AF738D" w:rsidRDefault="00102ACA" w:rsidP="00C036A4">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Con apoyo de la Dirección General de Administración, s</w:t>
      </w:r>
      <w:r w:rsidR="00C036A4">
        <w:rPr>
          <w:rFonts w:ascii="Century Gothic" w:hAnsi="Century Gothic"/>
          <w:sz w:val="19"/>
          <w:szCs w:val="19"/>
        </w:rPr>
        <w:t xml:space="preserve">e llevaron a cabo 3 cursos de capacitación de la </w:t>
      </w:r>
      <w:r w:rsidR="00C036A4" w:rsidRPr="00C036A4">
        <w:rPr>
          <w:rFonts w:ascii="Century Gothic" w:hAnsi="Century Gothic"/>
          <w:sz w:val="19"/>
          <w:szCs w:val="19"/>
        </w:rPr>
        <w:t xml:space="preserve">Norma Técnica del Proceso de Producción de Información Estadística y </w:t>
      </w:r>
      <w:r w:rsidR="006C6FA7" w:rsidRPr="00C036A4">
        <w:rPr>
          <w:rFonts w:ascii="Century Gothic" w:hAnsi="Century Gothic"/>
          <w:sz w:val="19"/>
          <w:szCs w:val="19"/>
        </w:rPr>
        <w:t>Geográfica,</w:t>
      </w:r>
      <w:r w:rsidR="00C036A4" w:rsidRPr="00C036A4">
        <w:rPr>
          <w:rFonts w:ascii="Century Gothic" w:hAnsi="Century Gothic"/>
          <w:sz w:val="19"/>
          <w:szCs w:val="19"/>
        </w:rPr>
        <w:t xml:space="preserve"> </w:t>
      </w:r>
      <w:r w:rsidR="00C036A4">
        <w:rPr>
          <w:rFonts w:ascii="Century Gothic" w:hAnsi="Century Gothic"/>
          <w:sz w:val="19"/>
          <w:szCs w:val="19"/>
        </w:rPr>
        <w:t>así como del</w:t>
      </w:r>
      <w:r>
        <w:rPr>
          <w:rFonts w:ascii="Century Gothic" w:hAnsi="Century Gothic"/>
          <w:sz w:val="19"/>
          <w:szCs w:val="19"/>
        </w:rPr>
        <w:t xml:space="preserve"> sistema de evidencias (</w:t>
      </w:r>
      <w:proofErr w:type="spellStart"/>
      <w:r>
        <w:rPr>
          <w:rFonts w:ascii="Century Gothic" w:hAnsi="Century Gothic"/>
          <w:sz w:val="19"/>
          <w:szCs w:val="19"/>
        </w:rPr>
        <w:t>Ptracking</w:t>
      </w:r>
      <w:proofErr w:type="spellEnd"/>
      <w:r>
        <w:rPr>
          <w:rFonts w:ascii="Century Gothic" w:hAnsi="Century Gothic"/>
          <w:sz w:val="19"/>
          <w:szCs w:val="19"/>
        </w:rPr>
        <w:t>)</w:t>
      </w:r>
      <w:r w:rsidR="00D5464C">
        <w:rPr>
          <w:rFonts w:ascii="Century Gothic" w:hAnsi="Century Gothic"/>
          <w:sz w:val="19"/>
          <w:szCs w:val="19"/>
        </w:rPr>
        <w:t>,</w:t>
      </w:r>
      <w:r w:rsidR="00501D41">
        <w:rPr>
          <w:rFonts w:ascii="Century Gothic" w:hAnsi="Century Gothic"/>
          <w:sz w:val="19"/>
          <w:szCs w:val="19"/>
        </w:rPr>
        <w:t xml:space="preserve"> </w:t>
      </w:r>
      <w:r w:rsidR="007D299E">
        <w:rPr>
          <w:rFonts w:ascii="Century Gothic" w:hAnsi="Century Gothic"/>
          <w:sz w:val="19"/>
          <w:szCs w:val="19"/>
        </w:rPr>
        <w:t>en donde se capacitaron alrededor de 9,500 servidores públicos del Instituto</w:t>
      </w:r>
      <w:r w:rsidR="00AF738D" w:rsidRPr="00AF738D">
        <w:rPr>
          <w:rFonts w:ascii="Century Gothic" w:hAnsi="Century Gothic"/>
          <w:sz w:val="19"/>
          <w:szCs w:val="19"/>
        </w:rPr>
        <w:t>.</w:t>
      </w:r>
    </w:p>
    <w:p w:rsidR="00102ACA" w:rsidRPr="009A7B81" w:rsidRDefault="00B16417" w:rsidP="009A7B81">
      <w:pPr>
        <w:numPr>
          <w:ilvl w:val="1"/>
          <w:numId w:val="1"/>
        </w:numPr>
        <w:tabs>
          <w:tab w:val="clear" w:pos="1440"/>
          <w:tab w:val="num" w:pos="284"/>
        </w:tabs>
        <w:spacing w:after="120"/>
        <w:ind w:left="284" w:hanging="284"/>
        <w:jc w:val="both"/>
        <w:rPr>
          <w:rFonts w:ascii="Century Gothic" w:hAnsi="Century Gothic"/>
          <w:sz w:val="19"/>
          <w:szCs w:val="19"/>
        </w:rPr>
      </w:pPr>
      <w:r w:rsidRPr="00662611">
        <w:rPr>
          <w:noProof/>
          <w:lang w:val="en-US"/>
        </w:rPr>
        <w:drawing>
          <wp:anchor distT="0" distB="0" distL="114300" distR="114300" simplePos="0" relativeHeight="251718656" behindDoc="1" locked="0" layoutInCell="1" allowOverlap="1" wp14:anchorId="525CCF67" wp14:editId="4D8D748A">
            <wp:simplePos x="0" y="0"/>
            <wp:positionH relativeFrom="margin">
              <wp:posOffset>5680075</wp:posOffset>
            </wp:positionH>
            <wp:positionV relativeFrom="paragraph">
              <wp:posOffset>563880</wp:posOffset>
            </wp:positionV>
            <wp:extent cx="1552575" cy="1560195"/>
            <wp:effectExtent l="0" t="0" r="952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B81" w:rsidRPr="009A7B81">
        <w:rPr>
          <w:rFonts w:ascii="Century Gothic" w:hAnsi="Century Gothic"/>
          <w:sz w:val="19"/>
          <w:szCs w:val="19"/>
        </w:rPr>
        <w:t>Destaca la participación y coordinación de d</w:t>
      </w:r>
      <w:r w:rsidR="00F97825" w:rsidRPr="009A7B81">
        <w:rPr>
          <w:rFonts w:ascii="Century Gothic" w:hAnsi="Century Gothic"/>
          <w:sz w:val="19"/>
          <w:szCs w:val="19"/>
        </w:rPr>
        <w:t>istintas áreas del INEGI en el desarrollo de tres cursos de capacitación relacionados con los programas que utilizan como insumo registros administrativos</w:t>
      </w:r>
      <w:r w:rsidR="009A7B81" w:rsidRPr="009A7B81">
        <w:rPr>
          <w:rFonts w:ascii="Century Gothic" w:hAnsi="Century Gothic"/>
          <w:sz w:val="19"/>
          <w:szCs w:val="19"/>
        </w:rPr>
        <w:t>: Herramienta de Evaluación de la Calidad de los Registros Administrativos (HECRA)</w:t>
      </w:r>
      <w:r w:rsidR="00D5464C">
        <w:rPr>
          <w:rFonts w:ascii="Century Gothic" w:hAnsi="Century Gothic"/>
          <w:sz w:val="19"/>
          <w:szCs w:val="19"/>
        </w:rPr>
        <w:t>,</w:t>
      </w:r>
      <w:r w:rsidR="009A7B81" w:rsidRPr="009A7B81">
        <w:rPr>
          <w:rFonts w:ascii="Century Gothic" w:hAnsi="Century Gothic"/>
          <w:sz w:val="19"/>
          <w:szCs w:val="19"/>
        </w:rPr>
        <w:t xml:space="preserve"> Indicadores de Precisión y Confiabilidad</w:t>
      </w:r>
      <w:r w:rsidR="00D5464C">
        <w:rPr>
          <w:rFonts w:ascii="Century Gothic" w:hAnsi="Century Gothic"/>
          <w:sz w:val="19"/>
          <w:szCs w:val="19"/>
        </w:rPr>
        <w:t>,</w:t>
      </w:r>
      <w:r w:rsidR="00CA2880">
        <w:rPr>
          <w:rFonts w:ascii="Century Gothic" w:hAnsi="Century Gothic"/>
          <w:sz w:val="19"/>
          <w:szCs w:val="19"/>
        </w:rPr>
        <w:t xml:space="preserve"> y</w:t>
      </w:r>
      <w:r w:rsidR="009A7B81">
        <w:rPr>
          <w:rFonts w:ascii="Century Gothic" w:hAnsi="Century Gothic"/>
          <w:sz w:val="19"/>
          <w:szCs w:val="19"/>
        </w:rPr>
        <w:t xml:space="preserve"> </w:t>
      </w:r>
      <w:r w:rsidR="009A7B81" w:rsidRPr="009A7B81">
        <w:rPr>
          <w:rFonts w:ascii="Century Gothic" w:hAnsi="Century Gothic"/>
          <w:sz w:val="19"/>
          <w:szCs w:val="19"/>
        </w:rPr>
        <w:t>Fortalecimiento de los programas de registros administrativos</w:t>
      </w:r>
      <w:r w:rsidR="009A7B81">
        <w:rPr>
          <w:rFonts w:ascii="Century Gothic" w:hAnsi="Century Gothic"/>
          <w:sz w:val="19"/>
          <w:szCs w:val="19"/>
        </w:rPr>
        <w:t>.</w:t>
      </w:r>
    </w:p>
    <w:p w:rsidR="00A6617B" w:rsidRPr="00ED08C3" w:rsidRDefault="00ED08C3" w:rsidP="00ED08C3">
      <w:pPr>
        <w:spacing w:after="120"/>
        <w:jc w:val="both"/>
        <w:rPr>
          <w:rFonts w:ascii="Century Gothic" w:hAnsi="Century Gothic"/>
        </w:rPr>
      </w:pPr>
      <w:r>
        <w:rPr>
          <w:rFonts w:ascii="Century Gothic" w:hAnsi="Century Gothic"/>
        </w:rPr>
        <w:t>Retos:</w:t>
      </w:r>
    </w:p>
    <w:p w:rsidR="00042159" w:rsidRPr="00515AA1" w:rsidRDefault="00515AA1" w:rsidP="000C384B">
      <w:pPr>
        <w:numPr>
          <w:ilvl w:val="1"/>
          <w:numId w:val="1"/>
        </w:numPr>
        <w:tabs>
          <w:tab w:val="clear" w:pos="1440"/>
          <w:tab w:val="num" w:pos="284"/>
        </w:tabs>
        <w:spacing w:after="120"/>
        <w:ind w:left="284" w:right="2006" w:hanging="284"/>
        <w:jc w:val="both"/>
        <w:rPr>
          <w:rFonts w:ascii="Century Gothic" w:hAnsi="Century Gothic"/>
        </w:rPr>
      </w:pPr>
      <w:r>
        <w:rPr>
          <w:rFonts w:ascii="Century Gothic" w:hAnsi="Century Gothic"/>
          <w:sz w:val="19"/>
          <w:szCs w:val="19"/>
        </w:rPr>
        <w:t xml:space="preserve">Desarrollar el </w:t>
      </w:r>
      <w:r w:rsidR="00A36E05">
        <w:rPr>
          <w:rFonts w:ascii="Century Gothic" w:hAnsi="Century Gothic"/>
          <w:sz w:val="19"/>
          <w:szCs w:val="19"/>
        </w:rPr>
        <w:t>Sistema</w:t>
      </w:r>
      <w:r>
        <w:rPr>
          <w:rFonts w:ascii="Century Gothic" w:hAnsi="Century Gothic"/>
          <w:sz w:val="19"/>
          <w:szCs w:val="19"/>
        </w:rPr>
        <w:t xml:space="preserve"> de Seguimiento de Cambios y capacitar al personal del INEGI para que se documenten los cambios en el diseño de los programas conforme lo establecido en los lineamientos</w:t>
      </w:r>
      <w:r w:rsidR="00181E41" w:rsidRPr="00D10FAA">
        <w:rPr>
          <w:rFonts w:ascii="Century Gothic" w:hAnsi="Century Gothic"/>
          <w:sz w:val="19"/>
          <w:szCs w:val="19"/>
        </w:rPr>
        <w:t>.</w:t>
      </w:r>
    </w:p>
    <w:p w:rsidR="00515AA1" w:rsidRPr="00D10FAA" w:rsidRDefault="00515AA1" w:rsidP="000C384B">
      <w:pPr>
        <w:numPr>
          <w:ilvl w:val="1"/>
          <w:numId w:val="1"/>
        </w:numPr>
        <w:tabs>
          <w:tab w:val="clear" w:pos="1440"/>
          <w:tab w:val="num" w:pos="284"/>
        </w:tabs>
        <w:spacing w:after="120"/>
        <w:ind w:left="284" w:right="2006" w:hanging="284"/>
        <w:jc w:val="both"/>
        <w:rPr>
          <w:rFonts w:ascii="Century Gothic" w:hAnsi="Century Gothic"/>
        </w:rPr>
      </w:pPr>
      <w:r>
        <w:rPr>
          <w:rFonts w:ascii="Century Gothic" w:hAnsi="Century Gothic"/>
          <w:sz w:val="19"/>
          <w:szCs w:val="19"/>
        </w:rPr>
        <w:t>Reforzar la capacitación para todas las iniciativas aprobadas por el Comité de Aseguramiento de la Calidad.</w:t>
      </w:r>
    </w:p>
    <w:p w:rsidR="00042159" w:rsidRDefault="00042159" w:rsidP="00042159">
      <w:pPr>
        <w:spacing w:after="120"/>
        <w:rPr>
          <w:rFonts w:ascii="Century Gothic" w:hAnsi="Century Gothic"/>
        </w:rPr>
      </w:pPr>
    </w:p>
    <w:tbl>
      <w:tblPr>
        <w:tblW w:w="12128" w:type="dxa"/>
        <w:tblInd w:w="-709" w:type="dxa"/>
        <w:tblLook w:val="04A0" w:firstRow="1" w:lastRow="0" w:firstColumn="1" w:lastColumn="0" w:noHBand="0" w:noVBand="1"/>
      </w:tblPr>
      <w:tblGrid>
        <w:gridCol w:w="283"/>
        <w:gridCol w:w="11845"/>
      </w:tblGrid>
      <w:tr w:rsidR="00AF738D" w:rsidTr="004D4CBC">
        <w:tc>
          <w:tcPr>
            <w:tcW w:w="283" w:type="dxa"/>
            <w:vAlign w:val="center"/>
          </w:tcPr>
          <w:p w:rsidR="00AF738D" w:rsidRDefault="00AF738D" w:rsidP="00042159">
            <w:pPr>
              <w:spacing w:after="120"/>
              <w:rPr>
                <w:rFonts w:ascii="Century Gothic" w:hAnsi="Century Gothic"/>
              </w:rPr>
            </w:pPr>
          </w:p>
        </w:tc>
        <w:tc>
          <w:tcPr>
            <w:tcW w:w="11845" w:type="dxa"/>
            <w:vAlign w:val="center"/>
          </w:tcPr>
          <w:p w:rsidR="00AF738D" w:rsidRDefault="004D4CBC" w:rsidP="004D4CBC">
            <w:pPr>
              <w:spacing w:after="120"/>
              <w:rPr>
                <w:rFonts w:ascii="Century Gothic" w:hAnsi="Century Gothic"/>
              </w:rPr>
            </w:pPr>
            <w:r w:rsidRPr="004D4CBC">
              <w:rPr>
                <w:rFonts w:ascii="Century Gothic" w:hAnsi="Century Gothic"/>
                <w:noProof/>
                <w:lang w:val="en-US"/>
              </w:rPr>
              <w:drawing>
                <wp:inline distT="0" distB="0" distL="0" distR="0" wp14:anchorId="46BCAEF8" wp14:editId="4F913BF5">
                  <wp:extent cx="6973059" cy="6758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8891" cy="677396"/>
                          </a:xfrm>
                          <a:prstGeom prst="rect">
                            <a:avLst/>
                          </a:prstGeom>
                          <a:noFill/>
                          <a:ln>
                            <a:noFill/>
                          </a:ln>
                        </pic:spPr>
                      </pic:pic>
                    </a:graphicData>
                  </a:graphic>
                </wp:inline>
              </w:drawing>
            </w:r>
          </w:p>
        </w:tc>
      </w:tr>
    </w:tbl>
    <w:p w:rsidR="00042159" w:rsidRPr="00D10FAA" w:rsidRDefault="00042159" w:rsidP="00042159">
      <w:pPr>
        <w:spacing w:after="120"/>
        <w:rPr>
          <w:rFonts w:ascii="Century Gothic" w:hAnsi="Century Gothic"/>
        </w:rPr>
      </w:pPr>
      <w:r w:rsidRPr="00D10FAA">
        <w:rPr>
          <w:rFonts w:ascii="Century Gothic" w:hAnsi="Century Gothic"/>
        </w:rPr>
        <w:br w:type="page"/>
      </w:r>
    </w:p>
    <w:tbl>
      <w:tblPr>
        <w:tblW w:w="10065" w:type="dxa"/>
        <w:tblLook w:val="04A0" w:firstRow="1" w:lastRow="0" w:firstColumn="1" w:lastColumn="0" w:noHBand="0" w:noVBand="1"/>
      </w:tblPr>
      <w:tblGrid>
        <w:gridCol w:w="4962"/>
        <w:gridCol w:w="5103"/>
      </w:tblGrid>
      <w:tr w:rsidR="00C85F67" w:rsidRPr="00D10FAA" w:rsidTr="005C51EA">
        <w:tc>
          <w:tcPr>
            <w:tcW w:w="4962" w:type="dxa"/>
            <w:vAlign w:val="center"/>
          </w:tcPr>
          <w:p w:rsidR="00C85F67" w:rsidRPr="00D10FAA" w:rsidRDefault="00C85F67" w:rsidP="005C51EA">
            <w:pPr>
              <w:spacing w:after="120"/>
              <w:jc w:val="center"/>
              <w:rPr>
                <w:rFonts w:ascii="Century Gothic" w:hAnsi="Century Gothic"/>
              </w:rPr>
            </w:pPr>
          </w:p>
        </w:tc>
        <w:tc>
          <w:tcPr>
            <w:tcW w:w="5103" w:type="dxa"/>
            <w:vAlign w:val="center"/>
          </w:tcPr>
          <w:p w:rsidR="00C85F67" w:rsidRPr="00D10FAA" w:rsidRDefault="00C85F67" w:rsidP="005C51EA">
            <w:pPr>
              <w:spacing w:after="120"/>
              <w:jc w:val="right"/>
              <w:rPr>
                <w:rFonts w:ascii="Century Gothic" w:hAnsi="Century Gothic"/>
              </w:rPr>
            </w:pPr>
          </w:p>
        </w:tc>
      </w:tr>
    </w:tbl>
    <w:p w:rsidR="00C85F67" w:rsidRPr="00D10FAA" w:rsidRDefault="00C85F67" w:rsidP="00C85F67">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C85F67" w:rsidRPr="0022505B" w:rsidTr="005C51EA">
        <w:trPr>
          <w:trHeight w:val="201"/>
        </w:trPr>
        <w:tc>
          <w:tcPr>
            <w:tcW w:w="4820" w:type="dxa"/>
            <w:shd w:val="clear" w:color="auto" w:fill="1F3864" w:themeFill="accent5" w:themeFillShade="80"/>
          </w:tcPr>
          <w:p w:rsidR="00C85F67" w:rsidRPr="0022505B" w:rsidRDefault="00C85F67" w:rsidP="005C51EA">
            <w:pPr>
              <w:rPr>
                <w:rFonts w:cstheme="minorHAnsi"/>
                <w:color w:val="FFFFFF" w:themeColor="background1"/>
                <w:sz w:val="14"/>
                <w:szCs w:val="32"/>
              </w:rPr>
            </w:pPr>
          </w:p>
        </w:tc>
        <w:tc>
          <w:tcPr>
            <w:tcW w:w="7513" w:type="dxa"/>
            <w:shd w:val="clear" w:color="auto" w:fill="0079BF"/>
          </w:tcPr>
          <w:p w:rsidR="00C85F67" w:rsidRPr="0022505B" w:rsidRDefault="00C85F67" w:rsidP="005C51EA">
            <w:pPr>
              <w:rPr>
                <w:rFonts w:cstheme="minorHAnsi"/>
                <w:color w:val="FFFFFF" w:themeColor="background1"/>
                <w:sz w:val="14"/>
                <w:szCs w:val="32"/>
              </w:rPr>
            </w:pPr>
          </w:p>
        </w:tc>
      </w:tr>
      <w:tr w:rsidR="00C85F67" w:rsidRPr="0022505B" w:rsidTr="005C51EA">
        <w:trPr>
          <w:trHeight w:val="201"/>
        </w:trPr>
        <w:tc>
          <w:tcPr>
            <w:tcW w:w="4820" w:type="dxa"/>
            <w:shd w:val="clear" w:color="auto" w:fill="auto"/>
          </w:tcPr>
          <w:p w:rsidR="00C85F67" w:rsidRPr="0022505B" w:rsidRDefault="00C85F67" w:rsidP="005C51EA">
            <w:pPr>
              <w:rPr>
                <w:rFonts w:cstheme="minorHAnsi"/>
                <w:color w:val="FFFFFF" w:themeColor="background1"/>
                <w:sz w:val="32"/>
                <w:szCs w:val="32"/>
              </w:rPr>
            </w:pPr>
          </w:p>
        </w:tc>
        <w:tc>
          <w:tcPr>
            <w:tcW w:w="7513" w:type="dxa"/>
            <w:shd w:val="clear" w:color="auto" w:fill="auto"/>
          </w:tcPr>
          <w:p w:rsidR="00C85F67" w:rsidRPr="0022505B" w:rsidRDefault="00C85F67" w:rsidP="005C51EA">
            <w:pPr>
              <w:rPr>
                <w:rFonts w:cstheme="minorHAnsi"/>
                <w:color w:val="FFFFFF" w:themeColor="background1"/>
                <w:sz w:val="32"/>
                <w:szCs w:val="32"/>
              </w:rPr>
            </w:pPr>
          </w:p>
        </w:tc>
      </w:tr>
      <w:tr w:rsidR="00C85F67" w:rsidRPr="0022505B" w:rsidTr="005C51EA">
        <w:trPr>
          <w:trHeight w:val="201"/>
        </w:trPr>
        <w:tc>
          <w:tcPr>
            <w:tcW w:w="4820" w:type="dxa"/>
            <w:shd w:val="clear" w:color="auto" w:fill="1F3864" w:themeFill="accent5" w:themeFillShade="80"/>
          </w:tcPr>
          <w:p w:rsidR="00C85F67" w:rsidRPr="0022505B" w:rsidRDefault="00C85F67" w:rsidP="005C51EA">
            <w:pPr>
              <w:rPr>
                <w:rFonts w:cstheme="minorHAnsi"/>
                <w:color w:val="FFFFFF" w:themeColor="background1"/>
                <w:sz w:val="12"/>
                <w:szCs w:val="32"/>
              </w:rPr>
            </w:pPr>
          </w:p>
        </w:tc>
        <w:tc>
          <w:tcPr>
            <w:tcW w:w="7513" w:type="dxa"/>
            <w:shd w:val="clear" w:color="auto" w:fill="0079BF"/>
          </w:tcPr>
          <w:p w:rsidR="00C85F67" w:rsidRPr="0022505B" w:rsidRDefault="00C85F67" w:rsidP="005C51EA">
            <w:pPr>
              <w:rPr>
                <w:rFonts w:cstheme="minorHAnsi"/>
                <w:color w:val="FFFFFF" w:themeColor="background1"/>
                <w:sz w:val="12"/>
                <w:szCs w:val="32"/>
              </w:rPr>
            </w:pPr>
          </w:p>
        </w:tc>
      </w:tr>
    </w:tbl>
    <w:p w:rsidR="00C85F67" w:rsidRPr="00D10FAA" w:rsidRDefault="00C85F67" w:rsidP="00C85F67">
      <w:pPr>
        <w:spacing w:after="120"/>
        <w:rPr>
          <w:rFonts w:ascii="Century Gothic" w:hAnsi="Century Gothic"/>
        </w:rPr>
      </w:pPr>
    </w:p>
    <w:p w:rsidR="00C85F67" w:rsidRPr="00D10FAA" w:rsidRDefault="00C85F67" w:rsidP="00C85F67">
      <w:pPr>
        <w:spacing w:after="120"/>
        <w:rPr>
          <w:rFonts w:ascii="Century Gothic" w:hAnsi="Century Gothic"/>
        </w:rPr>
      </w:pPr>
    </w:p>
    <w:p w:rsidR="00C85F67" w:rsidRPr="00D10FAA" w:rsidRDefault="00C85F67" w:rsidP="00C85F67">
      <w:pPr>
        <w:spacing w:after="120"/>
        <w:rPr>
          <w:rFonts w:ascii="Century Gothic" w:hAnsi="Century Gothic"/>
        </w:rPr>
      </w:pPr>
    </w:p>
    <w:p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rsidR="001A37C4" w:rsidRPr="0022505B" w:rsidRDefault="00C85F67" w:rsidP="00252A6C">
      <w:pPr>
        <w:pStyle w:val="Default"/>
        <w:spacing w:after="120"/>
        <w:jc w:val="center"/>
        <w:outlineLvl w:val="0"/>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bookmarkStart w:id="7" w:name="_Toc34310020"/>
      <w: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ANEXOS</w:t>
      </w:r>
      <w:r w:rsidR="001A37C4">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w:t>
      </w:r>
      <w:r w:rsidR="00252A6C">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br/>
      </w:r>
      <w:r w:rsidR="001A37C4">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 xml:space="preserve">RESULTADOS DE LOS </w:t>
      </w:r>
      <w:r w:rsidR="001A37C4">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br/>
        <w:t>INDICADORES APROBADOS</w:t>
      </w:r>
      <w:bookmarkEnd w:id="7"/>
    </w:p>
    <w:p w:rsidR="00C85F67" w:rsidRPr="00D10FAA" w:rsidRDefault="00C85F67" w:rsidP="00C85F67">
      <w:pPr>
        <w:spacing w:after="120"/>
        <w:rPr>
          <w:rFonts w:ascii="Century Gothic" w:hAnsi="Century Gothic"/>
        </w:rPr>
      </w:pPr>
    </w:p>
    <w:p w:rsidR="00C85F67" w:rsidRDefault="00C85F67" w:rsidP="00C85F67">
      <w:pPr>
        <w:spacing w:after="120"/>
        <w:rPr>
          <w:rFonts w:ascii="Century Gothic" w:hAnsi="Century Gothic"/>
        </w:rPr>
      </w:pPr>
    </w:p>
    <w:p w:rsidR="00C85F67" w:rsidRPr="00D10FAA" w:rsidRDefault="00C85F67" w:rsidP="00C85F67">
      <w:pPr>
        <w:spacing w:after="120"/>
        <w:rPr>
          <w:rFonts w:ascii="Century Gothic" w:hAnsi="Century Gothic"/>
        </w:rPr>
      </w:pPr>
    </w:p>
    <w:p w:rsidR="00C85F67" w:rsidRDefault="00C85F67" w:rsidP="00C85F67">
      <w:pPr>
        <w:spacing w:after="120"/>
        <w:rPr>
          <w:rFonts w:ascii="Century Gothic" w:hAnsi="Century Gothic"/>
        </w:rPr>
      </w:pPr>
    </w:p>
    <w:p w:rsidR="00C85F67" w:rsidRPr="00D10FAA" w:rsidRDefault="00C85F67" w:rsidP="00C85F67">
      <w:pPr>
        <w:spacing w:after="120"/>
        <w:rPr>
          <w:rFonts w:ascii="Century Gothic" w:hAnsi="Century Gothic"/>
        </w:rPr>
      </w:pPr>
    </w:p>
    <w:p w:rsidR="00C85F67" w:rsidRPr="00D10FAA" w:rsidRDefault="00C85F67" w:rsidP="00C85F67">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C85F67" w:rsidRPr="0022505B" w:rsidTr="005C51EA">
        <w:trPr>
          <w:trHeight w:val="201"/>
        </w:trPr>
        <w:tc>
          <w:tcPr>
            <w:tcW w:w="4820" w:type="dxa"/>
            <w:shd w:val="clear" w:color="auto" w:fill="1F3864" w:themeFill="accent5" w:themeFillShade="80"/>
          </w:tcPr>
          <w:p w:rsidR="00C85F67" w:rsidRPr="0022505B" w:rsidRDefault="00C85F67" w:rsidP="005C51EA">
            <w:pPr>
              <w:rPr>
                <w:rFonts w:cstheme="minorHAnsi"/>
                <w:color w:val="FFFFFF" w:themeColor="background1"/>
                <w:sz w:val="14"/>
                <w:szCs w:val="32"/>
              </w:rPr>
            </w:pPr>
          </w:p>
        </w:tc>
        <w:tc>
          <w:tcPr>
            <w:tcW w:w="7513" w:type="dxa"/>
            <w:shd w:val="clear" w:color="auto" w:fill="0079BF"/>
          </w:tcPr>
          <w:p w:rsidR="00C85F67" w:rsidRPr="0022505B" w:rsidRDefault="00C85F67" w:rsidP="005C51EA">
            <w:pPr>
              <w:rPr>
                <w:rFonts w:cstheme="minorHAnsi"/>
                <w:color w:val="FFFFFF" w:themeColor="background1"/>
                <w:sz w:val="14"/>
                <w:szCs w:val="32"/>
              </w:rPr>
            </w:pPr>
          </w:p>
        </w:tc>
      </w:tr>
      <w:tr w:rsidR="00C85F67" w:rsidRPr="0022505B" w:rsidTr="005C51EA">
        <w:trPr>
          <w:trHeight w:val="201"/>
        </w:trPr>
        <w:tc>
          <w:tcPr>
            <w:tcW w:w="4820" w:type="dxa"/>
            <w:shd w:val="clear" w:color="auto" w:fill="auto"/>
          </w:tcPr>
          <w:p w:rsidR="00C85F67" w:rsidRPr="0022505B" w:rsidRDefault="00C85F67" w:rsidP="005C51EA">
            <w:pPr>
              <w:rPr>
                <w:rFonts w:cstheme="minorHAnsi"/>
                <w:color w:val="FFFFFF" w:themeColor="background1"/>
                <w:sz w:val="32"/>
                <w:szCs w:val="32"/>
              </w:rPr>
            </w:pPr>
          </w:p>
        </w:tc>
        <w:tc>
          <w:tcPr>
            <w:tcW w:w="7513" w:type="dxa"/>
            <w:shd w:val="clear" w:color="auto" w:fill="auto"/>
          </w:tcPr>
          <w:p w:rsidR="00C85F67" w:rsidRPr="0022505B" w:rsidRDefault="00C85F67" w:rsidP="005C51EA">
            <w:pPr>
              <w:rPr>
                <w:rFonts w:cstheme="minorHAnsi"/>
                <w:color w:val="FFFFFF" w:themeColor="background1"/>
                <w:sz w:val="32"/>
                <w:szCs w:val="32"/>
              </w:rPr>
            </w:pPr>
          </w:p>
        </w:tc>
      </w:tr>
      <w:tr w:rsidR="00C85F67" w:rsidRPr="0022505B" w:rsidTr="005C51EA">
        <w:trPr>
          <w:trHeight w:val="201"/>
        </w:trPr>
        <w:tc>
          <w:tcPr>
            <w:tcW w:w="4820" w:type="dxa"/>
            <w:shd w:val="clear" w:color="auto" w:fill="1F3864" w:themeFill="accent5" w:themeFillShade="80"/>
          </w:tcPr>
          <w:p w:rsidR="00C85F67" w:rsidRPr="0022505B" w:rsidRDefault="00C85F67" w:rsidP="005C51EA">
            <w:pPr>
              <w:rPr>
                <w:rFonts w:cstheme="minorHAnsi"/>
                <w:color w:val="FFFFFF" w:themeColor="background1"/>
                <w:sz w:val="12"/>
                <w:szCs w:val="32"/>
              </w:rPr>
            </w:pPr>
          </w:p>
        </w:tc>
        <w:tc>
          <w:tcPr>
            <w:tcW w:w="7513" w:type="dxa"/>
            <w:shd w:val="clear" w:color="auto" w:fill="0079BF"/>
          </w:tcPr>
          <w:p w:rsidR="00C85F67" w:rsidRPr="0022505B" w:rsidRDefault="00C85F67" w:rsidP="005C51EA">
            <w:pPr>
              <w:rPr>
                <w:rFonts w:cstheme="minorHAnsi"/>
                <w:color w:val="FFFFFF" w:themeColor="background1"/>
                <w:sz w:val="12"/>
                <w:szCs w:val="32"/>
              </w:rPr>
            </w:pPr>
          </w:p>
        </w:tc>
      </w:tr>
    </w:tbl>
    <w:p w:rsidR="00C85F67" w:rsidRDefault="00C85F67" w:rsidP="00C85F67">
      <w:pPr>
        <w:rPr>
          <w:rFonts w:ascii="Century Gothic" w:hAnsi="Century Gothic"/>
        </w:rPr>
      </w:pPr>
      <w:r>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C86454" w:rsidRPr="0022505B" w:rsidTr="005C51EA">
        <w:trPr>
          <w:trHeight w:val="201"/>
        </w:trPr>
        <w:tc>
          <w:tcPr>
            <w:tcW w:w="4820" w:type="dxa"/>
            <w:shd w:val="clear" w:color="auto" w:fill="1F3864" w:themeFill="accent5" w:themeFillShade="80"/>
          </w:tcPr>
          <w:p w:rsidR="00C86454" w:rsidRPr="0022505B" w:rsidRDefault="00C86454" w:rsidP="005C51EA">
            <w:pPr>
              <w:rPr>
                <w:rFonts w:cstheme="minorHAnsi"/>
                <w:color w:val="FFFFFF" w:themeColor="background1"/>
                <w:sz w:val="14"/>
                <w:szCs w:val="32"/>
              </w:rPr>
            </w:pPr>
          </w:p>
        </w:tc>
        <w:tc>
          <w:tcPr>
            <w:tcW w:w="7513" w:type="dxa"/>
            <w:shd w:val="clear" w:color="auto" w:fill="0079BF"/>
          </w:tcPr>
          <w:p w:rsidR="00C86454" w:rsidRPr="0022505B" w:rsidRDefault="00C86454" w:rsidP="005C51EA">
            <w:pPr>
              <w:rPr>
                <w:rFonts w:cstheme="minorHAnsi"/>
                <w:color w:val="FFFFFF" w:themeColor="background1"/>
                <w:sz w:val="14"/>
                <w:szCs w:val="32"/>
              </w:rPr>
            </w:pPr>
          </w:p>
        </w:tc>
      </w:tr>
      <w:tr w:rsidR="00C86454" w:rsidRPr="0022505B" w:rsidTr="005C51EA">
        <w:trPr>
          <w:trHeight w:val="201"/>
        </w:trPr>
        <w:tc>
          <w:tcPr>
            <w:tcW w:w="12333" w:type="dxa"/>
            <w:gridSpan w:val="2"/>
            <w:shd w:val="clear" w:color="auto" w:fill="auto"/>
          </w:tcPr>
          <w:p w:rsidR="00C86454" w:rsidRPr="00613C02" w:rsidRDefault="00C86454" w:rsidP="00882081">
            <w:pPr>
              <w:spacing w:after="0"/>
              <w:jc w:val="center"/>
              <w:rPr>
                <w:rFonts w:cstheme="minorHAnsi"/>
                <w:color w:val="000000" w:themeColor="text1"/>
                <w:sz w:val="32"/>
                <w:szCs w:val="32"/>
              </w:rPr>
            </w:pPr>
            <w:r>
              <w:rPr>
                <w:rFonts w:cstheme="minorHAnsi"/>
                <w:color w:val="000000" w:themeColor="text1"/>
                <w:sz w:val="32"/>
                <w:szCs w:val="32"/>
              </w:rPr>
              <w:t>ANEXO 1</w:t>
            </w:r>
          </w:p>
        </w:tc>
      </w:tr>
      <w:tr w:rsidR="00C86454" w:rsidRPr="0022505B" w:rsidTr="005C51EA">
        <w:trPr>
          <w:trHeight w:val="201"/>
        </w:trPr>
        <w:tc>
          <w:tcPr>
            <w:tcW w:w="4820" w:type="dxa"/>
            <w:shd w:val="clear" w:color="auto" w:fill="1F3864" w:themeFill="accent5" w:themeFillShade="80"/>
          </w:tcPr>
          <w:p w:rsidR="00C86454" w:rsidRPr="0022505B" w:rsidRDefault="00C86454" w:rsidP="005C51EA">
            <w:pPr>
              <w:rPr>
                <w:rFonts w:cstheme="minorHAnsi"/>
                <w:color w:val="FFFFFF" w:themeColor="background1"/>
                <w:sz w:val="12"/>
                <w:szCs w:val="32"/>
              </w:rPr>
            </w:pPr>
          </w:p>
        </w:tc>
        <w:tc>
          <w:tcPr>
            <w:tcW w:w="7513" w:type="dxa"/>
            <w:shd w:val="clear" w:color="auto" w:fill="0079BF"/>
          </w:tcPr>
          <w:p w:rsidR="00C86454" w:rsidRPr="0022505B" w:rsidRDefault="00C86454" w:rsidP="005C51EA">
            <w:pPr>
              <w:rPr>
                <w:rFonts w:cstheme="minorHAnsi"/>
                <w:color w:val="FFFFFF" w:themeColor="background1"/>
                <w:sz w:val="12"/>
                <w:szCs w:val="32"/>
              </w:rPr>
            </w:pPr>
          </w:p>
        </w:tc>
      </w:tr>
    </w:tbl>
    <w:p w:rsidR="00C86454" w:rsidRPr="00124E04" w:rsidRDefault="00C86454" w:rsidP="00C86454">
      <w:pPr>
        <w:spacing w:after="120"/>
        <w:rPr>
          <w:rFonts w:ascii="Century Gothic" w:hAnsi="Century Gothic"/>
          <w:b/>
          <w:sz w:val="18"/>
        </w:rPr>
      </w:pPr>
    </w:p>
    <w:p w:rsidR="00C86454" w:rsidRPr="00252CA7" w:rsidRDefault="00C86454" w:rsidP="00C86454">
      <w:pPr>
        <w:pStyle w:val="Ttulo1"/>
        <w:spacing w:before="0"/>
        <w:rPr>
          <w:rFonts w:ascii="Century Gothic" w:eastAsiaTheme="minorHAnsi" w:hAnsi="Century Gothic" w:cstheme="minorBidi"/>
          <w:b/>
          <w:color w:val="auto"/>
          <w:sz w:val="22"/>
          <w:szCs w:val="22"/>
        </w:rPr>
      </w:pPr>
      <w:bookmarkStart w:id="8" w:name="_Toc34310021"/>
      <w:r w:rsidRPr="00252CA7">
        <w:rPr>
          <w:rFonts w:ascii="Century Gothic" w:eastAsiaTheme="minorHAnsi" w:hAnsi="Century Gothic" w:cstheme="minorBidi"/>
          <w:b/>
          <w:color w:val="auto"/>
          <w:sz w:val="22"/>
          <w:szCs w:val="22"/>
        </w:rPr>
        <w:t>Anexo 1: Indicador</w:t>
      </w:r>
      <w:r>
        <w:rPr>
          <w:rFonts w:ascii="Century Gothic" w:eastAsiaTheme="minorHAnsi" w:hAnsi="Century Gothic" w:cstheme="minorBidi"/>
          <w:b/>
          <w:color w:val="auto"/>
          <w:sz w:val="22"/>
          <w:szCs w:val="22"/>
        </w:rPr>
        <w:t>es</w:t>
      </w:r>
      <w:r w:rsidRPr="00252CA7">
        <w:rPr>
          <w:rFonts w:ascii="Century Gothic" w:eastAsiaTheme="minorHAnsi" w:hAnsi="Century Gothic" w:cstheme="minorBidi"/>
          <w:b/>
          <w:color w:val="auto"/>
          <w:sz w:val="22"/>
          <w:szCs w:val="22"/>
        </w:rPr>
        <w:t xml:space="preserve"> de </w:t>
      </w:r>
      <w:r>
        <w:rPr>
          <w:rFonts w:ascii="Century Gothic" w:eastAsiaTheme="minorHAnsi" w:hAnsi="Century Gothic" w:cstheme="minorBidi"/>
          <w:b/>
          <w:color w:val="auto"/>
          <w:sz w:val="22"/>
          <w:szCs w:val="22"/>
        </w:rPr>
        <w:t>Pertinencia</w:t>
      </w:r>
      <w:bookmarkEnd w:id="8"/>
    </w:p>
    <w:p w:rsidR="00C86454" w:rsidRDefault="00C86454" w:rsidP="00C86454">
      <w:pPr>
        <w:spacing w:before="240"/>
        <w:jc w:val="both"/>
        <w:rPr>
          <w:rFonts w:ascii="Century Gothic" w:hAnsi="Century Gothic"/>
          <w:sz w:val="19"/>
          <w:szCs w:val="19"/>
        </w:rPr>
      </w:pPr>
      <w:r w:rsidRPr="00D10FAA">
        <w:rPr>
          <w:rFonts w:ascii="Century Gothic" w:hAnsi="Century Gothic"/>
          <w:sz w:val="19"/>
          <w:szCs w:val="19"/>
        </w:rPr>
        <w:t xml:space="preserve">Conforme </w:t>
      </w:r>
      <w:r w:rsidR="00405D92">
        <w:rPr>
          <w:rFonts w:ascii="Century Gothic" w:hAnsi="Century Gothic"/>
          <w:sz w:val="19"/>
          <w:szCs w:val="19"/>
        </w:rPr>
        <w:t>a</w:t>
      </w:r>
      <w:r w:rsidRPr="00D10FAA">
        <w:rPr>
          <w:rFonts w:ascii="Century Gothic" w:hAnsi="Century Gothic"/>
          <w:sz w:val="19"/>
          <w:szCs w:val="19"/>
        </w:rPr>
        <w:t xml:space="preserve"> la Política de Calidad Institucional, la </w:t>
      </w:r>
      <w:r w:rsidR="007068A8">
        <w:rPr>
          <w:rFonts w:ascii="Century Gothic" w:hAnsi="Century Gothic"/>
          <w:sz w:val="19"/>
          <w:szCs w:val="19"/>
        </w:rPr>
        <w:t xml:space="preserve">pertinencia </w:t>
      </w:r>
      <w:r w:rsidR="00213284">
        <w:rPr>
          <w:rFonts w:ascii="Century Gothic" w:hAnsi="Century Gothic"/>
          <w:sz w:val="19"/>
          <w:szCs w:val="19"/>
        </w:rPr>
        <w:t>se refiere a que l</w:t>
      </w:r>
      <w:r w:rsidR="00213284" w:rsidRPr="00213284">
        <w:rPr>
          <w:rFonts w:ascii="Century Gothic" w:hAnsi="Century Gothic"/>
          <w:sz w:val="19"/>
          <w:szCs w:val="19"/>
        </w:rPr>
        <w:t>a información estadística y geográfica satisfa</w:t>
      </w:r>
      <w:r w:rsidR="00213284">
        <w:rPr>
          <w:rFonts w:ascii="Century Gothic" w:hAnsi="Century Gothic"/>
          <w:sz w:val="19"/>
          <w:szCs w:val="19"/>
        </w:rPr>
        <w:t>ga</w:t>
      </w:r>
      <w:r w:rsidR="00213284" w:rsidRPr="00213284">
        <w:rPr>
          <w:rFonts w:ascii="Century Gothic" w:hAnsi="Century Gothic"/>
          <w:sz w:val="19"/>
          <w:szCs w:val="19"/>
        </w:rPr>
        <w:t xml:space="preserve"> las necesidades actuales y requerimientos potenciales o emergentes de los usuarios</w:t>
      </w:r>
      <w:r w:rsidRPr="00D10FAA">
        <w:rPr>
          <w:rFonts w:ascii="Century Gothic" w:hAnsi="Century Gothic"/>
          <w:sz w:val="19"/>
          <w:szCs w:val="19"/>
        </w:rPr>
        <w:t>.</w:t>
      </w:r>
      <w:r w:rsidR="007D411E">
        <w:rPr>
          <w:rFonts w:ascii="Century Gothic" w:hAnsi="Century Gothic"/>
          <w:sz w:val="19"/>
          <w:szCs w:val="19"/>
        </w:rPr>
        <w:t xml:space="preserve">  </w:t>
      </w:r>
      <w:r w:rsidR="00F15AB8">
        <w:rPr>
          <w:rFonts w:ascii="Century Gothic" w:hAnsi="Century Gothic"/>
          <w:sz w:val="19"/>
          <w:szCs w:val="19"/>
        </w:rPr>
        <w:t>Desde un punto de vista conceptual</w:t>
      </w:r>
      <w:r w:rsidR="007D411E">
        <w:rPr>
          <w:rFonts w:ascii="Century Gothic" w:hAnsi="Century Gothic"/>
          <w:sz w:val="19"/>
          <w:szCs w:val="19"/>
        </w:rPr>
        <w:t xml:space="preserve">, el principio de pertinencia </w:t>
      </w:r>
      <w:r w:rsidR="00AF69E6">
        <w:rPr>
          <w:rFonts w:ascii="Century Gothic" w:hAnsi="Century Gothic"/>
          <w:sz w:val="19"/>
          <w:szCs w:val="19"/>
        </w:rPr>
        <w:t>tiene dos componentes, por un lado,</w:t>
      </w:r>
      <w:r w:rsidR="003C7D78">
        <w:rPr>
          <w:rFonts w:ascii="Century Gothic" w:hAnsi="Century Gothic"/>
          <w:sz w:val="19"/>
          <w:szCs w:val="19"/>
        </w:rPr>
        <w:t xml:space="preserve"> las necesidades de información de los usuarios y</w:t>
      </w:r>
      <w:r w:rsidR="00AF69E6">
        <w:rPr>
          <w:rFonts w:ascii="Century Gothic" w:hAnsi="Century Gothic"/>
          <w:sz w:val="19"/>
          <w:szCs w:val="19"/>
        </w:rPr>
        <w:t>, por otro,</w:t>
      </w:r>
      <w:r w:rsidR="003C7D78">
        <w:rPr>
          <w:rFonts w:ascii="Century Gothic" w:hAnsi="Century Gothic"/>
          <w:sz w:val="19"/>
          <w:szCs w:val="19"/>
        </w:rPr>
        <w:t xml:space="preserve"> la información producida a través de programas estadísticos y </w:t>
      </w:r>
      <w:r w:rsidR="00AF69E6">
        <w:rPr>
          <w:rFonts w:ascii="Century Gothic" w:hAnsi="Century Gothic"/>
          <w:sz w:val="19"/>
          <w:szCs w:val="19"/>
        </w:rPr>
        <w:t>geográficos</w:t>
      </w:r>
      <w:r w:rsidR="00C16E94">
        <w:rPr>
          <w:rFonts w:ascii="Century Gothic" w:hAnsi="Century Gothic"/>
          <w:sz w:val="19"/>
          <w:szCs w:val="19"/>
        </w:rPr>
        <w:t xml:space="preserve">. </w:t>
      </w:r>
      <w:r w:rsidR="00CD70FC">
        <w:rPr>
          <w:rFonts w:ascii="Century Gothic" w:hAnsi="Century Gothic"/>
          <w:sz w:val="19"/>
          <w:szCs w:val="19"/>
        </w:rPr>
        <w:t>A partir de estos componentes, la pertinencia</w:t>
      </w:r>
      <w:r w:rsidR="00C16E94">
        <w:rPr>
          <w:rFonts w:ascii="Century Gothic" w:hAnsi="Century Gothic"/>
          <w:sz w:val="19"/>
          <w:szCs w:val="19"/>
        </w:rPr>
        <w:t xml:space="preserve"> de la información</w:t>
      </w:r>
      <w:r w:rsidR="00CD70FC">
        <w:rPr>
          <w:rFonts w:ascii="Century Gothic" w:hAnsi="Century Gothic"/>
          <w:sz w:val="19"/>
          <w:szCs w:val="19"/>
        </w:rPr>
        <w:t xml:space="preserve"> </w:t>
      </w:r>
      <w:r w:rsidR="00C16E94">
        <w:rPr>
          <w:rFonts w:ascii="Century Gothic" w:hAnsi="Century Gothic"/>
          <w:sz w:val="19"/>
          <w:szCs w:val="19"/>
        </w:rPr>
        <w:t>tiene dos dimensiones</w:t>
      </w:r>
      <w:r w:rsidR="00862D4B">
        <w:rPr>
          <w:rFonts w:ascii="Century Gothic" w:hAnsi="Century Gothic"/>
          <w:sz w:val="19"/>
          <w:szCs w:val="19"/>
        </w:rPr>
        <w:t xml:space="preserve"> (ver esquema </w:t>
      </w:r>
      <w:r w:rsidR="00F20A2B">
        <w:rPr>
          <w:rFonts w:ascii="Century Gothic" w:hAnsi="Century Gothic"/>
          <w:sz w:val="19"/>
          <w:szCs w:val="19"/>
        </w:rPr>
        <w:t>A.</w:t>
      </w:r>
      <w:r w:rsidR="007545A4">
        <w:rPr>
          <w:rFonts w:ascii="Century Gothic" w:hAnsi="Century Gothic"/>
          <w:sz w:val="19"/>
          <w:szCs w:val="19"/>
        </w:rPr>
        <w:t>1</w:t>
      </w:r>
      <w:r w:rsidR="00F20A2B">
        <w:rPr>
          <w:rFonts w:ascii="Century Gothic" w:hAnsi="Century Gothic"/>
          <w:sz w:val="19"/>
          <w:szCs w:val="19"/>
        </w:rPr>
        <w:t>.1</w:t>
      </w:r>
      <w:r w:rsidR="00A609A9">
        <w:rPr>
          <w:rFonts w:ascii="Century Gothic" w:hAnsi="Century Gothic"/>
          <w:sz w:val="19"/>
          <w:szCs w:val="19"/>
        </w:rPr>
        <w:t>.</w:t>
      </w:r>
      <w:r w:rsidR="00862D4B">
        <w:rPr>
          <w:rFonts w:ascii="Century Gothic" w:hAnsi="Century Gothic"/>
          <w:sz w:val="19"/>
          <w:szCs w:val="19"/>
        </w:rPr>
        <w:t>)</w:t>
      </w:r>
      <w:r w:rsidR="00C16E94">
        <w:rPr>
          <w:rFonts w:ascii="Century Gothic" w:hAnsi="Century Gothic"/>
          <w:sz w:val="19"/>
          <w:szCs w:val="19"/>
        </w:rPr>
        <w:t>:</w:t>
      </w:r>
    </w:p>
    <w:p w:rsidR="00091F56" w:rsidRDefault="00C16E94" w:rsidP="00C84EFB">
      <w:pPr>
        <w:pStyle w:val="Prrafodelista"/>
        <w:numPr>
          <w:ilvl w:val="0"/>
          <w:numId w:val="29"/>
        </w:numPr>
        <w:spacing w:before="240"/>
        <w:ind w:left="284" w:hanging="284"/>
        <w:jc w:val="both"/>
        <w:rPr>
          <w:rFonts w:ascii="Century Gothic" w:hAnsi="Century Gothic"/>
          <w:sz w:val="19"/>
          <w:szCs w:val="19"/>
        </w:rPr>
      </w:pPr>
      <w:r>
        <w:rPr>
          <w:rFonts w:ascii="Century Gothic" w:hAnsi="Century Gothic"/>
          <w:sz w:val="19"/>
          <w:szCs w:val="19"/>
        </w:rPr>
        <w:t>Cobertura de las necesidades</w:t>
      </w:r>
      <w:r w:rsidR="00862D4B">
        <w:rPr>
          <w:rFonts w:ascii="Century Gothic" w:hAnsi="Century Gothic"/>
          <w:sz w:val="19"/>
          <w:szCs w:val="19"/>
        </w:rPr>
        <w:t>.  Esta dimensi</w:t>
      </w:r>
      <w:r w:rsidR="00091F56">
        <w:rPr>
          <w:rFonts w:ascii="Century Gothic" w:hAnsi="Century Gothic"/>
          <w:sz w:val="19"/>
          <w:szCs w:val="19"/>
        </w:rPr>
        <w:t>ón parte de</w:t>
      </w:r>
      <w:r w:rsidR="00862D4B">
        <w:rPr>
          <w:rFonts w:ascii="Century Gothic" w:hAnsi="Century Gothic"/>
          <w:sz w:val="19"/>
          <w:szCs w:val="19"/>
        </w:rPr>
        <w:t xml:space="preserve"> </w:t>
      </w:r>
      <w:r w:rsidR="00091F56">
        <w:rPr>
          <w:rFonts w:ascii="Century Gothic" w:hAnsi="Century Gothic"/>
          <w:sz w:val="19"/>
          <w:szCs w:val="19"/>
        </w:rPr>
        <w:t>la totalidad de las necesidades de información y verifica para cuáles existe información disponible.</w:t>
      </w:r>
      <w:r w:rsidR="00743BFC">
        <w:rPr>
          <w:rFonts w:ascii="Century Gothic" w:hAnsi="Century Gothic"/>
          <w:sz w:val="19"/>
          <w:szCs w:val="19"/>
        </w:rPr>
        <w:t xml:space="preserve">  Es decir, este</w:t>
      </w:r>
      <w:r w:rsidR="00DE4479">
        <w:rPr>
          <w:rFonts w:ascii="Century Gothic" w:hAnsi="Century Gothic"/>
          <w:sz w:val="19"/>
          <w:szCs w:val="19"/>
        </w:rPr>
        <w:t xml:space="preserve"> es un enfoque desde la demanda, que permite conocer el nivel de respuesta a las necesidades de los usuarios.</w:t>
      </w:r>
    </w:p>
    <w:p w:rsidR="00C16E94" w:rsidRDefault="00091F56" w:rsidP="00C84EFB">
      <w:pPr>
        <w:pStyle w:val="Prrafodelista"/>
        <w:spacing w:before="240"/>
        <w:ind w:left="284" w:hanging="284"/>
        <w:jc w:val="both"/>
        <w:rPr>
          <w:rFonts w:ascii="Century Gothic" w:hAnsi="Century Gothic"/>
          <w:sz w:val="19"/>
          <w:szCs w:val="19"/>
        </w:rPr>
      </w:pPr>
      <w:r>
        <w:rPr>
          <w:rFonts w:ascii="Century Gothic" w:hAnsi="Century Gothic"/>
          <w:sz w:val="19"/>
          <w:szCs w:val="19"/>
        </w:rPr>
        <w:t xml:space="preserve"> </w:t>
      </w:r>
    </w:p>
    <w:p w:rsidR="0042522F" w:rsidRPr="0042522F" w:rsidRDefault="00B34365" w:rsidP="009B217A">
      <w:pPr>
        <w:pStyle w:val="Prrafodelista"/>
        <w:numPr>
          <w:ilvl w:val="0"/>
          <w:numId w:val="29"/>
        </w:numPr>
        <w:spacing w:before="240"/>
        <w:ind w:left="284" w:hanging="284"/>
        <w:jc w:val="both"/>
        <w:rPr>
          <w:rFonts w:ascii="Century Gothic" w:hAnsi="Century Gothic"/>
          <w:sz w:val="19"/>
          <w:szCs w:val="19"/>
        </w:rPr>
      </w:pPr>
      <w:r>
        <w:rPr>
          <w:rFonts w:ascii="Century Gothic" w:hAnsi="Century Gothic"/>
          <w:sz w:val="19"/>
          <w:szCs w:val="19"/>
        </w:rPr>
        <w:t xml:space="preserve">Efectividad de la producción de información.  </w:t>
      </w:r>
      <w:r w:rsidR="00743BFC" w:rsidRPr="0042522F">
        <w:rPr>
          <w:rFonts w:ascii="Century Gothic" w:hAnsi="Century Gothic"/>
          <w:sz w:val="19"/>
          <w:szCs w:val="19"/>
        </w:rPr>
        <w:t xml:space="preserve">En este caso, a partir de la totalidad de información producida se verifica cuál se utiliza para satisfacer las necesidades de los usuarios. Es decir, este es un enfoque desde la </w:t>
      </w:r>
      <w:r w:rsidR="00563207" w:rsidRPr="0042522F">
        <w:rPr>
          <w:rFonts w:ascii="Century Gothic" w:hAnsi="Century Gothic"/>
          <w:sz w:val="19"/>
          <w:szCs w:val="19"/>
        </w:rPr>
        <w:t>oferta</w:t>
      </w:r>
      <w:r w:rsidR="00743BFC" w:rsidRPr="0042522F">
        <w:rPr>
          <w:rFonts w:ascii="Century Gothic" w:hAnsi="Century Gothic"/>
          <w:sz w:val="19"/>
          <w:szCs w:val="19"/>
        </w:rPr>
        <w:t xml:space="preserve"> que permite conocer</w:t>
      </w:r>
      <w:r>
        <w:rPr>
          <w:rFonts w:ascii="Century Gothic" w:hAnsi="Century Gothic"/>
          <w:sz w:val="19"/>
          <w:szCs w:val="19"/>
        </w:rPr>
        <w:t xml:space="preserve"> el </w:t>
      </w:r>
      <w:r w:rsidRPr="0042522F">
        <w:rPr>
          <w:rFonts w:ascii="Century Gothic" w:hAnsi="Century Gothic"/>
          <w:sz w:val="19"/>
          <w:szCs w:val="19"/>
        </w:rPr>
        <w:t>grado en que los programas de información atienden las necesidades</w:t>
      </w:r>
      <w:r w:rsidR="00743BFC" w:rsidRPr="0042522F">
        <w:rPr>
          <w:rFonts w:ascii="Century Gothic" w:hAnsi="Century Gothic"/>
          <w:sz w:val="19"/>
          <w:szCs w:val="19"/>
        </w:rPr>
        <w:t xml:space="preserve">. </w:t>
      </w:r>
    </w:p>
    <w:p w:rsidR="0042522F" w:rsidRPr="0042522F" w:rsidRDefault="002D704C" w:rsidP="0042522F">
      <w:pPr>
        <w:spacing w:before="240"/>
        <w:jc w:val="both"/>
        <w:rPr>
          <w:rFonts w:ascii="Century Gothic" w:hAnsi="Century Gothic"/>
          <w:sz w:val="19"/>
          <w:szCs w:val="19"/>
        </w:rPr>
      </w:pPr>
      <w:r w:rsidRPr="002D704C">
        <w:rPr>
          <w:noProof/>
          <w:lang w:val="en-US"/>
        </w:rPr>
        <w:drawing>
          <wp:anchor distT="0" distB="0" distL="114300" distR="114300" simplePos="0" relativeHeight="251724800" behindDoc="0" locked="0" layoutInCell="1" allowOverlap="1" wp14:anchorId="11B5F402" wp14:editId="0C5EA794">
            <wp:simplePos x="0" y="0"/>
            <wp:positionH relativeFrom="margin">
              <wp:align>center</wp:align>
            </wp:positionH>
            <wp:positionV relativeFrom="paragraph">
              <wp:posOffset>1217930</wp:posOffset>
            </wp:positionV>
            <wp:extent cx="6649720" cy="28575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97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22F">
        <w:rPr>
          <w:rFonts w:ascii="Century Gothic" w:hAnsi="Century Gothic"/>
          <w:sz w:val="19"/>
          <w:szCs w:val="19"/>
        </w:rPr>
        <w:t xml:space="preserve">En el caso ideal, donde </w:t>
      </w:r>
      <w:r w:rsidR="00774BC6">
        <w:rPr>
          <w:rFonts w:ascii="Century Gothic" w:hAnsi="Century Gothic"/>
          <w:sz w:val="19"/>
          <w:szCs w:val="19"/>
        </w:rPr>
        <w:t>la totalidad de</w:t>
      </w:r>
      <w:r w:rsidR="0042522F">
        <w:rPr>
          <w:rFonts w:ascii="Century Gothic" w:hAnsi="Century Gothic"/>
          <w:sz w:val="19"/>
          <w:szCs w:val="19"/>
        </w:rPr>
        <w:t xml:space="preserve"> la información producida se utiliza para satisfacer todas las necesidades de los usuarios, sólo existiría un desfase temporal</w:t>
      </w:r>
      <w:r w:rsidR="003F119D">
        <w:rPr>
          <w:rFonts w:ascii="Century Gothic" w:hAnsi="Century Gothic"/>
          <w:sz w:val="19"/>
          <w:szCs w:val="19"/>
        </w:rPr>
        <w:t xml:space="preserve"> derivado de las nuevas necesidades y de innovación </w:t>
      </w:r>
      <w:r w:rsidR="00354C45">
        <w:rPr>
          <w:rFonts w:ascii="Century Gothic" w:hAnsi="Century Gothic"/>
          <w:sz w:val="19"/>
          <w:szCs w:val="19"/>
        </w:rPr>
        <w:t xml:space="preserve">en la producción </w:t>
      </w:r>
      <w:r w:rsidR="003F119D">
        <w:rPr>
          <w:rFonts w:ascii="Century Gothic" w:hAnsi="Century Gothic"/>
          <w:sz w:val="19"/>
          <w:szCs w:val="19"/>
        </w:rPr>
        <w:t xml:space="preserve">de información antes de ser utilizada </w:t>
      </w:r>
      <w:r w:rsidR="004956D1">
        <w:rPr>
          <w:rFonts w:ascii="Century Gothic" w:hAnsi="Century Gothic"/>
          <w:sz w:val="19"/>
          <w:szCs w:val="19"/>
        </w:rPr>
        <w:t>de forma regular</w:t>
      </w:r>
      <w:r w:rsidR="001E421F">
        <w:rPr>
          <w:rFonts w:ascii="Century Gothic" w:hAnsi="Century Gothic"/>
          <w:sz w:val="19"/>
          <w:szCs w:val="19"/>
        </w:rPr>
        <w:t xml:space="preserve"> (ver esquema</w:t>
      </w:r>
      <w:r w:rsidR="007545A4">
        <w:rPr>
          <w:rFonts w:ascii="Century Gothic" w:hAnsi="Century Gothic"/>
          <w:sz w:val="19"/>
          <w:szCs w:val="19"/>
        </w:rPr>
        <w:t xml:space="preserve"> </w:t>
      </w:r>
      <w:r w:rsidR="00F20A2B">
        <w:rPr>
          <w:rFonts w:ascii="Century Gothic" w:hAnsi="Century Gothic"/>
          <w:sz w:val="19"/>
          <w:szCs w:val="19"/>
        </w:rPr>
        <w:t>A.1.</w:t>
      </w:r>
      <w:r w:rsidR="007545A4">
        <w:rPr>
          <w:rFonts w:ascii="Century Gothic" w:hAnsi="Century Gothic"/>
          <w:sz w:val="19"/>
          <w:szCs w:val="19"/>
        </w:rPr>
        <w:t>2</w:t>
      </w:r>
      <w:r w:rsidR="00A609A9">
        <w:rPr>
          <w:rFonts w:ascii="Century Gothic" w:hAnsi="Century Gothic"/>
          <w:sz w:val="19"/>
          <w:szCs w:val="19"/>
        </w:rPr>
        <w:t>.</w:t>
      </w:r>
      <w:r w:rsidR="001E421F">
        <w:rPr>
          <w:rFonts w:ascii="Century Gothic" w:hAnsi="Century Gothic"/>
          <w:sz w:val="19"/>
          <w:szCs w:val="19"/>
        </w:rPr>
        <w:t>)</w:t>
      </w:r>
      <w:r w:rsidR="0042522F">
        <w:rPr>
          <w:rFonts w:ascii="Century Gothic" w:hAnsi="Century Gothic"/>
          <w:sz w:val="19"/>
          <w:szCs w:val="19"/>
        </w:rPr>
        <w:t xml:space="preserve">.  </w:t>
      </w:r>
      <w:r w:rsidR="00A5540E">
        <w:rPr>
          <w:rFonts w:ascii="Century Gothic" w:hAnsi="Century Gothic"/>
          <w:sz w:val="19"/>
          <w:szCs w:val="19"/>
        </w:rPr>
        <w:t>Es decir, en ningún caso se podría alcanzar</w:t>
      </w:r>
      <w:r w:rsidR="009A2513">
        <w:rPr>
          <w:rFonts w:ascii="Century Gothic" w:hAnsi="Century Gothic"/>
          <w:sz w:val="19"/>
          <w:szCs w:val="19"/>
        </w:rPr>
        <w:t xml:space="preserve"> </w:t>
      </w:r>
      <w:r w:rsidR="00A5540E">
        <w:rPr>
          <w:rFonts w:ascii="Century Gothic" w:hAnsi="Century Gothic"/>
          <w:sz w:val="19"/>
          <w:szCs w:val="19"/>
        </w:rPr>
        <w:t>una cobertura</w:t>
      </w:r>
      <w:r w:rsidR="00B97073">
        <w:rPr>
          <w:rFonts w:ascii="Century Gothic" w:hAnsi="Century Gothic"/>
          <w:sz w:val="19"/>
          <w:szCs w:val="19"/>
        </w:rPr>
        <w:t xml:space="preserve"> completa</w:t>
      </w:r>
      <w:r w:rsidR="00A5540E">
        <w:rPr>
          <w:rFonts w:ascii="Century Gothic" w:hAnsi="Century Gothic"/>
          <w:sz w:val="19"/>
          <w:szCs w:val="19"/>
        </w:rPr>
        <w:t xml:space="preserve"> </w:t>
      </w:r>
      <w:r w:rsidR="00405D92">
        <w:rPr>
          <w:rFonts w:ascii="Century Gothic" w:hAnsi="Century Gothic"/>
          <w:sz w:val="19"/>
          <w:szCs w:val="19"/>
        </w:rPr>
        <w:t>(</w:t>
      </w:r>
      <w:r w:rsidR="00347176">
        <w:rPr>
          <w:rFonts w:ascii="Century Gothic" w:hAnsi="Century Gothic"/>
          <w:sz w:val="19"/>
          <w:szCs w:val="19"/>
        </w:rPr>
        <w:t>efectividad</w:t>
      </w:r>
      <w:r w:rsidR="00A5540E">
        <w:rPr>
          <w:rFonts w:ascii="Century Gothic" w:hAnsi="Century Gothic"/>
          <w:sz w:val="19"/>
          <w:szCs w:val="19"/>
        </w:rPr>
        <w:t xml:space="preserve"> del 100%</w:t>
      </w:r>
      <w:r w:rsidR="00405D92">
        <w:rPr>
          <w:rFonts w:ascii="Century Gothic" w:hAnsi="Century Gothic"/>
          <w:sz w:val="19"/>
          <w:szCs w:val="19"/>
        </w:rPr>
        <w:t>)</w:t>
      </w:r>
      <w:r w:rsidR="00A5540E">
        <w:rPr>
          <w:rFonts w:ascii="Century Gothic" w:hAnsi="Century Gothic"/>
          <w:sz w:val="19"/>
          <w:szCs w:val="19"/>
        </w:rPr>
        <w:t xml:space="preserve">. </w:t>
      </w:r>
    </w:p>
    <w:tbl>
      <w:tblPr>
        <w:tblW w:w="0" w:type="auto"/>
        <w:tblInd w:w="-5" w:type="dxa"/>
        <w:tblLook w:val="04A0" w:firstRow="1" w:lastRow="0" w:firstColumn="1" w:lastColumn="0" w:noHBand="0" w:noVBand="1"/>
      </w:tblPr>
      <w:tblGrid>
        <w:gridCol w:w="6663"/>
        <w:gridCol w:w="4115"/>
      </w:tblGrid>
      <w:tr w:rsidR="00157BE1" w:rsidRPr="00157BE1" w:rsidTr="003A0B62">
        <w:tc>
          <w:tcPr>
            <w:tcW w:w="6663" w:type="dxa"/>
          </w:tcPr>
          <w:p w:rsidR="00157BE1" w:rsidRPr="00157BE1" w:rsidRDefault="00C65646" w:rsidP="00157BE1">
            <w:pPr>
              <w:pStyle w:val="Prrafodelista"/>
              <w:ind w:left="0"/>
              <w:jc w:val="center"/>
              <w:rPr>
                <w:rFonts w:ascii="Century Gothic" w:hAnsi="Century Gothic"/>
                <w:b/>
                <w:sz w:val="19"/>
                <w:szCs w:val="19"/>
              </w:rPr>
            </w:pPr>
            <w:r>
              <w:rPr>
                <w:rFonts w:ascii="Century Gothic" w:hAnsi="Century Gothic"/>
                <w:b/>
                <w:sz w:val="19"/>
                <w:szCs w:val="19"/>
              </w:rPr>
              <w:t>A.</w:t>
            </w:r>
            <w:r w:rsidR="00157BE1" w:rsidRPr="00157BE1">
              <w:rPr>
                <w:rFonts w:ascii="Century Gothic" w:hAnsi="Century Gothic"/>
                <w:b/>
                <w:sz w:val="19"/>
                <w:szCs w:val="19"/>
              </w:rPr>
              <w:t>1</w:t>
            </w:r>
            <w:r>
              <w:rPr>
                <w:rFonts w:ascii="Century Gothic" w:hAnsi="Century Gothic"/>
                <w:b/>
                <w:sz w:val="19"/>
                <w:szCs w:val="19"/>
              </w:rPr>
              <w:t>.1</w:t>
            </w:r>
            <w:r w:rsidR="00157BE1" w:rsidRPr="00157BE1">
              <w:rPr>
                <w:rFonts w:ascii="Century Gothic" w:hAnsi="Century Gothic"/>
                <w:b/>
                <w:sz w:val="19"/>
                <w:szCs w:val="19"/>
              </w:rPr>
              <w:t>.</w:t>
            </w:r>
            <w:r w:rsidR="00782A01">
              <w:rPr>
                <w:rFonts w:ascii="Century Gothic" w:hAnsi="Century Gothic"/>
                <w:b/>
                <w:sz w:val="19"/>
                <w:szCs w:val="19"/>
              </w:rPr>
              <w:t xml:space="preserve">  Esquema Conceptual para la medición de pertinencia</w:t>
            </w:r>
          </w:p>
        </w:tc>
        <w:tc>
          <w:tcPr>
            <w:tcW w:w="4115" w:type="dxa"/>
          </w:tcPr>
          <w:p w:rsidR="001A6C27" w:rsidRDefault="001A6C27" w:rsidP="00157BE1">
            <w:pPr>
              <w:pStyle w:val="Prrafodelista"/>
              <w:ind w:left="0"/>
              <w:jc w:val="center"/>
              <w:rPr>
                <w:rFonts w:ascii="Century Gothic" w:hAnsi="Century Gothic"/>
                <w:b/>
                <w:sz w:val="19"/>
                <w:szCs w:val="19"/>
              </w:rPr>
            </w:pPr>
          </w:p>
          <w:p w:rsidR="00157BE1" w:rsidRPr="00157BE1" w:rsidRDefault="00C65646" w:rsidP="00755CB2">
            <w:pPr>
              <w:pStyle w:val="Prrafodelista"/>
              <w:ind w:left="0"/>
              <w:jc w:val="center"/>
              <w:rPr>
                <w:rFonts w:ascii="Century Gothic" w:hAnsi="Century Gothic"/>
                <w:b/>
                <w:sz w:val="19"/>
                <w:szCs w:val="19"/>
              </w:rPr>
            </w:pPr>
            <w:r>
              <w:rPr>
                <w:rFonts w:ascii="Century Gothic" w:hAnsi="Century Gothic"/>
                <w:b/>
                <w:sz w:val="19"/>
                <w:szCs w:val="19"/>
              </w:rPr>
              <w:t>A.1.2</w:t>
            </w:r>
            <w:r w:rsidR="00782A01">
              <w:rPr>
                <w:rFonts w:ascii="Century Gothic" w:hAnsi="Century Gothic"/>
                <w:b/>
                <w:sz w:val="19"/>
                <w:szCs w:val="19"/>
              </w:rPr>
              <w:t>.  Caso ideal de pertinencia</w:t>
            </w:r>
          </w:p>
        </w:tc>
      </w:tr>
    </w:tbl>
    <w:p w:rsidR="003B5B61" w:rsidRDefault="003B5B61" w:rsidP="00B70168">
      <w:pPr>
        <w:jc w:val="center"/>
        <w:rPr>
          <w:rFonts w:ascii="Century Gothic" w:hAnsi="Century Gothic"/>
        </w:rPr>
      </w:pPr>
    </w:p>
    <w:p w:rsidR="00236E2C" w:rsidRDefault="00FD7D71" w:rsidP="00F1035E">
      <w:pPr>
        <w:spacing w:before="240"/>
        <w:jc w:val="both"/>
        <w:rPr>
          <w:rFonts w:ascii="Century Gothic" w:hAnsi="Century Gothic"/>
          <w:sz w:val="19"/>
          <w:szCs w:val="19"/>
        </w:rPr>
      </w:pPr>
      <w:r w:rsidRPr="00F1035E">
        <w:rPr>
          <w:rFonts w:ascii="Century Gothic" w:hAnsi="Century Gothic"/>
          <w:sz w:val="19"/>
          <w:szCs w:val="19"/>
        </w:rPr>
        <w:t>El primer paso para avanzar en la medición de la pertinencia fue</w:t>
      </w:r>
      <w:r w:rsidR="00DC5D0F">
        <w:rPr>
          <w:rFonts w:ascii="Century Gothic" w:hAnsi="Century Gothic"/>
          <w:sz w:val="19"/>
          <w:szCs w:val="19"/>
        </w:rPr>
        <w:t xml:space="preserve"> determinar las principales fuentes de las necesidades de informaci</w:t>
      </w:r>
      <w:r w:rsidR="007D7AFB">
        <w:rPr>
          <w:rFonts w:ascii="Century Gothic" w:hAnsi="Century Gothic"/>
          <w:sz w:val="19"/>
          <w:szCs w:val="19"/>
        </w:rPr>
        <w:t xml:space="preserve">ón, para lo cual se realizó un análisis </w:t>
      </w:r>
      <w:r w:rsidR="00E41EAC">
        <w:rPr>
          <w:rFonts w:ascii="Century Gothic" w:hAnsi="Century Gothic"/>
          <w:sz w:val="19"/>
          <w:szCs w:val="19"/>
        </w:rPr>
        <w:t>del marco legal</w:t>
      </w:r>
      <w:r w:rsidR="007D7AFB">
        <w:rPr>
          <w:rFonts w:ascii="Century Gothic" w:hAnsi="Century Gothic"/>
          <w:sz w:val="19"/>
          <w:szCs w:val="19"/>
        </w:rPr>
        <w:t xml:space="preserve">. </w:t>
      </w:r>
      <w:r w:rsidRPr="00F1035E">
        <w:rPr>
          <w:rFonts w:ascii="Century Gothic" w:hAnsi="Century Gothic"/>
          <w:sz w:val="19"/>
          <w:szCs w:val="19"/>
        </w:rPr>
        <w:t xml:space="preserve"> </w:t>
      </w:r>
      <w:r w:rsidR="00E41EAC" w:rsidRPr="00E41EAC">
        <w:rPr>
          <w:rFonts w:ascii="Century Gothic" w:hAnsi="Century Gothic"/>
          <w:sz w:val="19"/>
          <w:szCs w:val="19"/>
        </w:rPr>
        <w:t xml:space="preserve">El artículo 26 de la Constitución Política de los Estados Unidos Mexicanos </w:t>
      </w:r>
      <w:r w:rsidR="00405D92">
        <w:rPr>
          <w:rFonts w:ascii="Century Gothic" w:hAnsi="Century Gothic"/>
          <w:sz w:val="19"/>
          <w:szCs w:val="19"/>
        </w:rPr>
        <w:t>establece</w:t>
      </w:r>
      <w:r w:rsidR="00E41EAC" w:rsidRPr="00E41EAC">
        <w:rPr>
          <w:rFonts w:ascii="Century Gothic" w:hAnsi="Century Gothic"/>
          <w:sz w:val="19"/>
          <w:szCs w:val="19"/>
        </w:rPr>
        <w:t xml:space="preserv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w:t>
      </w:r>
      <w:r w:rsidR="00E41EAC" w:rsidRPr="00E41EAC">
        <w:rPr>
          <w:rFonts w:ascii="Century Gothic" w:hAnsi="Century Gothic"/>
          <w:sz w:val="19"/>
          <w:szCs w:val="19"/>
        </w:rPr>
        <w:lastRenderedPageBreak/>
        <w:t xml:space="preserve">rendición de cuentas a la sociedad. Este aspecto está reforzado en </w:t>
      </w:r>
      <w:r w:rsidR="00A5748E">
        <w:rPr>
          <w:rFonts w:ascii="Century Gothic" w:hAnsi="Century Gothic"/>
          <w:sz w:val="19"/>
          <w:szCs w:val="19"/>
        </w:rPr>
        <w:t xml:space="preserve">el artículo 3 de </w:t>
      </w:r>
      <w:r w:rsidR="00E41EAC" w:rsidRPr="00E41EAC">
        <w:rPr>
          <w:rFonts w:ascii="Century Gothic" w:hAnsi="Century Gothic"/>
          <w:sz w:val="19"/>
          <w:szCs w:val="19"/>
        </w:rPr>
        <w:t>la Ley del SNIEG, donde se establece que la finalidad de la información suministrada por el SNIEG es la de coadyuvar al desarrollo nacional.</w:t>
      </w:r>
      <w:r w:rsidR="00236E2C">
        <w:rPr>
          <w:rFonts w:ascii="Century Gothic" w:hAnsi="Century Gothic"/>
          <w:sz w:val="19"/>
          <w:szCs w:val="19"/>
        </w:rPr>
        <w:t xml:space="preserve">  </w:t>
      </w:r>
    </w:p>
    <w:p w:rsidR="0070451D" w:rsidRDefault="00236E2C" w:rsidP="00F1035E">
      <w:pPr>
        <w:spacing w:before="240"/>
        <w:jc w:val="both"/>
        <w:rPr>
          <w:rFonts w:ascii="Century Gothic" w:hAnsi="Century Gothic"/>
          <w:sz w:val="19"/>
          <w:szCs w:val="19"/>
        </w:rPr>
      </w:pPr>
      <w:r>
        <w:rPr>
          <w:rFonts w:ascii="Century Gothic" w:hAnsi="Century Gothic"/>
          <w:sz w:val="19"/>
          <w:szCs w:val="19"/>
        </w:rPr>
        <w:t xml:space="preserve">A partir de este análisis se determinó que las necesidades de información deben estar vinculadas a la necesidad de información para la planeación y evaluación de los </w:t>
      </w:r>
      <w:r w:rsidR="00E85CD9">
        <w:rPr>
          <w:rFonts w:ascii="Century Gothic" w:hAnsi="Century Gothic"/>
          <w:sz w:val="19"/>
          <w:szCs w:val="19"/>
        </w:rPr>
        <w:t xml:space="preserve">temas del desarrollo nacional.  Posteriormente se identificaron los instrumentos nacionales e internacionales que rigen los objetivos del desarrollo nacional, los cuales se dividen en las siguientes categorías: </w:t>
      </w:r>
    </w:p>
    <w:p w:rsidR="009D0AAE" w:rsidRDefault="001A22A4" w:rsidP="008C4C91">
      <w:pPr>
        <w:pStyle w:val="Prrafodelista"/>
        <w:numPr>
          <w:ilvl w:val="0"/>
          <w:numId w:val="30"/>
        </w:numPr>
        <w:spacing w:before="240"/>
        <w:ind w:left="284" w:hanging="284"/>
        <w:jc w:val="both"/>
        <w:rPr>
          <w:rFonts w:ascii="Century Gothic" w:hAnsi="Century Gothic"/>
          <w:sz w:val="19"/>
          <w:szCs w:val="19"/>
        </w:rPr>
      </w:pPr>
      <w:r>
        <w:rPr>
          <w:rFonts w:ascii="Century Gothic" w:hAnsi="Century Gothic"/>
          <w:sz w:val="19"/>
          <w:szCs w:val="19"/>
        </w:rPr>
        <w:t xml:space="preserve">Marco legal, que incluye las disposiciones de la </w:t>
      </w:r>
      <w:r w:rsidR="00E85CD9">
        <w:rPr>
          <w:rFonts w:ascii="Century Gothic" w:hAnsi="Century Gothic"/>
          <w:sz w:val="19"/>
          <w:szCs w:val="19"/>
        </w:rPr>
        <w:t>Cons</w:t>
      </w:r>
      <w:r>
        <w:rPr>
          <w:rFonts w:ascii="Century Gothic" w:hAnsi="Century Gothic"/>
          <w:sz w:val="19"/>
          <w:szCs w:val="19"/>
        </w:rPr>
        <w:t>titución Política de los Estados Unidos Mexicanos, Leyes Federales y Tratados Internacionales.</w:t>
      </w:r>
    </w:p>
    <w:p w:rsidR="001A22A4" w:rsidRDefault="001A22A4" w:rsidP="008C4C91">
      <w:pPr>
        <w:pStyle w:val="Prrafodelista"/>
        <w:numPr>
          <w:ilvl w:val="0"/>
          <w:numId w:val="30"/>
        </w:numPr>
        <w:spacing w:before="240"/>
        <w:ind w:left="284" w:hanging="284"/>
        <w:jc w:val="both"/>
        <w:rPr>
          <w:rFonts w:ascii="Century Gothic" w:hAnsi="Century Gothic"/>
          <w:sz w:val="19"/>
          <w:szCs w:val="19"/>
        </w:rPr>
      </w:pPr>
      <w:r>
        <w:rPr>
          <w:rFonts w:ascii="Century Gothic" w:hAnsi="Century Gothic"/>
          <w:sz w:val="19"/>
          <w:szCs w:val="19"/>
        </w:rPr>
        <w:t xml:space="preserve">Objetivos de desarrollo expuestos en </w:t>
      </w:r>
      <w:r w:rsidR="00405D92">
        <w:rPr>
          <w:rFonts w:ascii="Century Gothic" w:hAnsi="Century Gothic"/>
          <w:sz w:val="19"/>
          <w:szCs w:val="19"/>
        </w:rPr>
        <w:t>e</w:t>
      </w:r>
      <w:r>
        <w:rPr>
          <w:rFonts w:ascii="Century Gothic" w:hAnsi="Century Gothic"/>
          <w:sz w:val="19"/>
          <w:szCs w:val="19"/>
        </w:rPr>
        <w:t>l Plan Nacional de Desarrollo (PND)</w:t>
      </w:r>
      <w:r w:rsidR="00A609A9">
        <w:rPr>
          <w:rFonts w:ascii="Century Gothic" w:hAnsi="Century Gothic"/>
          <w:sz w:val="19"/>
          <w:szCs w:val="19"/>
        </w:rPr>
        <w:t xml:space="preserve"> vigente</w:t>
      </w:r>
      <w:r>
        <w:rPr>
          <w:rFonts w:ascii="Century Gothic" w:hAnsi="Century Gothic"/>
          <w:sz w:val="19"/>
          <w:szCs w:val="19"/>
        </w:rPr>
        <w:t xml:space="preserve"> y los programas que de él se derivan</w:t>
      </w:r>
      <w:r w:rsidR="00405D92">
        <w:rPr>
          <w:rFonts w:ascii="Century Gothic" w:hAnsi="Century Gothic"/>
          <w:sz w:val="19"/>
          <w:szCs w:val="19"/>
        </w:rPr>
        <w:t>, así como en los Objetivos de Desarrollo Sostenible (ODS)</w:t>
      </w:r>
      <w:r>
        <w:rPr>
          <w:rFonts w:ascii="Century Gothic" w:hAnsi="Century Gothic"/>
          <w:sz w:val="19"/>
          <w:szCs w:val="19"/>
        </w:rPr>
        <w:t>.</w:t>
      </w:r>
    </w:p>
    <w:p w:rsidR="008C4C91" w:rsidRPr="00E85CD9" w:rsidRDefault="009C640F" w:rsidP="008C4C91">
      <w:pPr>
        <w:pStyle w:val="Prrafodelista"/>
        <w:numPr>
          <w:ilvl w:val="0"/>
          <w:numId w:val="30"/>
        </w:numPr>
        <w:spacing w:before="240"/>
        <w:ind w:left="284" w:hanging="284"/>
        <w:jc w:val="both"/>
        <w:rPr>
          <w:rFonts w:ascii="Century Gothic" w:hAnsi="Century Gothic"/>
          <w:sz w:val="19"/>
          <w:szCs w:val="19"/>
        </w:rPr>
      </w:pPr>
      <w:r>
        <w:rPr>
          <w:rFonts w:ascii="Century Gothic" w:hAnsi="Century Gothic"/>
          <w:sz w:val="19"/>
          <w:szCs w:val="19"/>
        </w:rPr>
        <w:t>Temas de coyuntura que se convierten en necesidades de información.</w:t>
      </w:r>
    </w:p>
    <w:p w:rsidR="009D0AAE" w:rsidRDefault="006D7E64" w:rsidP="00F1035E">
      <w:pPr>
        <w:spacing w:before="240"/>
        <w:jc w:val="both"/>
        <w:rPr>
          <w:rFonts w:ascii="Century Gothic" w:hAnsi="Century Gothic"/>
          <w:sz w:val="19"/>
          <w:szCs w:val="19"/>
        </w:rPr>
      </w:pPr>
      <w:r>
        <w:rPr>
          <w:rFonts w:ascii="Century Gothic" w:hAnsi="Century Gothic"/>
          <w:sz w:val="19"/>
          <w:szCs w:val="19"/>
        </w:rPr>
        <w:t xml:space="preserve">En 2019 se avanzó en la definición de indicadores de pertinencia desde el punto de vista de la medición de la efectividad de la producción de información. </w:t>
      </w:r>
      <w:r w:rsidR="009C5202">
        <w:rPr>
          <w:rFonts w:ascii="Century Gothic" w:hAnsi="Century Gothic"/>
          <w:sz w:val="19"/>
          <w:szCs w:val="19"/>
        </w:rPr>
        <w:t>Se aprobaron indicadores que permiten conocer el porcentaje de programas cuya información se utiliza para atender las disposiciones del marco legal</w:t>
      </w:r>
      <w:r w:rsidR="003A0B62">
        <w:rPr>
          <w:rFonts w:ascii="Century Gothic" w:hAnsi="Century Gothic"/>
          <w:sz w:val="19"/>
          <w:szCs w:val="19"/>
        </w:rPr>
        <w:t>,</w:t>
      </w:r>
      <w:r w:rsidR="009C5202">
        <w:rPr>
          <w:rFonts w:ascii="Century Gothic" w:hAnsi="Century Gothic"/>
          <w:sz w:val="19"/>
          <w:szCs w:val="19"/>
        </w:rPr>
        <w:t xml:space="preserve"> así como los objetivos de desarrollo. Sin embargo, para producir la información final se requiere llevar a cabo programas de información intermedios de uso interno, por lo que se incluyeron </w:t>
      </w:r>
      <w:r w:rsidR="0083430B">
        <w:rPr>
          <w:rFonts w:ascii="Century Gothic" w:hAnsi="Century Gothic"/>
          <w:sz w:val="19"/>
          <w:szCs w:val="19"/>
        </w:rPr>
        <w:t>dos</w:t>
      </w:r>
      <w:r w:rsidR="009C5202">
        <w:rPr>
          <w:rFonts w:ascii="Century Gothic" w:hAnsi="Century Gothic"/>
          <w:sz w:val="19"/>
          <w:szCs w:val="19"/>
        </w:rPr>
        <w:t xml:space="preserve"> indicadores </w:t>
      </w:r>
      <w:r w:rsidR="0083430B">
        <w:rPr>
          <w:rFonts w:ascii="Century Gothic" w:hAnsi="Century Gothic"/>
          <w:sz w:val="19"/>
          <w:szCs w:val="19"/>
        </w:rPr>
        <w:t>para</w:t>
      </w:r>
      <w:r w:rsidR="009C5202">
        <w:rPr>
          <w:rFonts w:ascii="Century Gothic" w:hAnsi="Century Gothic"/>
          <w:sz w:val="19"/>
          <w:szCs w:val="19"/>
        </w:rPr>
        <w:t xml:space="preserve"> que se puedan realizar análisis completos de pertinencia.</w:t>
      </w:r>
      <w:r w:rsidR="0083430B">
        <w:rPr>
          <w:rFonts w:ascii="Century Gothic" w:hAnsi="Century Gothic"/>
          <w:sz w:val="19"/>
          <w:szCs w:val="19"/>
        </w:rPr>
        <w:t xml:space="preserve"> Por completitud también se incluyeron indicadores de consultas de información. </w:t>
      </w:r>
      <w:r w:rsidR="00A00294">
        <w:rPr>
          <w:rFonts w:ascii="Century Gothic" w:hAnsi="Century Gothic"/>
          <w:sz w:val="19"/>
          <w:szCs w:val="19"/>
        </w:rPr>
        <w:t xml:space="preserve">Los indicadores aprobados se presentan en el </w:t>
      </w:r>
      <w:r w:rsidR="00840923">
        <w:rPr>
          <w:rFonts w:ascii="Century Gothic" w:hAnsi="Century Gothic"/>
          <w:sz w:val="19"/>
          <w:szCs w:val="19"/>
        </w:rPr>
        <w:t xml:space="preserve">esquema </w:t>
      </w:r>
      <w:r w:rsidR="00A609A9">
        <w:rPr>
          <w:rFonts w:ascii="Century Gothic" w:hAnsi="Century Gothic"/>
          <w:sz w:val="19"/>
          <w:szCs w:val="19"/>
        </w:rPr>
        <w:t>A.1.</w:t>
      </w:r>
      <w:r w:rsidR="00840923">
        <w:rPr>
          <w:rFonts w:ascii="Century Gothic" w:hAnsi="Century Gothic"/>
          <w:sz w:val="19"/>
          <w:szCs w:val="19"/>
        </w:rPr>
        <w:t>3</w:t>
      </w:r>
      <w:r w:rsidR="00A00294">
        <w:rPr>
          <w:rFonts w:ascii="Century Gothic" w:hAnsi="Century Gothic"/>
          <w:sz w:val="19"/>
          <w:szCs w:val="19"/>
        </w:rPr>
        <w:t>.</w:t>
      </w:r>
    </w:p>
    <w:p w:rsidR="00840923" w:rsidRDefault="002D704C" w:rsidP="00840923">
      <w:pPr>
        <w:spacing w:before="240"/>
        <w:jc w:val="center"/>
        <w:rPr>
          <w:rFonts w:ascii="Century Gothic" w:hAnsi="Century Gothic"/>
          <w:b/>
          <w:sz w:val="19"/>
          <w:szCs w:val="19"/>
        </w:rPr>
      </w:pPr>
      <w:r w:rsidRPr="002D704C">
        <w:rPr>
          <w:noProof/>
          <w:lang w:val="en-US"/>
        </w:rPr>
        <w:drawing>
          <wp:anchor distT="0" distB="0" distL="114300" distR="114300" simplePos="0" relativeHeight="251725824" behindDoc="0" locked="0" layoutInCell="1" allowOverlap="1" wp14:anchorId="264F8ABF" wp14:editId="548A7AC8">
            <wp:simplePos x="0" y="0"/>
            <wp:positionH relativeFrom="margin">
              <wp:align>center</wp:align>
            </wp:positionH>
            <wp:positionV relativeFrom="paragraph">
              <wp:posOffset>299085</wp:posOffset>
            </wp:positionV>
            <wp:extent cx="7023100" cy="3454400"/>
            <wp:effectExtent l="0" t="0" r="635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310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BD7" w:rsidRPr="00ED1BD7">
        <w:t xml:space="preserve"> </w:t>
      </w:r>
      <w:r w:rsidR="00C65646">
        <w:rPr>
          <w:rFonts w:ascii="Century Gothic" w:hAnsi="Century Gothic"/>
          <w:b/>
          <w:sz w:val="19"/>
          <w:szCs w:val="19"/>
        </w:rPr>
        <w:t>A.1.</w:t>
      </w:r>
      <w:r w:rsidR="00840923" w:rsidRPr="00840923">
        <w:rPr>
          <w:rFonts w:ascii="Century Gothic" w:hAnsi="Century Gothic"/>
          <w:b/>
          <w:sz w:val="19"/>
          <w:szCs w:val="19"/>
        </w:rPr>
        <w:t>3</w:t>
      </w:r>
      <w:r w:rsidR="00257D7D">
        <w:rPr>
          <w:rFonts w:ascii="Century Gothic" w:hAnsi="Century Gothic"/>
          <w:b/>
          <w:sz w:val="19"/>
          <w:szCs w:val="19"/>
        </w:rPr>
        <w:t>.  Indicadores Aprobados por el Comité de Aseguramiento de la Calidad</w:t>
      </w:r>
    </w:p>
    <w:p w:rsidR="00A00294" w:rsidRDefault="00AB3D9B" w:rsidP="00F1035E">
      <w:pPr>
        <w:spacing w:before="240"/>
        <w:jc w:val="both"/>
        <w:rPr>
          <w:rFonts w:ascii="Century Gothic" w:hAnsi="Century Gothic"/>
          <w:sz w:val="19"/>
          <w:szCs w:val="19"/>
        </w:rPr>
      </w:pPr>
      <w:r>
        <w:rPr>
          <w:rFonts w:ascii="Century Gothic" w:hAnsi="Century Gothic"/>
          <w:sz w:val="19"/>
          <w:szCs w:val="19"/>
        </w:rPr>
        <w:t xml:space="preserve">Durante la </w:t>
      </w:r>
      <w:r w:rsidR="00867496">
        <w:rPr>
          <w:rFonts w:ascii="Century Gothic" w:hAnsi="Century Gothic"/>
          <w:sz w:val="19"/>
          <w:szCs w:val="19"/>
        </w:rPr>
        <w:t>discusión de los indicadores</w:t>
      </w:r>
      <w:r w:rsidR="00B07847">
        <w:rPr>
          <w:rFonts w:ascii="Century Gothic" w:hAnsi="Century Gothic"/>
          <w:sz w:val="19"/>
          <w:szCs w:val="19"/>
        </w:rPr>
        <w:t xml:space="preserve"> en el Comité de Aseguramiento de la Calidad</w:t>
      </w:r>
      <w:r w:rsidR="00867496">
        <w:rPr>
          <w:rFonts w:ascii="Century Gothic" w:hAnsi="Century Gothic"/>
          <w:sz w:val="19"/>
          <w:szCs w:val="19"/>
        </w:rPr>
        <w:t xml:space="preserve"> se analizó la conveniencia de ponderar los distintos elementos de la pertinencia </w:t>
      </w:r>
      <w:r w:rsidR="006625AA">
        <w:rPr>
          <w:rFonts w:ascii="Century Gothic" w:hAnsi="Century Gothic"/>
          <w:sz w:val="19"/>
          <w:szCs w:val="19"/>
        </w:rPr>
        <w:t xml:space="preserve">y se llegó a la conclusión de presentar los indicadores por </w:t>
      </w:r>
      <w:r w:rsidR="007E4D8F">
        <w:rPr>
          <w:rFonts w:ascii="Century Gothic" w:hAnsi="Century Gothic"/>
          <w:sz w:val="19"/>
          <w:szCs w:val="19"/>
        </w:rPr>
        <w:t>separado,</w:t>
      </w:r>
      <w:r w:rsidR="006625AA">
        <w:rPr>
          <w:rFonts w:ascii="Century Gothic" w:hAnsi="Century Gothic"/>
          <w:sz w:val="19"/>
          <w:szCs w:val="19"/>
        </w:rPr>
        <w:t xml:space="preserve"> así como los datos de origen para que quien utilice esta información pueda realizar los análisis </w:t>
      </w:r>
      <w:r w:rsidR="00CB55F3">
        <w:rPr>
          <w:rFonts w:ascii="Century Gothic" w:hAnsi="Century Gothic"/>
          <w:sz w:val="19"/>
          <w:szCs w:val="19"/>
        </w:rPr>
        <w:t>que requiera</w:t>
      </w:r>
      <w:r w:rsidR="006625AA">
        <w:rPr>
          <w:rFonts w:ascii="Century Gothic" w:hAnsi="Century Gothic"/>
          <w:sz w:val="19"/>
          <w:szCs w:val="19"/>
        </w:rPr>
        <w:t xml:space="preserve">. </w:t>
      </w:r>
      <w:r w:rsidR="00D65592">
        <w:rPr>
          <w:rFonts w:ascii="Century Gothic" w:hAnsi="Century Gothic"/>
          <w:sz w:val="19"/>
          <w:szCs w:val="19"/>
        </w:rPr>
        <w:t>Como tarea para el 2020 quedó la definición de indicadores de pertinencia desde el punto de vista de la cobertura de necesidades de información.</w:t>
      </w:r>
      <w:r w:rsidR="00237327">
        <w:rPr>
          <w:rFonts w:ascii="Century Gothic" w:hAnsi="Century Gothic"/>
          <w:sz w:val="19"/>
          <w:szCs w:val="19"/>
        </w:rPr>
        <w:t xml:space="preserve"> Cabe señalar que los indicadores aprobados miden el uso de los programas de información de forma completa, sin embargo, un análisis más </w:t>
      </w:r>
      <w:r w:rsidR="00751C86">
        <w:rPr>
          <w:rFonts w:ascii="Century Gothic" w:hAnsi="Century Gothic"/>
          <w:sz w:val="19"/>
          <w:szCs w:val="19"/>
        </w:rPr>
        <w:t>detallado</w:t>
      </w:r>
      <w:r w:rsidR="00237327">
        <w:rPr>
          <w:rFonts w:ascii="Century Gothic" w:hAnsi="Century Gothic"/>
          <w:sz w:val="19"/>
          <w:szCs w:val="19"/>
        </w:rPr>
        <w:t xml:space="preserve"> requiere revisar el uso de las variables contenidas dentro de los programas de información.</w:t>
      </w:r>
    </w:p>
    <w:p w:rsidR="004C7825" w:rsidRDefault="004C7825" w:rsidP="00F1035E">
      <w:pPr>
        <w:spacing w:before="240"/>
        <w:jc w:val="both"/>
        <w:rPr>
          <w:rFonts w:ascii="Century Gothic" w:hAnsi="Century Gothic"/>
          <w:sz w:val="19"/>
          <w:szCs w:val="19"/>
        </w:rPr>
      </w:pPr>
      <w:r>
        <w:rPr>
          <w:rFonts w:ascii="Century Gothic" w:hAnsi="Century Gothic"/>
          <w:sz w:val="19"/>
          <w:szCs w:val="19"/>
        </w:rPr>
        <w:lastRenderedPageBreak/>
        <w:t>Si bien en el Comité de Aseguramiento de la Calidad no se han aprobado indicadores de pertinencia para la medición de la cobertura de las necesidades,</w:t>
      </w:r>
      <w:r w:rsidR="00F4523C">
        <w:rPr>
          <w:rFonts w:ascii="Century Gothic" w:hAnsi="Century Gothic"/>
          <w:sz w:val="19"/>
          <w:szCs w:val="19"/>
        </w:rPr>
        <w:t xml:space="preserve"> en el Programa Estratégico del SNIEG 2016-2024 existen dos </w:t>
      </w:r>
      <w:r w:rsidR="00751C86">
        <w:rPr>
          <w:rFonts w:ascii="Century Gothic" w:hAnsi="Century Gothic"/>
          <w:sz w:val="19"/>
          <w:szCs w:val="19"/>
        </w:rPr>
        <w:t xml:space="preserve">indicadores </w:t>
      </w:r>
      <w:r w:rsidR="00F4523C">
        <w:rPr>
          <w:rFonts w:ascii="Century Gothic" w:hAnsi="Century Gothic"/>
          <w:sz w:val="19"/>
          <w:szCs w:val="19"/>
        </w:rPr>
        <w:t xml:space="preserve">con este enfoque que podrán servir como </w:t>
      </w:r>
      <w:r w:rsidR="00751C86">
        <w:rPr>
          <w:rFonts w:ascii="Century Gothic" w:hAnsi="Century Gothic"/>
          <w:sz w:val="19"/>
          <w:szCs w:val="19"/>
        </w:rPr>
        <w:t>referencia</w:t>
      </w:r>
      <w:r w:rsidR="00F4523C">
        <w:rPr>
          <w:rFonts w:ascii="Century Gothic" w:hAnsi="Century Gothic"/>
          <w:sz w:val="19"/>
          <w:szCs w:val="19"/>
        </w:rPr>
        <w:t xml:space="preserve"> en la discusión de 2020 para complementar los indicadores faltantes.  </w:t>
      </w:r>
    </w:p>
    <w:p w:rsidR="00E9554C" w:rsidRDefault="00E9554C" w:rsidP="00401CF8">
      <w:pPr>
        <w:spacing w:after="0"/>
        <w:jc w:val="center"/>
        <w:rPr>
          <w:rFonts w:ascii="Century Gothic" w:hAnsi="Century Gothic"/>
          <w:b/>
          <w:sz w:val="19"/>
          <w:szCs w:val="19"/>
        </w:rPr>
      </w:pPr>
      <w:r w:rsidRPr="00FA7A28">
        <w:rPr>
          <w:rFonts w:ascii="Century Gothic" w:hAnsi="Century Gothic"/>
          <w:b/>
          <w:sz w:val="19"/>
          <w:szCs w:val="19"/>
        </w:rPr>
        <w:t>A.1.4</w:t>
      </w:r>
      <w:r w:rsidR="00E07324">
        <w:rPr>
          <w:rFonts w:ascii="Century Gothic" w:hAnsi="Century Gothic"/>
          <w:b/>
          <w:sz w:val="19"/>
          <w:szCs w:val="19"/>
        </w:rPr>
        <w:t>.  Indicadores de pertinencia del PESNIEG</w:t>
      </w:r>
    </w:p>
    <w:p w:rsidR="004C7825" w:rsidRDefault="004C7825" w:rsidP="00714434">
      <w:pPr>
        <w:spacing w:before="120" w:after="0"/>
        <w:jc w:val="center"/>
        <w:rPr>
          <w:rFonts w:ascii="Century Gothic" w:hAnsi="Century Gothic"/>
          <w:sz w:val="19"/>
          <w:szCs w:val="19"/>
        </w:rPr>
      </w:pPr>
      <w:r w:rsidRPr="004C7825">
        <w:rPr>
          <w:noProof/>
          <w:lang w:val="en-US"/>
        </w:rPr>
        <w:drawing>
          <wp:inline distT="0" distB="0" distL="0" distR="0" wp14:anchorId="5F9529BD" wp14:editId="786F24C1">
            <wp:extent cx="4645024" cy="995439"/>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9714" cy="1011445"/>
                    </a:xfrm>
                    <a:prstGeom prst="rect">
                      <a:avLst/>
                    </a:prstGeom>
                    <a:noFill/>
                    <a:ln>
                      <a:noFill/>
                    </a:ln>
                  </pic:spPr>
                </pic:pic>
              </a:graphicData>
            </a:graphic>
          </wp:inline>
        </w:drawing>
      </w:r>
    </w:p>
    <w:p w:rsidR="002B7E31" w:rsidRPr="00714434" w:rsidRDefault="002B7E31" w:rsidP="00764A82">
      <w:pPr>
        <w:spacing w:after="0"/>
        <w:ind w:left="1418" w:right="1440"/>
        <w:rPr>
          <w:rFonts w:ascii="Century Gothic" w:hAnsi="Century Gothic"/>
          <w:sz w:val="14"/>
          <w:szCs w:val="16"/>
        </w:rPr>
      </w:pPr>
      <w:r w:rsidRPr="00714434">
        <w:rPr>
          <w:rFonts w:ascii="Century Gothic" w:hAnsi="Century Gothic"/>
          <w:sz w:val="14"/>
          <w:szCs w:val="16"/>
        </w:rPr>
        <w:t xml:space="preserve">*Los indicadores que permiten medir la evolución del desarrollo nacional se obtuvieron a partir </w:t>
      </w:r>
      <w:r w:rsidR="00161F82">
        <w:rPr>
          <w:rFonts w:ascii="Century Gothic" w:hAnsi="Century Gothic"/>
          <w:sz w:val="14"/>
          <w:szCs w:val="16"/>
        </w:rPr>
        <w:t xml:space="preserve">de los programas derivados </w:t>
      </w:r>
      <w:r w:rsidRPr="00714434">
        <w:rPr>
          <w:rFonts w:ascii="Century Gothic" w:hAnsi="Century Gothic"/>
          <w:sz w:val="14"/>
          <w:szCs w:val="16"/>
        </w:rPr>
        <w:t xml:space="preserve">del Plan Nacional de </w:t>
      </w:r>
      <w:r w:rsidR="00161F82" w:rsidRPr="00714434">
        <w:rPr>
          <w:rFonts w:ascii="Century Gothic" w:hAnsi="Century Gothic"/>
          <w:sz w:val="14"/>
          <w:szCs w:val="16"/>
        </w:rPr>
        <w:t xml:space="preserve">Desarrollo </w:t>
      </w:r>
      <w:r w:rsidRPr="00714434">
        <w:rPr>
          <w:rFonts w:ascii="Century Gothic" w:hAnsi="Century Gothic"/>
          <w:sz w:val="14"/>
          <w:szCs w:val="16"/>
        </w:rPr>
        <w:t>2013-2018</w:t>
      </w:r>
      <w:r w:rsidR="00161F82">
        <w:rPr>
          <w:rFonts w:ascii="Century Gothic" w:hAnsi="Century Gothic"/>
          <w:sz w:val="14"/>
          <w:szCs w:val="16"/>
        </w:rPr>
        <w:t>.</w:t>
      </w:r>
    </w:p>
    <w:p w:rsidR="006625AA" w:rsidRDefault="005A4FF2" w:rsidP="00764A82">
      <w:pPr>
        <w:spacing w:before="120"/>
        <w:jc w:val="both"/>
        <w:rPr>
          <w:rFonts w:ascii="Century Gothic" w:hAnsi="Century Gothic"/>
          <w:sz w:val="19"/>
          <w:szCs w:val="19"/>
        </w:rPr>
      </w:pPr>
      <w:r>
        <w:rPr>
          <w:rFonts w:ascii="Century Gothic" w:hAnsi="Century Gothic"/>
          <w:sz w:val="19"/>
          <w:szCs w:val="19"/>
        </w:rPr>
        <w:t>En la Quinta Sesión del 2019 del Comité de Aseguramiento de la Calidad, se presentó una estimación preliminar de los indicadores aprobados</w:t>
      </w:r>
      <w:r w:rsidR="004C5C3B">
        <w:rPr>
          <w:rFonts w:ascii="Century Gothic" w:hAnsi="Century Gothic"/>
          <w:sz w:val="19"/>
          <w:szCs w:val="19"/>
        </w:rPr>
        <w:t>, los cuales se exponen en el siguiente cuadro</w:t>
      </w:r>
      <w:r w:rsidR="00FA7A28">
        <w:rPr>
          <w:rFonts w:ascii="Century Gothic" w:hAnsi="Century Gothic"/>
          <w:sz w:val="19"/>
          <w:szCs w:val="19"/>
        </w:rPr>
        <w:t>.</w:t>
      </w:r>
    </w:p>
    <w:p w:rsidR="00FA7A28" w:rsidRDefault="00FA7A28" w:rsidP="00401CF8">
      <w:pPr>
        <w:spacing w:after="0"/>
        <w:jc w:val="center"/>
        <w:rPr>
          <w:rFonts w:ascii="Century Gothic" w:hAnsi="Century Gothic"/>
          <w:b/>
          <w:sz w:val="19"/>
          <w:szCs w:val="19"/>
        </w:rPr>
      </w:pPr>
      <w:r w:rsidRPr="00FA7A28">
        <w:rPr>
          <w:rFonts w:ascii="Century Gothic" w:hAnsi="Century Gothic"/>
          <w:b/>
          <w:sz w:val="19"/>
          <w:szCs w:val="19"/>
        </w:rPr>
        <w:t>A.1.</w:t>
      </w:r>
      <w:r w:rsidR="00E9554C">
        <w:rPr>
          <w:rFonts w:ascii="Century Gothic" w:hAnsi="Century Gothic"/>
          <w:b/>
          <w:sz w:val="19"/>
          <w:szCs w:val="19"/>
        </w:rPr>
        <w:t>5</w:t>
      </w:r>
      <w:r w:rsidR="00E07324">
        <w:rPr>
          <w:rFonts w:ascii="Century Gothic" w:hAnsi="Century Gothic"/>
          <w:b/>
          <w:sz w:val="19"/>
          <w:szCs w:val="19"/>
        </w:rPr>
        <w:t xml:space="preserve">.  Estimación preliminar de los indicadores de pertinencia aprobados </w:t>
      </w:r>
    </w:p>
    <w:p w:rsidR="002B44E4" w:rsidRPr="00FA7A28" w:rsidRDefault="002A2FF2" w:rsidP="003A2AE5">
      <w:pPr>
        <w:spacing w:before="120" w:after="0"/>
        <w:jc w:val="center"/>
        <w:rPr>
          <w:rFonts w:ascii="Century Gothic" w:hAnsi="Century Gothic"/>
          <w:b/>
          <w:sz w:val="19"/>
          <w:szCs w:val="19"/>
        </w:rPr>
      </w:pPr>
      <w:r w:rsidRPr="002A2FF2">
        <w:rPr>
          <w:noProof/>
          <w:lang w:val="en-US"/>
        </w:rPr>
        <w:drawing>
          <wp:inline distT="0" distB="0" distL="0" distR="0" wp14:anchorId="5AE1EBEF" wp14:editId="2825185A">
            <wp:extent cx="6616700" cy="41059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6700" cy="4105910"/>
                    </a:xfrm>
                    <a:prstGeom prst="rect">
                      <a:avLst/>
                    </a:prstGeom>
                    <a:noFill/>
                    <a:ln>
                      <a:noFill/>
                    </a:ln>
                  </pic:spPr>
                </pic:pic>
              </a:graphicData>
            </a:graphic>
          </wp:inline>
        </w:drawing>
      </w:r>
    </w:p>
    <w:p w:rsidR="0070451D" w:rsidRPr="00216A17" w:rsidRDefault="006C49EF" w:rsidP="002B44E4">
      <w:pPr>
        <w:spacing w:after="0"/>
        <w:jc w:val="both"/>
        <w:rPr>
          <w:rFonts w:ascii="Century Gothic" w:hAnsi="Century Gothic"/>
          <w:sz w:val="15"/>
          <w:szCs w:val="15"/>
        </w:rPr>
      </w:pPr>
      <w:r w:rsidRPr="00216A17">
        <w:rPr>
          <w:rFonts w:ascii="Century Gothic" w:hAnsi="Century Gothic"/>
          <w:sz w:val="15"/>
          <w:szCs w:val="15"/>
        </w:rPr>
        <w:t xml:space="preserve">* </w:t>
      </w:r>
      <w:r w:rsidR="002B44E4" w:rsidRPr="00216A17">
        <w:rPr>
          <w:rFonts w:ascii="Century Gothic" w:hAnsi="Century Gothic"/>
          <w:sz w:val="15"/>
          <w:szCs w:val="15"/>
        </w:rPr>
        <w:t>C</w:t>
      </w:r>
      <w:r w:rsidRPr="00216A17">
        <w:rPr>
          <w:rFonts w:ascii="Century Gothic" w:hAnsi="Century Gothic"/>
          <w:sz w:val="15"/>
          <w:szCs w:val="15"/>
        </w:rPr>
        <w:t xml:space="preserve">orresponde al único programa derivado del Plan Nacional de Desarrollo 2019 – 2024 que fue publicado antes del </w:t>
      </w:r>
      <w:r w:rsidR="003D10D7" w:rsidRPr="00216A17">
        <w:rPr>
          <w:rFonts w:ascii="Century Gothic" w:hAnsi="Century Gothic"/>
          <w:sz w:val="15"/>
          <w:szCs w:val="15"/>
        </w:rPr>
        <w:t>31 de diciembre</w:t>
      </w:r>
      <w:r w:rsidRPr="00216A17">
        <w:rPr>
          <w:rFonts w:ascii="Century Gothic" w:hAnsi="Century Gothic"/>
          <w:sz w:val="15"/>
          <w:szCs w:val="15"/>
        </w:rPr>
        <w:t xml:space="preserve"> de 2019</w:t>
      </w:r>
      <w:r w:rsidR="00604B36" w:rsidRPr="00216A17">
        <w:rPr>
          <w:rFonts w:ascii="Century Gothic" w:hAnsi="Century Gothic"/>
          <w:sz w:val="15"/>
          <w:szCs w:val="15"/>
        </w:rPr>
        <w:t xml:space="preserve"> el dato</w:t>
      </w:r>
      <w:r w:rsidRPr="00216A17">
        <w:rPr>
          <w:rFonts w:ascii="Century Gothic" w:hAnsi="Century Gothic"/>
          <w:sz w:val="15"/>
          <w:szCs w:val="15"/>
        </w:rPr>
        <w:t xml:space="preserve"> se actualizará</w:t>
      </w:r>
      <w:r w:rsidR="00604B36" w:rsidRPr="00216A17">
        <w:rPr>
          <w:rFonts w:ascii="Century Gothic" w:hAnsi="Century Gothic"/>
          <w:sz w:val="15"/>
          <w:szCs w:val="15"/>
        </w:rPr>
        <w:t xml:space="preserve"> durante 2020</w:t>
      </w:r>
      <w:r w:rsidRPr="00216A17">
        <w:rPr>
          <w:rFonts w:ascii="Century Gothic" w:hAnsi="Century Gothic"/>
          <w:sz w:val="15"/>
          <w:szCs w:val="15"/>
        </w:rPr>
        <w:t xml:space="preserve"> conforme se publiquen los otros programas.</w:t>
      </w:r>
    </w:p>
    <w:p w:rsidR="002B44E4" w:rsidRPr="00216A17" w:rsidRDefault="002B44E4" w:rsidP="002B44E4">
      <w:pPr>
        <w:spacing w:after="0"/>
        <w:jc w:val="both"/>
        <w:rPr>
          <w:rFonts w:ascii="Century Gothic" w:hAnsi="Century Gothic"/>
          <w:sz w:val="15"/>
          <w:szCs w:val="15"/>
        </w:rPr>
      </w:pPr>
      <w:r w:rsidRPr="00216A17">
        <w:rPr>
          <w:rFonts w:ascii="Century Gothic" w:hAnsi="Century Gothic"/>
          <w:sz w:val="15"/>
          <w:szCs w:val="15"/>
        </w:rPr>
        <w:t>**Este porcentaje se estima a través de un análisis conceptual de las metas, puesto que no existen indicadores definidos en el Plan Nacional de Desarrollo 2019-2024.</w:t>
      </w:r>
    </w:p>
    <w:p w:rsidR="00CE7E3A" w:rsidRDefault="00CE7E3A" w:rsidP="00F1035E">
      <w:pPr>
        <w:spacing w:before="240"/>
        <w:jc w:val="both"/>
        <w:rPr>
          <w:rFonts w:ascii="Century Gothic" w:hAnsi="Century Gothic"/>
          <w:sz w:val="19"/>
          <w:szCs w:val="19"/>
        </w:rPr>
      </w:pPr>
      <w:r>
        <w:rPr>
          <w:rFonts w:ascii="Century Gothic" w:hAnsi="Century Gothic"/>
          <w:sz w:val="19"/>
          <w:szCs w:val="19"/>
        </w:rPr>
        <w:t xml:space="preserve">Como puede observarse en el Cuadro A.1.5, el </w:t>
      </w:r>
      <w:r w:rsidR="005F66A6">
        <w:rPr>
          <w:rFonts w:ascii="Century Gothic" w:hAnsi="Century Gothic"/>
          <w:sz w:val="19"/>
          <w:szCs w:val="19"/>
        </w:rPr>
        <w:t>49.5</w:t>
      </w:r>
      <w:r>
        <w:rPr>
          <w:rFonts w:ascii="Century Gothic" w:hAnsi="Century Gothic"/>
          <w:sz w:val="19"/>
          <w:szCs w:val="19"/>
        </w:rPr>
        <w:t xml:space="preserve">% de los programas de información del INEGI </w:t>
      </w:r>
      <w:r w:rsidR="00F600EF">
        <w:rPr>
          <w:rFonts w:ascii="Century Gothic" w:hAnsi="Century Gothic"/>
          <w:sz w:val="19"/>
          <w:szCs w:val="19"/>
        </w:rPr>
        <w:t xml:space="preserve">se utilizan como insumo de otros. Del total de los programas con uso interno, </w:t>
      </w:r>
      <w:r w:rsidR="00A609A9">
        <w:rPr>
          <w:rFonts w:ascii="Century Gothic" w:hAnsi="Century Gothic"/>
          <w:sz w:val="19"/>
          <w:szCs w:val="19"/>
        </w:rPr>
        <w:t>79</w:t>
      </w:r>
      <w:r w:rsidR="00F600EF">
        <w:rPr>
          <w:rFonts w:ascii="Century Gothic" w:hAnsi="Century Gothic"/>
          <w:sz w:val="19"/>
          <w:szCs w:val="19"/>
        </w:rPr>
        <w:t>% son insumos para Cuentas Nacionales, 1</w:t>
      </w:r>
      <w:r w:rsidR="00A609A9">
        <w:rPr>
          <w:rFonts w:ascii="Century Gothic" w:hAnsi="Century Gothic"/>
          <w:sz w:val="19"/>
          <w:szCs w:val="19"/>
        </w:rPr>
        <w:t>7</w:t>
      </w:r>
      <w:r w:rsidR="00F600EF">
        <w:rPr>
          <w:rFonts w:ascii="Century Gothic" w:hAnsi="Century Gothic"/>
          <w:sz w:val="19"/>
          <w:szCs w:val="19"/>
        </w:rPr>
        <w:t>% para los Índices de Precios, 1</w:t>
      </w:r>
      <w:r w:rsidR="00A609A9">
        <w:rPr>
          <w:rFonts w:ascii="Century Gothic" w:hAnsi="Century Gothic"/>
          <w:sz w:val="19"/>
          <w:szCs w:val="19"/>
        </w:rPr>
        <w:t>9</w:t>
      </w:r>
      <w:r w:rsidR="00F600EF">
        <w:rPr>
          <w:rFonts w:ascii="Century Gothic" w:hAnsi="Century Gothic"/>
          <w:sz w:val="19"/>
          <w:szCs w:val="19"/>
        </w:rPr>
        <w:t xml:space="preserve">% se utilizan como infraestructura para censos o encuestas, y, </w:t>
      </w:r>
      <w:r w:rsidR="00A609A9">
        <w:rPr>
          <w:rFonts w:ascii="Century Gothic" w:hAnsi="Century Gothic"/>
          <w:sz w:val="19"/>
          <w:szCs w:val="19"/>
        </w:rPr>
        <w:t>6</w:t>
      </w:r>
      <w:r w:rsidR="00F600EF">
        <w:rPr>
          <w:rFonts w:ascii="Century Gothic" w:hAnsi="Century Gothic"/>
          <w:sz w:val="19"/>
          <w:szCs w:val="19"/>
        </w:rPr>
        <w:t>% apoyan la generación de información geográfica (ver Cuadro A.1.6</w:t>
      </w:r>
      <w:r w:rsidR="00A609A9">
        <w:rPr>
          <w:rFonts w:ascii="Century Gothic" w:hAnsi="Century Gothic"/>
          <w:sz w:val="19"/>
          <w:szCs w:val="19"/>
        </w:rPr>
        <w:t>.</w:t>
      </w:r>
      <w:r w:rsidR="00F600EF">
        <w:rPr>
          <w:rFonts w:ascii="Century Gothic" w:hAnsi="Century Gothic"/>
          <w:sz w:val="19"/>
          <w:szCs w:val="19"/>
        </w:rPr>
        <w:t>).</w:t>
      </w:r>
    </w:p>
    <w:p w:rsidR="00B93248" w:rsidRPr="00BC044F" w:rsidRDefault="00FA7CDF" w:rsidP="00BC044F">
      <w:pPr>
        <w:spacing w:before="240"/>
        <w:jc w:val="both"/>
        <w:rPr>
          <w:rFonts w:ascii="Century Gothic" w:hAnsi="Century Gothic"/>
          <w:sz w:val="19"/>
          <w:szCs w:val="19"/>
        </w:rPr>
      </w:pPr>
      <w:r w:rsidRPr="00BC044F">
        <w:rPr>
          <w:rFonts w:ascii="Century Gothic" w:hAnsi="Century Gothic"/>
          <w:sz w:val="19"/>
          <w:szCs w:val="19"/>
        </w:rPr>
        <w:lastRenderedPageBreak/>
        <w:t xml:space="preserve">Los </w:t>
      </w:r>
      <w:r w:rsidR="00BC044F" w:rsidRPr="00BC044F">
        <w:rPr>
          <w:rFonts w:ascii="Century Gothic" w:hAnsi="Century Gothic"/>
          <w:sz w:val="19"/>
          <w:szCs w:val="19"/>
        </w:rPr>
        <w:t>indicadores de pertinencia</w:t>
      </w:r>
      <w:r>
        <w:rPr>
          <w:rFonts w:ascii="Century Gothic" w:hAnsi="Century Gothic"/>
          <w:sz w:val="19"/>
          <w:szCs w:val="19"/>
        </w:rPr>
        <w:t xml:space="preserve"> aprobados muestran el porcentaje de cada tipo de uso respecto al total de programas de información.  Sin embargo, un mismo programa puede ser insumo</w:t>
      </w:r>
      <w:r w:rsidR="002B0E3E">
        <w:rPr>
          <w:rFonts w:ascii="Century Gothic" w:hAnsi="Century Gothic"/>
          <w:sz w:val="19"/>
          <w:szCs w:val="19"/>
        </w:rPr>
        <w:t xml:space="preserve"> para distintos usos</w:t>
      </w:r>
      <w:r>
        <w:rPr>
          <w:rFonts w:ascii="Century Gothic" w:hAnsi="Century Gothic"/>
          <w:sz w:val="19"/>
          <w:szCs w:val="19"/>
        </w:rPr>
        <w:t xml:space="preserve">, por lo que resulta útil analizar el porcentaje acumulado del uso externo de los programas de información.  </w:t>
      </w:r>
      <w:r w:rsidR="00C57BB9">
        <w:rPr>
          <w:rFonts w:ascii="Century Gothic" w:hAnsi="Century Gothic"/>
          <w:sz w:val="19"/>
          <w:szCs w:val="19"/>
        </w:rPr>
        <w:t xml:space="preserve">En el cuadro A.1.7 puede observarse que el </w:t>
      </w:r>
      <w:r w:rsidR="005F66A6">
        <w:rPr>
          <w:rFonts w:ascii="Century Gothic" w:hAnsi="Century Gothic"/>
          <w:sz w:val="19"/>
          <w:szCs w:val="19"/>
        </w:rPr>
        <w:t>44</w:t>
      </w:r>
      <w:r w:rsidR="00C57BB9">
        <w:rPr>
          <w:rFonts w:ascii="Century Gothic" w:hAnsi="Century Gothic"/>
          <w:sz w:val="19"/>
          <w:szCs w:val="19"/>
        </w:rPr>
        <w:t xml:space="preserve">% de los programas de información se utiliza para la medición de indicadores (PND, Clave y ODS) y atención a las disposiciones legales.  </w:t>
      </w:r>
      <w:r w:rsidR="002B0E3E">
        <w:rPr>
          <w:rFonts w:ascii="Century Gothic" w:hAnsi="Century Gothic"/>
          <w:sz w:val="19"/>
          <w:szCs w:val="19"/>
        </w:rPr>
        <w:t>Este porcentaje aumenta a 7</w:t>
      </w:r>
      <w:r w:rsidR="005F66A6">
        <w:rPr>
          <w:rFonts w:ascii="Century Gothic" w:hAnsi="Century Gothic"/>
          <w:sz w:val="19"/>
          <w:szCs w:val="19"/>
        </w:rPr>
        <w:t>6</w:t>
      </w:r>
      <w:r w:rsidR="002B0E3E">
        <w:rPr>
          <w:rFonts w:ascii="Century Gothic" w:hAnsi="Century Gothic"/>
          <w:sz w:val="19"/>
          <w:szCs w:val="19"/>
        </w:rPr>
        <w:t>% cuando se incluyen las metas genéricas del PND.</w:t>
      </w:r>
    </w:p>
    <w:tbl>
      <w:tblPr>
        <w:tblW w:w="11401" w:type="dxa"/>
        <w:jc w:val="center"/>
        <w:tblLook w:val="04A0" w:firstRow="1" w:lastRow="0" w:firstColumn="1" w:lastColumn="0" w:noHBand="0" w:noVBand="1"/>
      </w:tblPr>
      <w:tblGrid>
        <w:gridCol w:w="3186"/>
        <w:gridCol w:w="8466"/>
      </w:tblGrid>
      <w:tr w:rsidR="00E6610C" w:rsidTr="002650CB">
        <w:trPr>
          <w:jc w:val="center"/>
        </w:trPr>
        <w:tc>
          <w:tcPr>
            <w:tcW w:w="3265" w:type="dxa"/>
            <w:shd w:val="clear" w:color="auto" w:fill="auto"/>
          </w:tcPr>
          <w:p w:rsidR="00E6610C" w:rsidRDefault="002650CB" w:rsidP="002650CB">
            <w:pPr>
              <w:spacing w:after="120"/>
              <w:jc w:val="center"/>
              <w:rPr>
                <w:rFonts w:ascii="Century Gothic" w:hAnsi="Century Gothic"/>
              </w:rPr>
            </w:pPr>
            <w:r w:rsidRPr="00FA7A28">
              <w:rPr>
                <w:rFonts w:ascii="Century Gothic" w:hAnsi="Century Gothic"/>
                <w:b/>
                <w:sz w:val="19"/>
                <w:szCs w:val="19"/>
              </w:rPr>
              <w:t>A.1.</w:t>
            </w:r>
            <w:r>
              <w:rPr>
                <w:rFonts w:ascii="Century Gothic" w:hAnsi="Century Gothic"/>
                <w:b/>
                <w:sz w:val="19"/>
                <w:szCs w:val="19"/>
              </w:rPr>
              <w:t>6.  Programas de uso interno</w:t>
            </w:r>
          </w:p>
        </w:tc>
        <w:tc>
          <w:tcPr>
            <w:tcW w:w="8136" w:type="dxa"/>
            <w:shd w:val="clear" w:color="auto" w:fill="auto"/>
          </w:tcPr>
          <w:p w:rsidR="00E6610C" w:rsidRDefault="00C211F7" w:rsidP="00C211F7">
            <w:pPr>
              <w:spacing w:after="120"/>
              <w:jc w:val="center"/>
              <w:rPr>
                <w:rFonts w:ascii="Century Gothic" w:hAnsi="Century Gothic"/>
              </w:rPr>
            </w:pPr>
            <w:r w:rsidRPr="00FA7A28">
              <w:rPr>
                <w:rFonts w:ascii="Century Gothic" w:hAnsi="Century Gothic"/>
                <w:b/>
                <w:sz w:val="19"/>
                <w:szCs w:val="19"/>
              </w:rPr>
              <w:t>A.1.</w:t>
            </w:r>
            <w:r>
              <w:rPr>
                <w:rFonts w:ascii="Century Gothic" w:hAnsi="Century Gothic"/>
                <w:b/>
                <w:sz w:val="19"/>
                <w:szCs w:val="19"/>
              </w:rPr>
              <w:t>7</w:t>
            </w:r>
            <w:r w:rsidR="00E07324">
              <w:rPr>
                <w:rFonts w:ascii="Century Gothic" w:hAnsi="Century Gothic"/>
                <w:b/>
                <w:sz w:val="19"/>
                <w:szCs w:val="19"/>
              </w:rPr>
              <w:t>.  Programas de uso externo</w:t>
            </w:r>
          </w:p>
        </w:tc>
      </w:tr>
      <w:tr w:rsidR="00E6610C" w:rsidTr="002650CB">
        <w:trPr>
          <w:jc w:val="center"/>
        </w:trPr>
        <w:tc>
          <w:tcPr>
            <w:tcW w:w="3265" w:type="dxa"/>
            <w:shd w:val="clear" w:color="auto" w:fill="auto"/>
          </w:tcPr>
          <w:p w:rsidR="00C211F7" w:rsidRDefault="00DD2F3F" w:rsidP="00AF7912">
            <w:pPr>
              <w:jc w:val="center"/>
              <w:rPr>
                <w:rFonts w:ascii="Century Gothic" w:hAnsi="Century Gothic"/>
              </w:rPr>
            </w:pPr>
            <w:r w:rsidRPr="00DD2F3F">
              <w:rPr>
                <w:rFonts w:ascii="Century Gothic" w:hAnsi="Century Gothic"/>
                <w:noProof/>
                <w:lang w:val="en-US"/>
              </w:rPr>
              <w:drawing>
                <wp:inline distT="0" distB="0" distL="0" distR="0" wp14:anchorId="3223F715" wp14:editId="28CAB7EC">
                  <wp:extent cx="1877593" cy="1923101"/>
                  <wp:effectExtent l="0" t="0" r="889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7593" cy="1923101"/>
                          </a:xfrm>
                          <a:prstGeom prst="rect">
                            <a:avLst/>
                          </a:prstGeom>
                          <a:noFill/>
                          <a:ln>
                            <a:noFill/>
                          </a:ln>
                        </pic:spPr>
                      </pic:pic>
                    </a:graphicData>
                  </a:graphic>
                </wp:inline>
              </w:drawing>
            </w:r>
          </w:p>
          <w:p w:rsidR="00B71E8D" w:rsidRPr="00087BF4" w:rsidRDefault="00B71E8D" w:rsidP="009B06CF">
            <w:pPr>
              <w:jc w:val="center"/>
              <w:rPr>
                <w:rFonts w:ascii="Century Gothic" w:hAnsi="Century Gothic"/>
                <w:sz w:val="16"/>
                <w:szCs w:val="16"/>
              </w:rPr>
            </w:pPr>
            <w:r w:rsidRPr="00087BF4">
              <w:rPr>
                <w:rFonts w:ascii="Century Gothic" w:hAnsi="Century Gothic"/>
                <w:sz w:val="14"/>
                <w:szCs w:val="16"/>
              </w:rPr>
              <w:t>*</w:t>
            </w:r>
            <w:r w:rsidRPr="00216A17">
              <w:rPr>
                <w:rFonts w:ascii="Century Gothic" w:hAnsi="Century Gothic"/>
                <w:sz w:val="15"/>
                <w:szCs w:val="15"/>
              </w:rPr>
              <w:t xml:space="preserve">La suma no es 100% </w:t>
            </w:r>
            <w:r w:rsidR="009B06CF" w:rsidRPr="00216A17">
              <w:rPr>
                <w:rFonts w:ascii="Century Gothic" w:hAnsi="Century Gothic"/>
                <w:sz w:val="15"/>
                <w:szCs w:val="15"/>
              </w:rPr>
              <w:t xml:space="preserve">ya </w:t>
            </w:r>
            <w:r w:rsidRPr="00216A17">
              <w:rPr>
                <w:rFonts w:ascii="Century Gothic" w:hAnsi="Century Gothic"/>
                <w:sz w:val="15"/>
                <w:szCs w:val="15"/>
              </w:rPr>
              <w:t>que un mismo programa puede ser insumo de varios</w:t>
            </w:r>
            <w:r w:rsidR="00EA0822" w:rsidRPr="00216A17">
              <w:rPr>
                <w:rFonts w:ascii="Century Gothic" w:hAnsi="Century Gothic"/>
                <w:sz w:val="15"/>
                <w:szCs w:val="15"/>
              </w:rPr>
              <w:t>.</w:t>
            </w:r>
          </w:p>
        </w:tc>
        <w:tc>
          <w:tcPr>
            <w:tcW w:w="8136" w:type="dxa"/>
            <w:shd w:val="clear" w:color="auto" w:fill="auto"/>
          </w:tcPr>
          <w:p w:rsidR="00E6610C" w:rsidRPr="00BF3773" w:rsidRDefault="002F2928" w:rsidP="00855318">
            <w:pPr>
              <w:spacing w:after="120"/>
            </w:pPr>
            <w:r w:rsidRPr="002F2928">
              <w:rPr>
                <w:noProof/>
                <w:lang w:val="en-US"/>
              </w:rPr>
              <w:drawing>
                <wp:inline distT="0" distB="0" distL="0" distR="0" wp14:anchorId="03FEA3AB" wp14:editId="5AD97CCF">
                  <wp:extent cx="5236210" cy="2009775"/>
                  <wp:effectExtent l="0" t="0" r="254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210" cy="2009775"/>
                          </a:xfrm>
                          <a:prstGeom prst="rect">
                            <a:avLst/>
                          </a:prstGeom>
                          <a:noFill/>
                          <a:ln>
                            <a:noFill/>
                          </a:ln>
                        </pic:spPr>
                      </pic:pic>
                    </a:graphicData>
                  </a:graphic>
                </wp:inline>
              </w:drawing>
            </w:r>
          </w:p>
        </w:tc>
      </w:tr>
    </w:tbl>
    <w:p w:rsidR="00326AA2" w:rsidRDefault="00326AA2" w:rsidP="00326AA2">
      <w:pPr>
        <w:spacing w:before="240"/>
        <w:jc w:val="both"/>
        <w:rPr>
          <w:rFonts w:ascii="Century Gothic" w:hAnsi="Century Gothic"/>
          <w:sz w:val="19"/>
          <w:szCs w:val="19"/>
        </w:rPr>
      </w:pPr>
      <w:r>
        <w:rPr>
          <w:rFonts w:ascii="Century Gothic" w:hAnsi="Century Gothic"/>
          <w:sz w:val="19"/>
          <w:szCs w:val="19"/>
        </w:rPr>
        <w:t xml:space="preserve">Cabe señalar que esta estimación preliminar de los indicadores de pertinencia aprobados deberá ser revisada en 2020 principalmente para incluir los indicadores de los programas derivados del Plan Nacional de Desarrollo que se hayan publicado después del </w:t>
      </w:r>
      <w:r w:rsidR="003D10D7">
        <w:rPr>
          <w:rFonts w:ascii="Century Gothic" w:hAnsi="Century Gothic"/>
          <w:sz w:val="19"/>
          <w:szCs w:val="19"/>
        </w:rPr>
        <w:t>31 de diciembre</w:t>
      </w:r>
      <w:r>
        <w:rPr>
          <w:rFonts w:ascii="Century Gothic" w:hAnsi="Century Gothic"/>
          <w:sz w:val="19"/>
          <w:szCs w:val="19"/>
        </w:rPr>
        <w:t xml:space="preserve"> de 2019.  </w:t>
      </w:r>
    </w:p>
    <w:p w:rsidR="00C22EBC" w:rsidRDefault="00C22EBC" w:rsidP="00326AA2">
      <w:pPr>
        <w:spacing w:before="240"/>
        <w:jc w:val="both"/>
        <w:rPr>
          <w:rFonts w:ascii="Century Gothic" w:hAnsi="Century Gothic"/>
          <w:sz w:val="19"/>
          <w:szCs w:val="19"/>
        </w:rPr>
      </w:pPr>
      <w:r>
        <w:rPr>
          <w:rFonts w:ascii="Century Gothic" w:hAnsi="Century Gothic"/>
          <w:sz w:val="19"/>
          <w:szCs w:val="19"/>
        </w:rPr>
        <w:t>Para mayor referencia, en el siguiente cuadro se presenta el uso de cada uno de los programas de información del INEGI.</w:t>
      </w:r>
    </w:p>
    <w:p w:rsidR="00C22EBC" w:rsidRDefault="00C22EBC" w:rsidP="00326AA2">
      <w:pPr>
        <w:spacing w:before="240"/>
        <w:jc w:val="both"/>
        <w:rPr>
          <w:rFonts w:ascii="Century Gothic" w:hAnsi="Century Gothic"/>
          <w:sz w:val="19"/>
          <w:szCs w:val="19"/>
        </w:rPr>
        <w:sectPr w:rsidR="00C22EBC" w:rsidSect="00B3382F">
          <w:footerReference w:type="default" r:id="rId23"/>
          <w:pgSz w:w="12240" w:h="15840"/>
          <w:pgMar w:top="720" w:right="720" w:bottom="720" w:left="720" w:header="709" w:footer="709" w:gutter="0"/>
          <w:cols w:space="708"/>
          <w:docGrid w:linePitch="360"/>
        </w:sectPr>
      </w:pPr>
    </w:p>
    <w:p w:rsidR="006A74B8" w:rsidRDefault="00A77AE4" w:rsidP="006A74B8">
      <w:pPr>
        <w:spacing w:after="0"/>
        <w:jc w:val="center"/>
        <w:rPr>
          <w:rFonts w:ascii="Century Gothic" w:hAnsi="Century Gothic"/>
          <w:sz w:val="19"/>
          <w:szCs w:val="19"/>
        </w:rPr>
      </w:pPr>
      <w:r w:rsidRPr="00FA7A28">
        <w:rPr>
          <w:rFonts w:ascii="Century Gothic" w:hAnsi="Century Gothic"/>
          <w:b/>
          <w:sz w:val="19"/>
          <w:szCs w:val="19"/>
        </w:rPr>
        <w:lastRenderedPageBreak/>
        <w:t>A.1.</w:t>
      </w:r>
      <w:r>
        <w:rPr>
          <w:rFonts w:ascii="Century Gothic" w:hAnsi="Century Gothic"/>
          <w:b/>
          <w:sz w:val="19"/>
          <w:szCs w:val="19"/>
        </w:rPr>
        <w:t xml:space="preserve">8.  Programas de información del INEGI por tipo de uso </w:t>
      </w:r>
    </w:p>
    <w:tbl>
      <w:tblPr>
        <w:tblW w:w="14885"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98"/>
        <w:gridCol w:w="3055"/>
        <w:gridCol w:w="1134"/>
        <w:gridCol w:w="1560"/>
        <w:gridCol w:w="1275"/>
        <w:gridCol w:w="1276"/>
        <w:gridCol w:w="1303"/>
        <w:gridCol w:w="1114"/>
        <w:gridCol w:w="972"/>
        <w:gridCol w:w="1155"/>
        <w:gridCol w:w="843"/>
      </w:tblGrid>
      <w:tr w:rsidR="006A74B8" w:rsidRPr="006A74B8" w:rsidTr="006A74B8">
        <w:trPr>
          <w:trHeight w:val="814"/>
          <w:tblHeader/>
        </w:trPr>
        <w:tc>
          <w:tcPr>
            <w:tcW w:w="1198" w:type="dxa"/>
            <w:shd w:val="clear" w:color="auto" w:fill="1F3864" w:themeFill="accent5" w:themeFillShade="80"/>
            <w:vAlign w:val="center"/>
            <w:hideMark/>
          </w:tcPr>
          <w:p w:rsidR="006A74B8" w:rsidRPr="006A74B8" w:rsidRDefault="006A74B8" w:rsidP="006A74B8">
            <w:pPr>
              <w:spacing w:after="0" w:line="240" w:lineRule="auto"/>
              <w:ind w:firstLineChars="100" w:firstLine="170"/>
              <w:rPr>
                <w:rFonts w:ascii="Century Gothic" w:eastAsia="Times New Roman" w:hAnsi="Century Gothic" w:cs="Calibri"/>
                <w:b/>
                <w:bCs/>
                <w:sz w:val="17"/>
                <w:szCs w:val="17"/>
                <w:lang w:val="en-US"/>
              </w:rPr>
            </w:pPr>
            <w:r w:rsidRPr="006A74B8">
              <w:rPr>
                <w:rFonts w:ascii="Century Gothic" w:eastAsia="Times New Roman" w:hAnsi="Century Gothic" w:cs="Calibri"/>
                <w:b/>
                <w:bCs/>
                <w:color w:val="FFFFFF" w:themeColor="background1"/>
                <w:sz w:val="17"/>
                <w:szCs w:val="17"/>
                <w:lang w:val="en-US"/>
              </w:rPr>
              <w:t>UA</w:t>
            </w:r>
          </w:p>
        </w:tc>
        <w:tc>
          <w:tcPr>
            <w:tcW w:w="3055" w:type="dxa"/>
            <w:shd w:val="clear" w:color="auto" w:fill="1F3864" w:themeFill="accent5" w:themeFillShade="80"/>
            <w:vAlign w:val="center"/>
            <w:hideMark/>
          </w:tcPr>
          <w:p w:rsidR="006A74B8" w:rsidRPr="006A74B8" w:rsidRDefault="006A74B8" w:rsidP="006A74B8">
            <w:pPr>
              <w:spacing w:after="0" w:line="240" w:lineRule="auto"/>
              <w:ind w:firstLineChars="100" w:firstLine="170"/>
              <w:rPr>
                <w:rFonts w:ascii="Century Gothic" w:eastAsia="Times New Roman" w:hAnsi="Century Gothic" w:cs="Calibri"/>
                <w:b/>
                <w:bCs/>
                <w:sz w:val="17"/>
                <w:szCs w:val="17"/>
                <w:lang w:val="en-US"/>
              </w:rPr>
            </w:pPr>
            <w:proofErr w:type="spellStart"/>
            <w:r w:rsidRPr="006A74B8">
              <w:rPr>
                <w:rFonts w:ascii="Century Gothic" w:eastAsia="Times New Roman" w:hAnsi="Century Gothic" w:cs="Calibri"/>
                <w:b/>
                <w:bCs/>
                <w:color w:val="FFFFFF" w:themeColor="background1"/>
                <w:sz w:val="17"/>
                <w:szCs w:val="17"/>
                <w:lang w:val="en-US"/>
              </w:rPr>
              <w:t>Programa</w:t>
            </w:r>
            <w:proofErr w:type="spellEnd"/>
            <w:r w:rsidRPr="006A74B8">
              <w:rPr>
                <w:rFonts w:ascii="Century Gothic" w:eastAsia="Times New Roman" w:hAnsi="Century Gothic" w:cs="Calibri"/>
                <w:b/>
                <w:bCs/>
                <w:color w:val="FFFFFF" w:themeColor="background1"/>
                <w:sz w:val="17"/>
                <w:szCs w:val="17"/>
                <w:lang w:val="en-US"/>
              </w:rPr>
              <w:t xml:space="preserve"> de Información</w:t>
            </w:r>
          </w:p>
        </w:tc>
        <w:tc>
          <w:tcPr>
            <w:tcW w:w="1134"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rPr>
            </w:pPr>
            <w:proofErr w:type="spellStart"/>
            <w:r w:rsidRPr="00E24FA4">
              <w:rPr>
                <w:rFonts w:ascii="Century Gothic" w:eastAsia="Times New Roman" w:hAnsi="Century Gothic" w:cs="Calibri"/>
                <w:b/>
                <w:bCs/>
                <w:color w:val="FFFFFF" w:themeColor="background1"/>
                <w:sz w:val="17"/>
                <w:szCs w:val="17"/>
                <w:lang w:val="en-US"/>
              </w:rPr>
              <w:t>Insumo</w:t>
            </w:r>
            <w:proofErr w:type="spellEnd"/>
            <w:r w:rsidRPr="00E24FA4">
              <w:rPr>
                <w:rFonts w:ascii="Century Gothic" w:eastAsia="Times New Roman" w:hAnsi="Century Gothic" w:cs="Calibri"/>
                <w:b/>
                <w:bCs/>
                <w:color w:val="FFFFFF" w:themeColor="background1"/>
                <w:sz w:val="17"/>
                <w:szCs w:val="17"/>
                <w:lang w:val="en-US"/>
              </w:rPr>
              <w:t xml:space="preserve"> de </w:t>
            </w:r>
            <w:proofErr w:type="spellStart"/>
            <w:r w:rsidRPr="00E24FA4">
              <w:rPr>
                <w:rFonts w:ascii="Century Gothic" w:eastAsia="Times New Roman" w:hAnsi="Century Gothic" w:cs="Calibri"/>
                <w:b/>
                <w:bCs/>
                <w:color w:val="FFFFFF" w:themeColor="background1"/>
                <w:sz w:val="17"/>
                <w:szCs w:val="17"/>
                <w:lang w:val="en-US"/>
              </w:rPr>
              <w:t>otros</w:t>
            </w:r>
            <w:proofErr w:type="spellEnd"/>
            <w:r w:rsidRPr="00E24FA4">
              <w:rPr>
                <w:rFonts w:ascii="Century Gothic" w:eastAsia="Times New Roman" w:hAnsi="Century Gothic" w:cs="Calibri"/>
                <w:b/>
                <w:bCs/>
                <w:color w:val="FFFFFF" w:themeColor="background1"/>
                <w:sz w:val="17"/>
                <w:szCs w:val="17"/>
                <w:lang w:val="en-US"/>
              </w:rPr>
              <w:t xml:space="preserve"> </w:t>
            </w:r>
            <w:proofErr w:type="spellStart"/>
            <w:r w:rsidRPr="00E24FA4">
              <w:rPr>
                <w:rFonts w:ascii="Century Gothic" w:eastAsia="Times New Roman" w:hAnsi="Century Gothic" w:cs="Calibri"/>
                <w:b/>
                <w:bCs/>
                <w:color w:val="FFFFFF" w:themeColor="background1"/>
                <w:sz w:val="17"/>
                <w:szCs w:val="17"/>
                <w:lang w:val="en-US"/>
              </w:rPr>
              <w:t>programas</w:t>
            </w:r>
            <w:proofErr w:type="spellEnd"/>
          </w:p>
        </w:tc>
        <w:tc>
          <w:tcPr>
            <w:tcW w:w="1560"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Tratados</w:t>
            </w:r>
            <w:proofErr w:type="spellEnd"/>
            <w:r w:rsidRPr="00E24FA4">
              <w:rPr>
                <w:rFonts w:ascii="Century Gothic" w:eastAsia="Times New Roman" w:hAnsi="Century Gothic" w:cs="Calibri"/>
                <w:b/>
                <w:bCs/>
                <w:color w:val="FFFFFF" w:themeColor="background1"/>
                <w:sz w:val="17"/>
                <w:szCs w:val="17"/>
                <w:lang w:val="en-US"/>
              </w:rPr>
              <w:t xml:space="preserve"> </w:t>
            </w:r>
            <w:proofErr w:type="spellStart"/>
            <w:r w:rsidRPr="00E24FA4">
              <w:rPr>
                <w:rFonts w:ascii="Century Gothic" w:eastAsia="Times New Roman" w:hAnsi="Century Gothic" w:cs="Calibri"/>
                <w:b/>
                <w:bCs/>
                <w:color w:val="FFFFFF" w:themeColor="background1"/>
                <w:sz w:val="17"/>
                <w:szCs w:val="17"/>
                <w:lang w:val="en-US"/>
              </w:rPr>
              <w:t>Internacionales</w:t>
            </w:r>
            <w:proofErr w:type="spellEnd"/>
          </w:p>
        </w:tc>
        <w:tc>
          <w:tcPr>
            <w:tcW w:w="1275"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Constitución</w:t>
            </w:r>
            <w:proofErr w:type="spellEnd"/>
            <w:r w:rsidRPr="00E24FA4">
              <w:rPr>
                <w:rFonts w:ascii="Century Gothic" w:eastAsia="Times New Roman" w:hAnsi="Century Gothic" w:cs="Calibri"/>
                <w:b/>
                <w:bCs/>
                <w:color w:val="FFFFFF" w:themeColor="background1"/>
                <w:sz w:val="17"/>
                <w:szCs w:val="17"/>
                <w:lang w:val="en-US"/>
              </w:rPr>
              <w:t xml:space="preserve"> y </w:t>
            </w:r>
            <w:proofErr w:type="spellStart"/>
            <w:r w:rsidRPr="00E24FA4">
              <w:rPr>
                <w:rFonts w:ascii="Century Gothic" w:eastAsia="Times New Roman" w:hAnsi="Century Gothic" w:cs="Calibri"/>
                <w:b/>
                <w:bCs/>
                <w:color w:val="FFFFFF" w:themeColor="background1"/>
                <w:sz w:val="17"/>
                <w:szCs w:val="17"/>
                <w:lang w:val="en-US"/>
              </w:rPr>
              <w:t>leyes</w:t>
            </w:r>
            <w:proofErr w:type="spellEnd"/>
          </w:p>
        </w:tc>
        <w:tc>
          <w:tcPr>
            <w:tcW w:w="1276"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Indicadores</w:t>
            </w:r>
            <w:proofErr w:type="spellEnd"/>
            <w:r w:rsidRPr="00E24FA4">
              <w:rPr>
                <w:rFonts w:ascii="Century Gothic" w:eastAsia="Times New Roman" w:hAnsi="Century Gothic" w:cs="Calibri"/>
                <w:b/>
                <w:bCs/>
                <w:color w:val="FFFFFF" w:themeColor="background1"/>
                <w:sz w:val="17"/>
                <w:szCs w:val="17"/>
                <w:lang w:val="en-US"/>
              </w:rPr>
              <w:t xml:space="preserve"> ODS</w:t>
            </w:r>
          </w:p>
        </w:tc>
        <w:tc>
          <w:tcPr>
            <w:tcW w:w="1303"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Indicadores</w:t>
            </w:r>
            <w:proofErr w:type="spellEnd"/>
            <w:r w:rsidRPr="00E24FA4">
              <w:rPr>
                <w:rFonts w:ascii="Century Gothic" w:eastAsia="Times New Roman" w:hAnsi="Century Gothic" w:cs="Calibri"/>
                <w:b/>
                <w:bCs/>
                <w:color w:val="FFFFFF" w:themeColor="background1"/>
                <w:sz w:val="17"/>
                <w:szCs w:val="17"/>
                <w:lang w:val="en-US"/>
              </w:rPr>
              <w:t xml:space="preserve"> Clave</w:t>
            </w:r>
          </w:p>
        </w:tc>
        <w:tc>
          <w:tcPr>
            <w:tcW w:w="1114"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Progr</w:t>
            </w:r>
            <w:r w:rsidR="00C95E05">
              <w:rPr>
                <w:rFonts w:ascii="Century Gothic" w:eastAsia="Times New Roman" w:hAnsi="Century Gothic" w:cs="Calibri"/>
                <w:b/>
                <w:bCs/>
                <w:color w:val="FFFFFF" w:themeColor="background1"/>
                <w:sz w:val="17"/>
                <w:szCs w:val="17"/>
                <w:lang w:val="en-US"/>
              </w:rPr>
              <w:t>a</w:t>
            </w:r>
            <w:r w:rsidRPr="00E24FA4">
              <w:rPr>
                <w:rFonts w:ascii="Century Gothic" w:eastAsia="Times New Roman" w:hAnsi="Century Gothic" w:cs="Calibri"/>
                <w:b/>
                <w:bCs/>
                <w:color w:val="FFFFFF" w:themeColor="background1"/>
                <w:sz w:val="17"/>
                <w:szCs w:val="17"/>
                <w:lang w:val="en-US"/>
              </w:rPr>
              <w:t>mas</w:t>
            </w:r>
            <w:proofErr w:type="spellEnd"/>
            <w:r w:rsidRPr="00E24FA4">
              <w:rPr>
                <w:rFonts w:ascii="Century Gothic" w:eastAsia="Times New Roman" w:hAnsi="Century Gothic" w:cs="Calibri"/>
                <w:b/>
                <w:bCs/>
                <w:color w:val="FFFFFF" w:themeColor="background1"/>
                <w:sz w:val="17"/>
                <w:szCs w:val="17"/>
                <w:lang w:val="en-US"/>
              </w:rPr>
              <w:t xml:space="preserve"> </w:t>
            </w:r>
            <w:proofErr w:type="spellStart"/>
            <w:r w:rsidRPr="00E24FA4">
              <w:rPr>
                <w:rFonts w:ascii="Century Gothic" w:eastAsia="Times New Roman" w:hAnsi="Century Gothic" w:cs="Calibri"/>
                <w:b/>
                <w:bCs/>
                <w:color w:val="FFFFFF" w:themeColor="background1"/>
                <w:sz w:val="17"/>
                <w:szCs w:val="17"/>
                <w:lang w:val="en-US"/>
              </w:rPr>
              <w:t>Sectoriales</w:t>
            </w:r>
            <w:proofErr w:type="spellEnd"/>
            <w:r w:rsidRPr="00E24FA4">
              <w:rPr>
                <w:rFonts w:ascii="Century Gothic" w:eastAsia="Times New Roman" w:hAnsi="Century Gothic" w:cs="Calibri"/>
                <w:b/>
                <w:bCs/>
                <w:color w:val="FFFFFF" w:themeColor="background1"/>
                <w:sz w:val="17"/>
                <w:szCs w:val="17"/>
                <w:lang w:val="en-US"/>
              </w:rPr>
              <w:t xml:space="preserve"> y </w:t>
            </w:r>
            <w:proofErr w:type="spellStart"/>
            <w:r w:rsidRPr="00E24FA4">
              <w:rPr>
                <w:rFonts w:ascii="Century Gothic" w:eastAsia="Times New Roman" w:hAnsi="Century Gothic" w:cs="Calibri"/>
                <w:b/>
                <w:bCs/>
                <w:color w:val="FFFFFF" w:themeColor="background1"/>
                <w:sz w:val="17"/>
                <w:szCs w:val="17"/>
                <w:lang w:val="en-US"/>
              </w:rPr>
              <w:t>Especiales</w:t>
            </w:r>
            <w:proofErr w:type="spellEnd"/>
          </w:p>
        </w:tc>
        <w:tc>
          <w:tcPr>
            <w:tcW w:w="972"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rPr>
            </w:pPr>
            <w:proofErr w:type="spellStart"/>
            <w:r w:rsidRPr="00E24FA4">
              <w:rPr>
                <w:rFonts w:ascii="Century Gothic" w:eastAsia="Times New Roman" w:hAnsi="Century Gothic" w:cs="Calibri"/>
                <w:b/>
                <w:bCs/>
                <w:color w:val="FFFFFF" w:themeColor="background1"/>
                <w:sz w:val="17"/>
                <w:szCs w:val="17"/>
                <w:lang w:val="en-US"/>
              </w:rPr>
              <w:t>Metas</w:t>
            </w:r>
            <w:proofErr w:type="spellEnd"/>
            <w:r w:rsidRPr="00E24FA4">
              <w:rPr>
                <w:rFonts w:ascii="Century Gothic" w:eastAsia="Times New Roman" w:hAnsi="Century Gothic" w:cs="Calibri"/>
                <w:b/>
                <w:bCs/>
                <w:color w:val="FFFFFF" w:themeColor="background1"/>
                <w:sz w:val="17"/>
                <w:szCs w:val="17"/>
                <w:lang w:val="en-US"/>
              </w:rPr>
              <w:t>-PND (DOF)</w:t>
            </w:r>
          </w:p>
        </w:tc>
        <w:tc>
          <w:tcPr>
            <w:tcW w:w="1155"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Laboratorio</w:t>
            </w:r>
            <w:proofErr w:type="spellEnd"/>
            <w:r w:rsidRPr="00E24FA4">
              <w:rPr>
                <w:rFonts w:ascii="Century Gothic" w:eastAsia="Times New Roman" w:hAnsi="Century Gothic" w:cs="Calibri"/>
                <w:b/>
                <w:bCs/>
                <w:color w:val="FFFFFF" w:themeColor="background1"/>
                <w:sz w:val="17"/>
                <w:szCs w:val="17"/>
                <w:lang w:val="en-US"/>
              </w:rPr>
              <w:t xml:space="preserve"> de </w:t>
            </w:r>
            <w:proofErr w:type="spellStart"/>
            <w:r w:rsidRPr="00E24FA4">
              <w:rPr>
                <w:rFonts w:ascii="Century Gothic" w:eastAsia="Times New Roman" w:hAnsi="Century Gothic" w:cs="Calibri"/>
                <w:b/>
                <w:bCs/>
                <w:color w:val="FFFFFF" w:themeColor="background1"/>
                <w:sz w:val="17"/>
                <w:szCs w:val="17"/>
                <w:lang w:val="en-US"/>
              </w:rPr>
              <w:t>Microdatos</w:t>
            </w:r>
            <w:proofErr w:type="spellEnd"/>
          </w:p>
        </w:tc>
        <w:tc>
          <w:tcPr>
            <w:tcW w:w="843" w:type="dxa"/>
            <w:shd w:val="clear" w:color="auto" w:fill="1F3864" w:themeFill="accent5" w:themeFillShade="80"/>
            <w:vAlign w:val="center"/>
            <w:hideMark/>
          </w:tcPr>
          <w:p w:rsidR="006A74B8" w:rsidRPr="006A74B8" w:rsidRDefault="006A74B8" w:rsidP="006A74B8">
            <w:pPr>
              <w:spacing w:after="0" w:line="240" w:lineRule="auto"/>
              <w:jc w:val="center"/>
              <w:rPr>
                <w:rFonts w:ascii="Century Gothic" w:eastAsia="Times New Roman" w:hAnsi="Century Gothic" w:cs="Calibri"/>
                <w:b/>
                <w:bCs/>
                <w:sz w:val="17"/>
                <w:szCs w:val="17"/>
                <w:lang w:val="en-US"/>
              </w:rPr>
            </w:pPr>
            <w:proofErr w:type="spellStart"/>
            <w:r w:rsidRPr="00E24FA4">
              <w:rPr>
                <w:rFonts w:ascii="Century Gothic" w:eastAsia="Times New Roman" w:hAnsi="Century Gothic" w:cs="Calibri"/>
                <w:b/>
                <w:bCs/>
                <w:color w:val="FFFFFF" w:themeColor="background1"/>
                <w:sz w:val="17"/>
                <w:szCs w:val="17"/>
                <w:lang w:val="en-US"/>
              </w:rPr>
              <w:t>Página</w:t>
            </w:r>
            <w:proofErr w:type="spellEnd"/>
            <w:r w:rsidRPr="00E24FA4">
              <w:rPr>
                <w:rFonts w:ascii="Century Gothic" w:eastAsia="Times New Roman" w:hAnsi="Century Gothic" w:cs="Calibri"/>
                <w:b/>
                <w:bCs/>
                <w:color w:val="FFFFFF" w:themeColor="background1"/>
                <w:sz w:val="17"/>
                <w:szCs w:val="17"/>
                <w:lang w:val="en-US"/>
              </w:rPr>
              <w:t xml:space="preserve"> INEGI</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Cuentas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por</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Actividades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Económicas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Cuentas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por</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Sectores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Institucionales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Cuentas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Temáticas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E82A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Índice Nacional de Precios Productor</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E82A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Censos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Agropecuarios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Censos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Económicos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Nacional </w:t>
            </w:r>
            <w:proofErr w:type="spellStart"/>
            <w:r w:rsidRPr="006A74B8">
              <w:rPr>
                <w:rFonts w:ascii="Century Gothic" w:eastAsia="Times New Roman" w:hAnsi="Century Gothic" w:cs="Calibri"/>
                <w:sz w:val="17"/>
                <w:szCs w:val="17"/>
                <w:lang w:val="en-US"/>
              </w:rPr>
              <w:t>Agropecuaria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comercio</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noWrap/>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auto"/>
            <w:noWrap/>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empresas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constructoras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industrias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manufactureras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Encuestas de servicios y transportes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xml:space="preserve">Índice Nacional de Precios Consumidor  </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Balanza Comercial de Mercancías de México</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Industria</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Minero</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metalúrgica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Programa</w:t>
            </w:r>
            <w:proofErr w:type="spellEnd"/>
            <w:r w:rsidRPr="006A74B8">
              <w:rPr>
                <w:rFonts w:ascii="Century Gothic" w:eastAsia="Times New Roman" w:hAnsi="Century Gothic" w:cs="Calibri"/>
                <w:sz w:val="17"/>
                <w:szCs w:val="17"/>
                <w:lang w:val="en-US"/>
              </w:rPr>
              <w:t xml:space="preserve"> IMMEX</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Registro Estadístico de Negocios de México</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Sacrificio de Ganado en Rastros Municipales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Finanzas Públicas Estatales y Municipales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Transporte</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Urbano</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Pasajeros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82AB8" w:rsidRPr="006A74B8" w:rsidTr="00E82A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lastRenderedPageBreak/>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Vehículos de Motor Registrados en Circulación</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p>
        </w:tc>
        <w:tc>
          <w:tcPr>
            <w:tcW w:w="1303"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E82A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Vinculación</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Registros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Administrativos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1155" w:type="dxa"/>
            <w:shd w:val="clear" w:color="auto" w:fill="C5EAFF"/>
            <w:vAlign w:val="center"/>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Inventario</w:t>
            </w:r>
            <w:proofErr w:type="spellEnd"/>
            <w:r w:rsidRPr="006A74B8">
              <w:rPr>
                <w:rFonts w:ascii="Century Gothic" w:eastAsia="Times New Roman" w:hAnsi="Century Gothic" w:cs="Calibri"/>
                <w:sz w:val="17"/>
                <w:szCs w:val="17"/>
                <w:lang w:val="en-US"/>
              </w:rPr>
              <w:t xml:space="preserve"> Nacional de </w:t>
            </w:r>
            <w:proofErr w:type="spellStart"/>
            <w:r w:rsidRPr="006A74B8">
              <w:rPr>
                <w:rFonts w:ascii="Century Gothic" w:eastAsia="Times New Roman" w:hAnsi="Century Gothic" w:cs="Calibri"/>
                <w:sz w:val="17"/>
                <w:szCs w:val="17"/>
                <w:lang w:val="en-US"/>
              </w:rPr>
              <w:t>Viviendas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de Población y Vivienda</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Demográfica</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Retrospectiva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Intercensal</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Empleo y Seguridad Social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Inclusión Financiera</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noWrap/>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noWrap/>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noWrap/>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noWrap/>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Ingresos y Gastos de los Hogares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la Dinámica Demográfica</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los Hogares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Ocupación y Empleo (ENOE), población de 15 años y más de edad</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Confianza del Consumidor</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Consumo de Energéticos en Viviendas Particulares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Nacional </w:t>
            </w:r>
            <w:proofErr w:type="spellStart"/>
            <w:r w:rsidRPr="006A74B8">
              <w:rPr>
                <w:rFonts w:ascii="Century Gothic" w:eastAsia="Times New Roman" w:hAnsi="Century Gothic" w:cs="Calibri"/>
                <w:sz w:val="17"/>
                <w:szCs w:val="17"/>
                <w:lang w:val="en-US"/>
              </w:rPr>
              <w:t>sobre</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Discriminación</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Uso del Tiempo</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Origen Destino en Hogares de la Zona Metropolitana del Valle de México</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xml:space="preserve">Módulo de Condiciones Socioeconómicas de la ENIGH </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lastRenderedPageBreak/>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Módulo de Eventos Culturales Seleccionados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Módulo</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Lectura</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79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Módulo de Práctica Deportiva y Ejercicio Físico</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79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Módulo</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Trabajo</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Infantil</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Módulo</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Trayectorias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Laborales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Nacional de </w:t>
            </w:r>
            <w:proofErr w:type="spellStart"/>
            <w:r w:rsidRPr="006A74B8">
              <w:rPr>
                <w:rFonts w:ascii="Century Gothic" w:eastAsia="Times New Roman" w:hAnsi="Century Gothic" w:cs="Calibri"/>
                <w:sz w:val="17"/>
                <w:szCs w:val="17"/>
                <w:lang w:val="en-US"/>
              </w:rPr>
              <w:t>Vivienda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Salud y Envejecimiento en México</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Módulo de Movilidad Social Intergeneracional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xml:space="preserve">Marco de </w:t>
            </w:r>
            <w:proofErr w:type="spellStart"/>
            <w:r w:rsidRPr="006A74B8">
              <w:rPr>
                <w:rFonts w:ascii="Century Gothic" w:eastAsia="Times New Roman" w:hAnsi="Century Gothic" w:cs="Calibri"/>
                <w:sz w:val="17"/>
                <w:szCs w:val="17"/>
                <w:lang w:val="en-US"/>
              </w:rPr>
              <w:t>referencia</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geodésico</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xml:space="preserve">Marco </w:t>
            </w:r>
            <w:proofErr w:type="spellStart"/>
            <w:r w:rsidRPr="006A74B8">
              <w:rPr>
                <w:rFonts w:ascii="Century Gothic" w:eastAsia="Times New Roman" w:hAnsi="Century Gothic" w:cs="Calibri"/>
                <w:sz w:val="17"/>
                <w:szCs w:val="17"/>
                <w:lang w:val="en-US"/>
              </w:rPr>
              <w:t>geoestadístico</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Modelos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digitales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elevación</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xml:space="preserve">Red </w:t>
            </w:r>
            <w:proofErr w:type="spellStart"/>
            <w:r w:rsidRPr="006A74B8">
              <w:rPr>
                <w:rFonts w:ascii="Century Gothic" w:eastAsia="Times New Roman" w:hAnsi="Century Gothic" w:cs="Calibri"/>
                <w:sz w:val="17"/>
                <w:szCs w:val="17"/>
                <w:lang w:val="en-US"/>
              </w:rPr>
              <w:t>nacional</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caminos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Topografía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Financiamiento de las Empresas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Productividad y Competitividad de las Empresas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opinión</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empresarial</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Accidentes</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Tránsito</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Terrestre</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E24FA4" w:rsidRDefault="006A74B8" w:rsidP="006A74B8">
            <w:pPr>
              <w:spacing w:after="0" w:line="240" w:lineRule="auto"/>
              <w:jc w:val="center"/>
              <w:rPr>
                <w:rFonts w:ascii="Century Gothic" w:eastAsia="Times New Roman" w:hAnsi="Century Gothic" w:cs="Calibri"/>
                <w:strike/>
                <w:sz w:val="17"/>
                <w:szCs w:val="17"/>
                <w:lang w:val="en-US"/>
              </w:rPr>
            </w:pPr>
          </w:p>
          <w:p w:rsidR="0055470F" w:rsidRPr="006A74B8" w:rsidRDefault="0055470F" w:rsidP="006A74B8">
            <w:pPr>
              <w:spacing w:after="0" w:line="240" w:lineRule="auto"/>
              <w:jc w:val="center"/>
              <w:rPr>
                <w:rFonts w:ascii="Century Gothic" w:eastAsia="Times New Roman" w:hAnsi="Century Gothic" w:cs="Calibri"/>
                <w:sz w:val="17"/>
                <w:szCs w:val="17"/>
                <w:lang w:val="en-US"/>
              </w:rPr>
            </w:pP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Encuesta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viajeros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internacionales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82AB8" w:rsidRPr="006A74B8" w:rsidTr="00E82A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lastRenderedPageBreak/>
              <w:t>DGEE</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Paridades de Poder de Compra</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trike/>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303"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sz w:val="17"/>
                <w:szCs w:val="17"/>
              </w:rPr>
            </w:pPr>
          </w:p>
        </w:tc>
        <w:tc>
          <w:tcPr>
            <w:tcW w:w="1114"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sz w:val="17"/>
                <w:szCs w:val="17"/>
              </w:rPr>
            </w:pP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DGEE/DGES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Disponibilidad y Uso de Tecnologías de la Información en los Hogares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Derechos Humanos Estatal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Derechos Humanos Federal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Gobierno Federal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Gobierno, Seguridad Pública y Sistema Penitenciario Estatales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82AB8" w:rsidRPr="006A74B8" w:rsidTr="00E82A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Gobiernos Municipales y Delegacionales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p>
        </w:tc>
        <w:tc>
          <w:tcPr>
            <w:tcW w:w="1114" w:type="dxa"/>
            <w:shd w:val="clear" w:color="auto" w:fill="auto"/>
            <w:vAlign w:val="center"/>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Impartición de Justicia Estatal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Impartición de Justicia Federal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Poderes Legislativos Estatales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Procuración de Justicia Estatal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Procuración de Justicia Federal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Seguridad Pública Federal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Transparencia, Acceso a la Información Pública y Protección de Datos Personales Estatal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 Transparencia, Acceso a la Información Pública y Protección de Datos Personales Federal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Nacional del Sistema Penitenciario Federal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lastRenderedPageBreak/>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de Cohesión Social para la Prevención de la Violencia y la Delincuencia</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Acceso a la Información Pública y Protección de Datos Personales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Adolescentes en el Sistema de Justicia Penal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Calidad e Impacto Gubernamental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Calidad Regulatoria e Impacto Gubernamental en Empresas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Estándares y Capacitación Profesional Policial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Población Privada de la Libertad</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Victimización y Percepción sobre Seguridad Pública</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sobre la Dinámica de las Relaciones en los Hogares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xml:space="preserve">Encuesta Nacional de Seguridad Pública Urbana </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Victimización de Empresas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Estadística de Impartición de justicia en materia penal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DGEGSPJ</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Estadística de Organismos públicos de derechos humanos</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DGEGSPJ/</w:t>
            </w:r>
            <w:r w:rsidRPr="006A74B8">
              <w:rPr>
                <w:rFonts w:ascii="Century Gothic" w:eastAsia="Times New Roman" w:hAnsi="Century Gothic" w:cs="Calibri"/>
                <w:sz w:val="17"/>
                <w:szCs w:val="17"/>
              </w:rPr>
              <w:b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Módulo sobre Ciberacoso</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Encuesta Nacional de Salud y Nutrición</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1303" w:type="dxa"/>
            <w:shd w:val="clear" w:color="auto" w:fill="auto"/>
            <w:noWrap/>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Módulo de Hogares y Medio Ambiente</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Estadística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defunciones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fetales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lastRenderedPageBreak/>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Estadística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defunciones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generales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Estadística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Museos</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Estadística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Natalidad</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Estadística</w:t>
            </w:r>
            <w:proofErr w:type="spellEnd"/>
            <w:r w:rsidRPr="006A74B8">
              <w:rPr>
                <w:rFonts w:ascii="Century Gothic" w:eastAsia="Times New Roman" w:hAnsi="Century Gothic" w:cs="Calibri"/>
                <w:sz w:val="17"/>
                <w:szCs w:val="17"/>
                <w:lang w:val="en-US"/>
              </w:rPr>
              <w:t xml:space="preserve"> de </w:t>
            </w:r>
            <w:proofErr w:type="spellStart"/>
            <w:r w:rsidRPr="006A74B8">
              <w:rPr>
                <w:rFonts w:ascii="Century Gothic" w:eastAsia="Times New Roman" w:hAnsi="Century Gothic" w:cs="Calibri"/>
                <w:sz w:val="17"/>
                <w:szCs w:val="17"/>
                <w:lang w:val="en-US"/>
              </w:rPr>
              <w:t>Nupcialidad</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Estadísticas de salud en establecimientos particulares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Estadísticas sobre relaciones laborales de jurisdicción local</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Características de las localidades y del entorno urbano</w:t>
            </w:r>
          </w:p>
        </w:tc>
        <w:tc>
          <w:tcPr>
            <w:tcW w:w="1134"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114"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DGES</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Censo de Alojamientos de Asistencia Social</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Edafología</w:t>
            </w:r>
            <w:proofErr w:type="spellEnd"/>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E24FA4" w:rsidRPr="006A74B8" w:rsidTr="006A74B8">
        <w:trPr>
          <w:trHeight w:val="465"/>
        </w:trPr>
        <w:tc>
          <w:tcPr>
            <w:tcW w:w="1198"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DGGMA</w:t>
            </w:r>
          </w:p>
        </w:tc>
        <w:tc>
          <w:tcPr>
            <w:tcW w:w="3055" w:type="dxa"/>
            <w:shd w:val="clear" w:color="auto" w:fill="auto"/>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Uso de suelo y vegetación</w:t>
            </w:r>
          </w:p>
        </w:tc>
        <w:tc>
          <w:tcPr>
            <w:tcW w:w="113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276"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30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14"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972"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auto"/>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DGIAI</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xml:space="preserve">Sistema de </w:t>
            </w:r>
            <w:proofErr w:type="spellStart"/>
            <w:r w:rsidRPr="006A74B8">
              <w:rPr>
                <w:rFonts w:ascii="Century Gothic" w:eastAsia="Times New Roman" w:hAnsi="Century Gothic" w:cs="Calibri"/>
                <w:sz w:val="17"/>
                <w:szCs w:val="17"/>
                <w:lang w:val="en-US"/>
              </w:rPr>
              <w:t>Indicadores</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Cíclicos</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DGIAI</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rPr>
            </w:pPr>
            <w:r w:rsidRPr="006A74B8">
              <w:rPr>
                <w:rFonts w:ascii="Century Gothic" w:eastAsia="Times New Roman" w:hAnsi="Century Gothic" w:cs="Calibri"/>
                <w:sz w:val="17"/>
                <w:szCs w:val="17"/>
              </w:rPr>
              <w:t>Estado de Ánimo de los Tuiteros</w:t>
            </w:r>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rPr>
            </w:pPr>
            <w:r w:rsidRPr="006A74B8">
              <w:rPr>
                <w:rFonts w:ascii="Century Gothic" w:eastAsia="Times New Roman" w:hAnsi="Century Gothic" w:cs="Calibri"/>
                <w:bCs/>
                <w:sz w:val="17"/>
                <w:szCs w:val="17"/>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rPr>
            </w:pPr>
            <w:r w:rsidRPr="006A74B8">
              <w:rPr>
                <w:rFonts w:ascii="Century Gothic" w:eastAsia="Times New Roman" w:hAnsi="Century Gothic" w:cs="Calibri"/>
                <w:sz w:val="17"/>
                <w:szCs w:val="17"/>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r w:rsidR="006A74B8" w:rsidRPr="006A74B8" w:rsidTr="006A74B8">
        <w:trPr>
          <w:trHeight w:val="465"/>
        </w:trPr>
        <w:tc>
          <w:tcPr>
            <w:tcW w:w="1198"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DGIAI</w:t>
            </w:r>
          </w:p>
        </w:tc>
        <w:tc>
          <w:tcPr>
            <w:tcW w:w="3055" w:type="dxa"/>
            <w:shd w:val="clear" w:color="auto" w:fill="C5EAFF"/>
            <w:vAlign w:val="center"/>
            <w:hideMark/>
          </w:tcPr>
          <w:p w:rsidR="006A74B8" w:rsidRPr="006A74B8" w:rsidRDefault="006A74B8" w:rsidP="006A74B8">
            <w:pPr>
              <w:spacing w:after="0" w:line="240" w:lineRule="auto"/>
              <w:rPr>
                <w:rFonts w:ascii="Century Gothic" w:eastAsia="Times New Roman" w:hAnsi="Century Gothic" w:cs="Calibri"/>
                <w:sz w:val="17"/>
                <w:szCs w:val="17"/>
                <w:lang w:val="en-US"/>
              </w:rPr>
            </w:pPr>
            <w:proofErr w:type="spellStart"/>
            <w:r w:rsidRPr="006A74B8">
              <w:rPr>
                <w:rFonts w:ascii="Century Gothic" w:eastAsia="Times New Roman" w:hAnsi="Century Gothic" w:cs="Calibri"/>
                <w:sz w:val="17"/>
                <w:szCs w:val="17"/>
                <w:lang w:val="en-US"/>
              </w:rPr>
              <w:t>Bienestar</w:t>
            </w:r>
            <w:proofErr w:type="spellEnd"/>
            <w:r w:rsidRPr="006A74B8">
              <w:rPr>
                <w:rFonts w:ascii="Century Gothic" w:eastAsia="Times New Roman" w:hAnsi="Century Gothic" w:cs="Calibri"/>
                <w:sz w:val="17"/>
                <w:szCs w:val="17"/>
                <w:lang w:val="en-US"/>
              </w:rPr>
              <w:t xml:space="preserve"> </w:t>
            </w:r>
            <w:proofErr w:type="spellStart"/>
            <w:r w:rsidRPr="006A74B8">
              <w:rPr>
                <w:rFonts w:ascii="Century Gothic" w:eastAsia="Times New Roman" w:hAnsi="Century Gothic" w:cs="Calibri"/>
                <w:sz w:val="17"/>
                <w:szCs w:val="17"/>
                <w:lang w:val="en-US"/>
              </w:rPr>
              <w:t>Autorrepotado</w:t>
            </w:r>
            <w:proofErr w:type="spellEnd"/>
          </w:p>
        </w:tc>
        <w:tc>
          <w:tcPr>
            <w:tcW w:w="113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 </w:t>
            </w:r>
          </w:p>
        </w:tc>
        <w:tc>
          <w:tcPr>
            <w:tcW w:w="1560"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276"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30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1114"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972"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c>
          <w:tcPr>
            <w:tcW w:w="1155"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sz w:val="17"/>
                <w:szCs w:val="17"/>
                <w:lang w:val="en-US"/>
              </w:rPr>
            </w:pPr>
            <w:r w:rsidRPr="006A74B8">
              <w:rPr>
                <w:rFonts w:ascii="Century Gothic" w:eastAsia="Times New Roman" w:hAnsi="Century Gothic" w:cs="Calibri"/>
                <w:sz w:val="17"/>
                <w:szCs w:val="17"/>
                <w:lang w:val="en-US"/>
              </w:rPr>
              <w:t> </w:t>
            </w:r>
          </w:p>
        </w:tc>
        <w:tc>
          <w:tcPr>
            <w:tcW w:w="843" w:type="dxa"/>
            <w:shd w:val="clear" w:color="auto" w:fill="C5EAFF"/>
            <w:vAlign w:val="center"/>
            <w:hideMark/>
          </w:tcPr>
          <w:p w:rsidR="006A74B8" w:rsidRPr="006A74B8" w:rsidRDefault="006A74B8" w:rsidP="006A74B8">
            <w:pPr>
              <w:spacing w:after="0" w:line="240" w:lineRule="auto"/>
              <w:jc w:val="center"/>
              <w:rPr>
                <w:rFonts w:ascii="Century Gothic" w:eastAsia="Times New Roman" w:hAnsi="Century Gothic" w:cs="Calibri"/>
                <w:bCs/>
                <w:sz w:val="17"/>
                <w:szCs w:val="17"/>
                <w:lang w:val="en-US"/>
              </w:rPr>
            </w:pPr>
            <w:r w:rsidRPr="006A74B8">
              <w:rPr>
                <w:rFonts w:ascii="Century Gothic" w:eastAsia="Times New Roman" w:hAnsi="Century Gothic" w:cs="Calibri"/>
                <w:bCs/>
                <w:sz w:val="17"/>
                <w:szCs w:val="17"/>
                <w:lang w:val="en-US"/>
              </w:rPr>
              <w:t>1</w:t>
            </w:r>
          </w:p>
        </w:tc>
      </w:tr>
    </w:tbl>
    <w:p w:rsidR="006A74B8" w:rsidRDefault="006A74B8" w:rsidP="00326AA2">
      <w:pPr>
        <w:spacing w:before="240"/>
        <w:jc w:val="both"/>
        <w:rPr>
          <w:rFonts w:ascii="Century Gothic" w:hAnsi="Century Gothic"/>
          <w:sz w:val="19"/>
          <w:szCs w:val="19"/>
        </w:rPr>
      </w:pPr>
    </w:p>
    <w:p w:rsidR="006A74B8" w:rsidRDefault="006A74B8" w:rsidP="00326AA2">
      <w:pPr>
        <w:spacing w:before="240"/>
        <w:jc w:val="both"/>
        <w:rPr>
          <w:rFonts w:ascii="Century Gothic" w:hAnsi="Century Gothic"/>
          <w:sz w:val="19"/>
          <w:szCs w:val="19"/>
        </w:rPr>
      </w:pPr>
    </w:p>
    <w:p w:rsidR="006A74B8" w:rsidRDefault="006A74B8" w:rsidP="00326AA2">
      <w:pPr>
        <w:spacing w:before="240"/>
        <w:jc w:val="both"/>
        <w:rPr>
          <w:rFonts w:ascii="Century Gothic" w:hAnsi="Century Gothic"/>
          <w:sz w:val="19"/>
          <w:szCs w:val="19"/>
        </w:rPr>
      </w:pPr>
    </w:p>
    <w:p w:rsidR="00C22EBC" w:rsidRDefault="00C22EBC" w:rsidP="00326AA2">
      <w:pPr>
        <w:spacing w:before="240"/>
        <w:jc w:val="both"/>
        <w:rPr>
          <w:rFonts w:ascii="Century Gothic" w:hAnsi="Century Gothic"/>
          <w:sz w:val="19"/>
          <w:szCs w:val="19"/>
        </w:rPr>
        <w:sectPr w:rsidR="00C22EBC" w:rsidSect="00CB0F4B">
          <w:pgSz w:w="15840" w:h="12240" w:orient="landscape"/>
          <w:pgMar w:top="720" w:right="720" w:bottom="720" w:left="720" w:header="709" w:footer="709" w:gutter="0"/>
          <w:cols w:space="708"/>
          <w:docGrid w:linePitch="360"/>
        </w:sectPr>
      </w:pPr>
    </w:p>
    <w:tbl>
      <w:tblPr>
        <w:tblW w:w="12333" w:type="dxa"/>
        <w:tblInd w:w="-1139" w:type="dxa"/>
        <w:tblLook w:val="04A0" w:firstRow="1" w:lastRow="0" w:firstColumn="1" w:lastColumn="0" w:noHBand="0" w:noVBand="1"/>
      </w:tblPr>
      <w:tblGrid>
        <w:gridCol w:w="4820"/>
        <w:gridCol w:w="7513"/>
      </w:tblGrid>
      <w:tr w:rsidR="00C26A59" w:rsidRPr="0022505B" w:rsidTr="00B276A9">
        <w:trPr>
          <w:trHeight w:val="201"/>
        </w:trPr>
        <w:tc>
          <w:tcPr>
            <w:tcW w:w="4820" w:type="dxa"/>
            <w:shd w:val="clear" w:color="auto" w:fill="1F3864" w:themeFill="accent5" w:themeFillShade="80"/>
          </w:tcPr>
          <w:p w:rsidR="00C26A59" w:rsidRPr="0022505B" w:rsidRDefault="00C26A59" w:rsidP="00B276A9">
            <w:pPr>
              <w:rPr>
                <w:rFonts w:cstheme="minorHAnsi"/>
                <w:color w:val="FFFFFF" w:themeColor="background1"/>
                <w:sz w:val="14"/>
                <w:szCs w:val="32"/>
              </w:rPr>
            </w:pPr>
          </w:p>
        </w:tc>
        <w:tc>
          <w:tcPr>
            <w:tcW w:w="7513" w:type="dxa"/>
            <w:shd w:val="clear" w:color="auto" w:fill="0079BF"/>
          </w:tcPr>
          <w:p w:rsidR="00C26A59" w:rsidRPr="0022505B" w:rsidRDefault="00C26A59" w:rsidP="00B276A9">
            <w:pPr>
              <w:rPr>
                <w:rFonts w:cstheme="minorHAnsi"/>
                <w:color w:val="FFFFFF" w:themeColor="background1"/>
                <w:sz w:val="14"/>
                <w:szCs w:val="32"/>
              </w:rPr>
            </w:pPr>
          </w:p>
        </w:tc>
      </w:tr>
      <w:tr w:rsidR="00C26A59" w:rsidRPr="0022505B" w:rsidTr="00B276A9">
        <w:trPr>
          <w:trHeight w:val="201"/>
        </w:trPr>
        <w:tc>
          <w:tcPr>
            <w:tcW w:w="12333" w:type="dxa"/>
            <w:gridSpan w:val="2"/>
            <w:shd w:val="clear" w:color="auto" w:fill="auto"/>
          </w:tcPr>
          <w:p w:rsidR="00C26A59" w:rsidRPr="00613C02" w:rsidRDefault="00C26A59" w:rsidP="00882081">
            <w:pPr>
              <w:spacing w:after="0"/>
              <w:jc w:val="center"/>
              <w:rPr>
                <w:rFonts w:cstheme="minorHAnsi"/>
                <w:color w:val="000000" w:themeColor="text1"/>
                <w:sz w:val="32"/>
                <w:szCs w:val="32"/>
              </w:rPr>
            </w:pPr>
            <w:r>
              <w:rPr>
                <w:rFonts w:cstheme="minorHAnsi"/>
                <w:color w:val="000000" w:themeColor="text1"/>
                <w:sz w:val="32"/>
                <w:szCs w:val="32"/>
              </w:rPr>
              <w:t>ANEXO 2</w:t>
            </w:r>
          </w:p>
        </w:tc>
      </w:tr>
      <w:tr w:rsidR="00C26A59" w:rsidRPr="0022505B" w:rsidTr="00B276A9">
        <w:trPr>
          <w:trHeight w:val="201"/>
        </w:trPr>
        <w:tc>
          <w:tcPr>
            <w:tcW w:w="4820" w:type="dxa"/>
            <w:shd w:val="clear" w:color="auto" w:fill="1F3864" w:themeFill="accent5" w:themeFillShade="80"/>
          </w:tcPr>
          <w:p w:rsidR="00C26A59" w:rsidRPr="0022505B" w:rsidRDefault="00C26A59" w:rsidP="00B276A9">
            <w:pPr>
              <w:rPr>
                <w:rFonts w:cstheme="minorHAnsi"/>
                <w:color w:val="FFFFFF" w:themeColor="background1"/>
                <w:sz w:val="12"/>
                <w:szCs w:val="32"/>
              </w:rPr>
            </w:pPr>
          </w:p>
        </w:tc>
        <w:tc>
          <w:tcPr>
            <w:tcW w:w="7513" w:type="dxa"/>
            <w:shd w:val="clear" w:color="auto" w:fill="0079BF"/>
          </w:tcPr>
          <w:p w:rsidR="00C26A59" w:rsidRPr="0022505B" w:rsidRDefault="00C26A59" w:rsidP="00B276A9">
            <w:pPr>
              <w:rPr>
                <w:rFonts w:cstheme="minorHAnsi"/>
                <w:color w:val="FFFFFF" w:themeColor="background1"/>
                <w:sz w:val="12"/>
                <w:szCs w:val="32"/>
              </w:rPr>
            </w:pPr>
          </w:p>
        </w:tc>
      </w:tr>
    </w:tbl>
    <w:p w:rsidR="00C26A59" w:rsidRPr="00D10FAA" w:rsidRDefault="00C26A59" w:rsidP="00C26A59">
      <w:pPr>
        <w:spacing w:after="120"/>
        <w:rPr>
          <w:rFonts w:ascii="Century Gothic" w:hAnsi="Century Gothic"/>
          <w:b/>
          <w:sz w:val="18"/>
        </w:rPr>
      </w:pPr>
    </w:p>
    <w:p w:rsidR="00C26A59" w:rsidRPr="00252CA7" w:rsidRDefault="00C26A59" w:rsidP="00C26A59">
      <w:pPr>
        <w:pStyle w:val="Ttulo1"/>
        <w:rPr>
          <w:rFonts w:ascii="Century Gothic" w:eastAsiaTheme="minorHAnsi" w:hAnsi="Century Gothic" w:cstheme="minorBidi"/>
          <w:b/>
          <w:color w:val="auto"/>
          <w:sz w:val="22"/>
          <w:szCs w:val="22"/>
        </w:rPr>
      </w:pPr>
      <w:bookmarkStart w:id="9" w:name="_Toc34310022"/>
      <w:r w:rsidRPr="00252CA7">
        <w:rPr>
          <w:rFonts w:ascii="Century Gothic" w:eastAsiaTheme="minorHAnsi" w:hAnsi="Century Gothic" w:cstheme="minorBidi"/>
          <w:b/>
          <w:color w:val="auto"/>
          <w:sz w:val="22"/>
          <w:szCs w:val="22"/>
        </w:rPr>
        <w:t xml:space="preserve">Anexo </w:t>
      </w:r>
      <w:r>
        <w:rPr>
          <w:rFonts w:ascii="Century Gothic" w:eastAsiaTheme="minorHAnsi" w:hAnsi="Century Gothic" w:cstheme="minorBidi"/>
          <w:b/>
          <w:color w:val="auto"/>
          <w:sz w:val="22"/>
          <w:szCs w:val="22"/>
        </w:rPr>
        <w:t>2</w:t>
      </w:r>
      <w:r w:rsidRPr="00252CA7">
        <w:rPr>
          <w:rFonts w:ascii="Century Gothic" w:eastAsiaTheme="minorHAnsi" w:hAnsi="Century Gothic" w:cstheme="minorBidi"/>
          <w:b/>
          <w:color w:val="auto"/>
          <w:sz w:val="22"/>
          <w:szCs w:val="22"/>
        </w:rPr>
        <w:t>: Indicador</w:t>
      </w:r>
      <w:r w:rsidR="009F5644">
        <w:rPr>
          <w:rFonts w:ascii="Century Gothic" w:eastAsiaTheme="minorHAnsi" w:hAnsi="Century Gothic" w:cstheme="minorBidi"/>
          <w:b/>
          <w:color w:val="auto"/>
          <w:sz w:val="22"/>
          <w:szCs w:val="22"/>
        </w:rPr>
        <w:t>es</w:t>
      </w:r>
      <w:r w:rsidRPr="00252CA7">
        <w:rPr>
          <w:rFonts w:ascii="Century Gothic" w:eastAsiaTheme="minorHAnsi" w:hAnsi="Century Gothic" w:cstheme="minorBidi"/>
          <w:b/>
          <w:color w:val="auto"/>
          <w:sz w:val="22"/>
          <w:szCs w:val="22"/>
        </w:rPr>
        <w:t xml:space="preserve"> de Oportunidad</w:t>
      </w:r>
      <w:bookmarkEnd w:id="9"/>
    </w:p>
    <w:p w:rsidR="00C26A59" w:rsidRPr="00D10FAA" w:rsidRDefault="00C26A59" w:rsidP="00C26A59">
      <w:pPr>
        <w:spacing w:after="120"/>
        <w:rPr>
          <w:rFonts w:ascii="Century Gothic" w:hAnsi="Century Gothic"/>
          <w:sz w:val="19"/>
          <w:szCs w:val="19"/>
        </w:rPr>
      </w:pPr>
    </w:p>
    <w:p w:rsidR="00283E9B" w:rsidRPr="00283E9B" w:rsidRDefault="00283E9B" w:rsidP="00283E9B">
      <w:pPr>
        <w:spacing w:before="240"/>
        <w:jc w:val="both"/>
        <w:rPr>
          <w:rFonts w:ascii="Century Gothic" w:hAnsi="Century Gothic"/>
          <w:sz w:val="19"/>
          <w:szCs w:val="19"/>
        </w:rPr>
      </w:pPr>
      <w:r w:rsidRPr="00283E9B">
        <w:rPr>
          <w:rFonts w:ascii="Century Gothic" w:hAnsi="Century Gothic"/>
          <w:sz w:val="19"/>
          <w:szCs w:val="19"/>
        </w:rPr>
        <w:t>A lo largo de 2019, el grupo de trabajo sobre parámetros de oportunidad realizó las siguientes actividades: a) revisión de la matriz de apoyo</w:t>
      </w:r>
      <w:r w:rsidRPr="00751C86">
        <w:rPr>
          <w:sz w:val="19"/>
          <w:szCs w:val="19"/>
          <w:vertAlign w:val="superscript"/>
        </w:rPr>
        <w:footnoteReference w:id="12"/>
      </w:r>
      <w:r w:rsidRPr="00283E9B">
        <w:rPr>
          <w:rFonts w:ascii="Century Gothic" w:hAnsi="Century Gothic"/>
          <w:sz w:val="19"/>
          <w:szCs w:val="19"/>
        </w:rPr>
        <w:t xml:space="preserve"> 2018, cuya información fue ratificada por las áreas generadoras y aprobada por el </w:t>
      </w:r>
      <w:r w:rsidR="00E70D96">
        <w:rPr>
          <w:rFonts w:ascii="Century Gothic" w:hAnsi="Century Gothic"/>
          <w:sz w:val="19"/>
          <w:szCs w:val="19"/>
        </w:rPr>
        <w:t>Comité de Aseguramiento de la Calidad (</w:t>
      </w:r>
      <w:proofErr w:type="spellStart"/>
      <w:r w:rsidRPr="00283E9B">
        <w:rPr>
          <w:rFonts w:ascii="Century Gothic" w:hAnsi="Century Gothic"/>
          <w:sz w:val="19"/>
          <w:szCs w:val="19"/>
        </w:rPr>
        <w:t>C</w:t>
      </w:r>
      <w:r w:rsidR="001A2ECA">
        <w:rPr>
          <w:rFonts w:ascii="Century Gothic" w:hAnsi="Century Gothic"/>
          <w:sz w:val="19"/>
          <w:szCs w:val="19"/>
        </w:rPr>
        <w:t>o</w:t>
      </w:r>
      <w:r w:rsidRPr="00283E9B">
        <w:rPr>
          <w:rFonts w:ascii="Century Gothic" w:hAnsi="Century Gothic"/>
          <w:sz w:val="19"/>
          <w:szCs w:val="19"/>
        </w:rPr>
        <w:t>AC</w:t>
      </w:r>
      <w:proofErr w:type="spellEnd"/>
      <w:r w:rsidR="00E70D96">
        <w:rPr>
          <w:rFonts w:ascii="Century Gothic" w:hAnsi="Century Gothic"/>
          <w:sz w:val="19"/>
          <w:szCs w:val="19"/>
        </w:rPr>
        <w:t>)</w:t>
      </w:r>
      <w:r w:rsidRPr="00283E9B">
        <w:rPr>
          <w:rFonts w:ascii="Century Gothic" w:hAnsi="Century Gothic"/>
          <w:sz w:val="19"/>
          <w:szCs w:val="19"/>
        </w:rPr>
        <w:t xml:space="preserve">, b) la actualización de la oportunidad de cada uno de los productos que divulgó el Instituto durante 2019 empleando el calendario de difusión, c) </w:t>
      </w:r>
      <w:r w:rsidR="00751C86">
        <w:rPr>
          <w:rFonts w:ascii="Century Gothic" w:hAnsi="Century Gothic"/>
          <w:sz w:val="19"/>
          <w:szCs w:val="19"/>
        </w:rPr>
        <w:t>cálculo de l</w:t>
      </w:r>
      <w:r w:rsidRPr="00283E9B">
        <w:rPr>
          <w:rFonts w:ascii="Century Gothic" w:hAnsi="Century Gothic"/>
          <w:sz w:val="19"/>
          <w:szCs w:val="19"/>
        </w:rPr>
        <w:t>os indicadores de oportunidad, tanto los Indicadores Individuales de Oportunidad (IIO) para cada producto como el Institucional (IDO) para el año de referencia, y d) c</w:t>
      </w:r>
      <w:r w:rsidR="00751C86">
        <w:rPr>
          <w:rFonts w:ascii="Century Gothic" w:hAnsi="Century Gothic"/>
          <w:sz w:val="19"/>
          <w:szCs w:val="19"/>
        </w:rPr>
        <w:t>á</w:t>
      </w:r>
      <w:r w:rsidRPr="00283E9B">
        <w:rPr>
          <w:rFonts w:ascii="Century Gothic" w:hAnsi="Century Gothic"/>
          <w:sz w:val="19"/>
          <w:szCs w:val="19"/>
        </w:rPr>
        <w:t>lcul</w:t>
      </w:r>
      <w:r w:rsidR="00751C86">
        <w:rPr>
          <w:rFonts w:ascii="Century Gothic" w:hAnsi="Century Gothic"/>
          <w:sz w:val="19"/>
          <w:szCs w:val="19"/>
        </w:rPr>
        <w:t>o</w:t>
      </w:r>
      <w:r w:rsidRPr="00283E9B">
        <w:rPr>
          <w:rFonts w:ascii="Century Gothic" w:hAnsi="Century Gothic"/>
          <w:sz w:val="19"/>
          <w:szCs w:val="19"/>
        </w:rPr>
        <w:t xml:space="preserve"> </w:t>
      </w:r>
      <w:r w:rsidR="00751C86">
        <w:rPr>
          <w:rFonts w:ascii="Century Gothic" w:hAnsi="Century Gothic"/>
          <w:sz w:val="19"/>
          <w:szCs w:val="19"/>
        </w:rPr>
        <w:t>d</w:t>
      </w:r>
      <w:r w:rsidRPr="00283E9B">
        <w:rPr>
          <w:rFonts w:ascii="Century Gothic" w:hAnsi="Century Gothic"/>
          <w:sz w:val="19"/>
          <w:szCs w:val="19"/>
        </w:rPr>
        <w:t>el IDO para la matriz completa al 2019.</w:t>
      </w:r>
    </w:p>
    <w:p w:rsidR="00283E9B" w:rsidRDefault="00283E9B" w:rsidP="00283E9B">
      <w:pPr>
        <w:spacing w:before="240"/>
        <w:jc w:val="both"/>
        <w:rPr>
          <w:rFonts w:ascii="Century Gothic" w:hAnsi="Century Gothic"/>
          <w:sz w:val="19"/>
          <w:szCs w:val="19"/>
        </w:rPr>
      </w:pPr>
      <w:r w:rsidRPr="00283E9B">
        <w:rPr>
          <w:rFonts w:ascii="Century Gothic" w:hAnsi="Century Gothic"/>
          <w:sz w:val="19"/>
          <w:szCs w:val="19"/>
        </w:rPr>
        <w:t>Con la actualización a 2019 la matriz de parámetros de oportunidad integra 145 productos del Instituto, de los cuales el 58% cuenta con un parámetro de oportunidad, el 29% con una propuesta interna de parámetro (realizada por el área generadora) y en el 13% restante no se identifica un parámetro de oportunidad ni se realiza una propuesta interna de parámetro.</w:t>
      </w:r>
      <w:r w:rsidRPr="00751C86">
        <w:rPr>
          <w:sz w:val="19"/>
          <w:szCs w:val="19"/>
          <w:vertAlign w:val="superscript"/>
        </w:rPr>
        <w:footnoteReference w:id="13"/>
      </w:r>
    </w:p>
    <w:p w:rsidR="00283E9B" w:rsidRDefault="00283E9B" w:rsidP="00283E9B">
      <w:pPr>
        <w:spacing w:after="0"/>
        <w:jc w:val="center"/>
        <w:rPr>
          <w:rFonts w:ascii="Century Gothic" w:hAnsi="Century Gothic"/>
          <w:b/>
          <w:sz w:val="19"/>
          <w:szCs w:val="19"/>
        </w:rPr>
      </w:pPr>
      <w:r w:rsidRPr="00FA7A28">
        <w:rPr>
          <w:rFonts w:ascii="Century Gothic" w:hAnsi="Century Gothic"/>
          <w:b/>
          <w:sz w:val="19"/>
          <w:szCs w:val="19"/>
        </w:rPr>
        <w:t>A.</w:t>
      </w:r>
      <w:r>
        <w:rPr>
          <w:rFonts w:ascii="Century Gothic" w:hAnsi="Century Gothic"/>
          <w:b/>
          <w:sz w:val="19"/>
          <w:szCs w:val="19"/>
        </w:rPr>
        <w:t>2</w:t>
      </w:r>
      <w:r w:rsidRPr="00FA7A28">
        <w:rPr>
          <w:rFonts w:ascii="Century Gothic" w:hAnsi="Century Gothic"/>
          <w:b/>
          <w:sz w:val="19"/>
          <w:szCs w:val="19"/>
        </w:rPr>
        <w:t>.</w:t>
      </w:r>
      <w:r>
        <w:rPr>
          <w:rFonts w:ascii="Century Gothic" w:hAnsi="Century Gothic"/>
          <w:b/>
          <w:sz w:val="19"/>
          <w:szCs w:val="19"/>
        </w:rPr>
        <w:t xml:space="preserve">1.  </w:t>
      </w:r>
      <w:r w:rsidRPr="00283E9B">
        <w:rPr>
          <w:rFonts w:ascii="Century Gothic" w:hAnsi="Century Gothic"/>
          <w:b/>
          <w:sz w:val="19"/>
          <w:szCs w:val="19"/>
        </w:rPr>
        <w:t>Distribución de los productos revisados según el tipo de instrumento de oportunidad identificado a 2019.</w:t>
      </w:r>
      <w:r>
        <w:rPr>
          <w:rFonts w:ascii="Century Gothic" w:hAnsi="Century Gothic"/>
          <w:b/>
          <w:sz w:val="19"/>
          <w:szCs w:val="19"/>
        </w:rPr>
        <w:t xml:space="preserve"> </w:t>
      </w:r>
      <w:r w:rsidRPr="00283E9B">
        <w:rPr>
          <w:rFonts w:ascii="Century Gothic" w:hAnsi="Century Gothic"/>
          <w:b/>
          <w:sz w:val="19"/>
          <w:szCs w:val="19"/>
        </w:rPr>
        <w:t>(Estructura porcentual)</w:t>
      </w:r>
    </w:p>
    <w:p w:rsidR="00283E9B" w:rsidRPr="00283E9B" w:rsidRDefault="00283E9B" w:rsidP="00283E9B">
      <w:pPr>
        <w:spacing w:after="0"/>
        <w:jc w:val="center"/>
        <w:rPr>
          <w:rFonts w:ascii="Century Gothic" w:hAnsi="Century Gothic" w:cs="Arial"/>
          <w:sz w:val="18"/>
          <w:szCs w:val="18"/>
        </w:rPr>
      </w:pPr>
      <w:r w:rsidRPr="00283E9B">
        <w:rPr>
          <w:rFonts w:ascii="Century Gothic" w:hAnsi="Century Gothic" w:cs="Arial"/>
          <w:noProof/>
          <w:sz w:val="18"/>
          <w:szCs w:val="18"/>
          <w:lang w:val="en-US"/>
        </w:rPr>
        <w:drawing>
          <wp:inline distT="0" distB="0" distL="0" distR="0" wp14:anchorId="6495F90C" wp14:editId="6880381E">
            <wp:extent cx="4033015" cy="234723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4533" cy="2353942"/>
                    </a:xfrm>
                    <a:prstGeom prst="rect">
                      <a:avLst/>
                    </a:prstGeom>
                    <a:noFill/>
                  </pic:spPr>
                </pic:pic>
              </a:graphicData>
            </a:graphic>
          </wp:inline>
        </w:drawing>
      </w:r>
    </w:p>
    <w:p w:rsidR="00283E9B" w:rsidRPr="00216A17" w:rsidRDefault="00283E9B" w:rsidP="00283E9B">
      <w:pPr>
        <w:ind w:left="1134" w:right="758" w:hanging="284"/>
        <w:jc w:val="center"/>
        <w:rPr>
          <w:rFonts w:ascii="Century Gothic" w:hAnsi="Century Gothic" w:cs="Arial"/>
          <w:sz w:val="15"/>
          <w:szCs w:val="15"/>
        </w:rPr>
      </w:pPr>
      <w:r w:rsidRPr="00216A17">
        <w:rPr>
          <w:rFonts w:ascii="Century Gothic" w:hAnsi="Century Gothic" w:cs="Arial"/>
          <w:sz w:val="15"/>
          <w:szCs w:val="15"/>
        </w:rPr>
        <w:t>FUENTE: Elaboración a partir de la matriz de parámetros de oportunidad.</w:t>
      </w:r>
    </w:p>
    <w:p w:rsidR="00283E9B" w:rsidRPr="00283E9B" w:rsidRDefault="00283E9B" w:rsidP="00283E9B">
      <w:pPr>
        <w:spacing w:before="240"/>
        <w:jc w:val="both"/>
        <w:rPr>
          <w:rFonts w:ascii="Century Gothic" w:hAnsi="Century Gothic"/>
          <w:sz w:val="19"/>
          <w:szCs w:val="19"/>
        </w:rPr>
      </w:pPr>
      <w:r w:rsidRPr="00283E9B">
        <w:rPr>
          <w:rFonts w:ascii="Century Gothic" w:hAnsi="Century Gothic"/>
          <w:sz w:val="19"/>
          <w:szCs w:val="19"/>
        </w:rPr>
        <w:t>De los productos del Instituto con parámetro de oportunidad (84 productos), 23 hacen referencia a recomendaciones internacionales para la difusión de la información, 34 se identificaron a partir de experiencias internacionales, 11 lo hicieron con normas internacionales de divulgación, para 10 se consideraron lineamientos institucionales, en 2 de políticas o regulaciones nacionales, y en 4 se hizo referencia a otros instrumentos como parámetros de oportunidad.</w:t>
      </w:r>
    </w:p>
    <w:p w:rsidR="00283E9B" w:rsidRDefault="00283E9B" w:rsidP="00283E9B">
      <w:pPr>
        <w:spacing w:before="240"/>
        <w:jc w:val="both"/>
        <w:rPr>
          <w:rFonts w:ascii="Century Gothic" w:hAnsi="Century Gothic"/>
          <w:sz w:val="19"/>
          <w:szCs w:val="19"/>
        </w:rPr>
      </w:pPr>
      <w:r w:rsidRPr="00283E9B">
        <w:rPr>
          <w:rFonts w:ascii="Century Gothic" w:hAnsi="Century Gothic"/>
          <w:sz w:val="19"/>
          <w:szCs w:val="19"/>
        </w:rPr>
        <w:lastRenderedPageBreak/>
        <w:t>Al comparar la oportunidad actual de los productos del Instituto con los parámetros de oportunidad identificados se observó en 59 de estos casos que la oportunidad iguala o es mayor que su correspondiente parámetro de oportunidad, mientras que en 25 productos la oportunidad fue menor que la del parámetro.</w:t>
      </w:r>
    </w:p>
    <w:p w:rsidR="00283E9B" w:rsidRPr="00283E9B" w:rsidRDefault="00283E9B" w:rsidP="00283E9B">
      <w:pPr>
        <w:spacing w:after="0"/>
        <w:jc w:val="center"/>
        <w:rPr>
          <w:rFonts w:ascii="Century Gothic" w:hAnsi="Century Gothic"/>
          <w:b/>
          <w:sz w:val="19"/>
          <w:szCs w:val="19"/>
        </w:rPr>
      </w:pPr>
      <w:r w:rsidRPr="00FA7A28">
        <w:rPr>
          <w:rFonts w:ascii="Century Gothic" w:hAnsi="Century Gothic"/>
          <w:b/>
          <w:sz w:val="19"/>
          <w:szCs w:val="19"/>
        </w:rPr>
        <w:t>A.</w:t>
      </w:r>
      <w:r>
        <w:rPr>
          <w:rFonts w:ascii="Century Gothic" w:hAnsi="Century Gothic"/>
          <w:b/>
          <w:sz w:val="19"/>
          <w:szCs w:val="19"/>
        </w:rPr>
        <w:t>2</w:t>
      </w:r>
      <w:r w:rsidRPr="00FA7A28">
        <w:rPr>
          <w:rFonts w:ascii="Century Gothic" w:hAnsi="Century Gothic"/>
          <w:b/>
          <w:sz w:val="19"/>
          <w:szCs w:val="19"/>
        </w:rPr>
        <w:t>.</w:t>
      </w:r>
      <w:r>
        <w:rPr>
          <w:rFonts w:ascii="Century Gothic" w:hAnsi="Century Gothic"/>
          <w:b/>
          <w:sz w:val="19"/>
          <w:szCs w:val="19"/>
        </w:rPr>
        <w:t xml:space="preserve">2.  </w:t>
      </w:r>
      <w:r w:rsidRPr="00283E9B">
        <w:rPr>
          <w:rFonts w:ascii="Century Gothic" w:hAnsi="Century Gothic"/>
          <w:b/>
          <w:sz w:val="19"/>
          <w:szCs w:val="19"/>
        </w:rPr>
        <w:t>Distribución de productos que el Instituto difunde por tipo de parámetros de oportunidad.</w:t>
      </w:r>
    </w:p>
    <w:p w:rsidR="00283E9B" w:rsidRPr="00283E9B" w:rsidRDefault="00283E9B" w:rsidP="00283E9B">
      <w:pPr>
        <w:spacing w:after="0"/>
        <w:jc w:val="center"/>
        <w:rPr>
          <w:rFonts w:ascii="Century Gothic" w:hAnsi="Century Gothic" w:cs="Arial"/>
          <w:sz w:val="18"/>
          <w:szCs w:val="18"/>
        </w:rPr>
      </w:pPr>
      <w:r w:rsidRPr="00283E9B">
        <w:rPr>
          <w:rFonts w:ascii="Century Gothic" w:hAnsi="Century Gothic"/>
          <w:b/>
          <w:sz w:val="19"/>
          <w:szCs w:val="19"/>
        </w:rPr>
        <w:t>(Número de productos)</w:t>
      </w:r>
    </w:p>
    <w:tbl>
      <w:tblPr>
        <w:tblW w:w="0" w:type="auto"/>
        <w:jc w:val="center"/>
        <w:tblLook w:val="04A0" w:firstRow="1" w:lastRow="0" w:firstColumn="1" w:lastColumn="0" w:noHBand="0" w:noVBand="1"/>
      </w:tblPr>
      <w:tblGrid>
        <w:gridCol w:w="5240"/>
        <w:gridCol w:w="1412"/>
        <w:gridCol w:w="1298"/>
        <w:gridCol w:w="2126"/>
      </w:tblGrid>
      <w:tr w:rsidR="00400E4A" w:rsidRPr="00283E9B" w:rsidTr="00400E4A">
        <w:trPr>
          <w:jc w:val="center"/>
        </w:trPr>
        <w:tc>
          <w:tcPr>
            <w:tcW w:w="5240" w:type="dxa"/>
            <w:shd w:val="clear" w:color="auto" w:fill="2F5496" w:themeFill="accent5" w:themeFillShade="BF"/>
            <w:vAlign w:val="center"/>
          </w:tcPr>
          <w:p w:rsidR="00283E9B" w:rsidRPr="004A7B38" w:rsidRDefault="00283E9B" w:rsidP="00566AA0">
            <w:pPr>
              <w:spacing w:after="0"/>
              <w:jc w:val="center"/>
              <w:rPr>
                <w:rFonts w:ascii="Century Gothic" w:hAnsi="Century Gothic" w:cs="Arial"/>
                <w:b/>
                <w:color w:val="FFFFFF" w:themeColor="background1"/>
                <w:sz w:val="17"/>
                <w:szCs w:val="17"/>
              </w:rPr>
            </w:pPr>
            <w:r w:rsidRPr="004A7B38">
              <w:rPr>
                <w:rFonts w:ascii="Century Gothic" w:hAnsi="Century Gothic" w:cs="Arial"/>
                <w:b/>
                <w:color w:val="FFFFFF" w:themeColor="background1"/>
                <w:sz w:val="17"/>
                <w:szCs w:val="17"/>
              </w:rPr>
              <w:t>Productos</w:t>
            </w:r>
          </w:p>
          <w:p w:rsidR="00283E9B" w:rsidRPr="004A7B38" w:rsidRDefault="00283E9B" w:rsidP="00566AA0">
            <w:pPr>
              <w:spacing w:after="0"/>
              <w:jc w:val="center"/>
              <w:rPr>
                <w:rFonts w:ascii="Century Gothic" w:hAnsi="Century Gothic" w:cs="Arial"/>
                <w:b/>
                <w:color w:val="FFFFFF" w:themeColor="background1"/>
                <w:sz w:val="17"/>
                <w:szCs w:val="17"/>
              </w:rPr>
            </w:pPr>
            <w:r w:rsidRPr="004A7B38">
              <w:rPr>
                <w:rFonts w:ascii="Century Gothic" w:hAnsi="Century Gothic" w:cs="Arial"/>
                <w:b/>
                <w:color w:val="FFFFFF" w:themeColor="background1"/>
                <w:sz w:val="17"/>
                <w:szCs w:val="17"/>
              </w:rPr>
              <w:t>Revisados</w:t>
            </w:r>
          </w:p>
        </w:tc>
        <w:tc>
          <w:tcPr>
            <w:tcW w:w="1412" w:type="dxa"/>
            <w:shd w:val="clear" w:color="auto" w:fill="2F5496" w:themeFill="accent5" w:themeFillShade="BF"/>
            <w:vAlign w:val="center"/>
          </w:tcPr>
          <w:p w:rsidR="00283E9B" w:rsidRPr="004A7B38" w:rsidRDefault="00283E9B" w:rsidP="00566AA0">
            <w:pPr>
              <w:spacing w:after="0"/>
              <w:jc w:val="center"/>
              <w:rPr>
                <w:rFonts w:ascii="Century Gothic" w:hAnsi="Century Gothic" w:cs="Arial"/>
                <w:b/>
                <w:color w:val="FFFFFF" w:themeColor="background1"/>
                <w:sz w:val="17"/>
                <w:szCs w:val="17"/>
              </w:rPr>
            </w:pPr>
            <w:r w:rsidRPr="004A7B38">
              <w:rPr>
                <w:rFonts w:ascii="Century Gothic" w:hAnsi="Century Gothic" w:cs="Arial"/>
                <w:b/>
                <w:color w:val="FFFFFF" w:themeColor="background1"/>
                <w:sz w:val="17"/>
                <w:szCs w:val="17"/>
              </w:rPr>
              <w:t>Total</w:t>
            </w:r>
          </w:p>
        </w:tc>
        <w:tc>
          <w:tcPr>
            <w:tcW w:w="1298" w:type="dxa"/>
            <w:shd w:val="clear" w:color="auto" w:fill="2F5496" w:themeFill="accent5" w:themeFillShade="BF"/>
            <w:vAlign w:val="center"/>
          </w:tcPr>
          <w:p w:rsidR="00283E9B" w:rsidRPr="004A7B38" w:rsidRDefault="00283E9B" w:rsidP="00566AA0">
            <w:pPr>
              <w:spacing w:after="0"/>
              <w:jc w:val="center"/>
              <w:rPr>
                <w:rFonts w:ascii="Century Gothic" w:hAnsi="Century Gothic" w:cs="Arial"/>
                <w:b/>
                <w:color w:val="FFFFFF" w:themeColor="background1"/>
                <w:sz w:val="17"/>
                <w:szCs w:val="17"/>
              </w:rPr>
            </w:pPr>
            <w:r w:rsidRPr="004A7B38">
              <w:rPr>
                <w:rFonts w:ascii="Century Gothic" w:hAnsi="Century Gothic" w:cs="Arial"/>
                <w:b/>
                <w:color w:val="FFFFFF" w:themeColor="background1"/>
                <w:sz w:val="17"/>
                <w:szCs w:val="17"/>
              </w:rPr>
              <w:t>Dentro del parámetro</w:t>
            </w:r>
          </w:p>
        </w:tc>
        <w:tc>
          <w:tcPr>
            <w:tcW w:w="2126" w:type="dxa"/>
            <w:shd w:val="clear" w:color="auto" w:fill="2F5496" w:themeFill="accent5" w:themeFillShade="BF"/>
            <w:vAlign w:val="center"/>
          </w:tcPr>
          <w:p w:rsidR="00283E9B" w:rsidRPr="004A7B38" w:rsidRDefault="00283E9B" w:rsidP="00566AA0">
            <w:pPr>
              <w:spacing w:after="0"/>
              <w:jc w:val="center"/>
              <w:rPr>
                <w:rFonts w:ascii="Century Gothic" w:hAnsi="Century Gothic" w:cs="Arial"/>
                <w:b/>
                <w:color w:val="FFFFFF" w:themeColor="background1"/>
                <w:sz w:val="17"/>
                <w:szCs w:val="17"/>
              </w:rPr>
            </w:pPr>
            <w:r w:rsidRPr="004A7B38">
              <w:rPr>
                <w:rFonts w:ascii="Century Gothic" w:hAnsi="Century Gothic" w:cs="Arial"/>
                <w:b/>
                <w:color w:val="FFFFFF" w:themeColor="background1"/>
                <w:sz w:val="17"/>
                <w:szCs w:val="17"/>
              </w:rPr>
              <w:t>Menor oportunidad que la del parámetro</w:t>
            </w:r>
          </w:p>
        </w:tc>
      </w:tr>
      <w:tr w:rsidR="00283E9B" w:rsidRPr="00283E9B" w:rsidTr="00400E4A">
        <w:trPr>
          <w:trHeight w:val="440"/>
          <w:jc w:val="center"/>
        </w:trPr>
        <w:tc>
          <w:tcPr>
            <w:tcW w:w="5240" w:type="dxa"/>
            <w:vAlign w:val="center"/>
          </w:tcPr>
          <w:p w:rsidR="00283E9B" w:rsidRPr="004A7B38" w:rsidRDefault="00283E9B" w:rsidP="00566AA0">
            <w:pPr>
              <w:spacing w:after="0"/>
              <w:rPr>
                <w:rFonts w:ascii="Century Gothic" w:hAnsi="Century Gothic" w:cs="Arial"/>
                <w:sz w:val="17"/>
                <w:szCs w:val="17"/>
              </w:rPr>
            </w:pPr>
            <w:r w:rsidRPr="004A7B38">
              <w:rPr>
                <w:rFonts w:ascii="Century Gothic" w:hAnsi="Century Gothic" w:cs="Arial"/>
                <w:sz w:val="17"/>
                <w:szCs w:val="17"/>
              </w:rPr>
              <w:t>Total</w:t>
            </w:r>
          </w:p>
        </w:tc>
        <w:tc>
          <w:tcPr>
            <w:tcW w:w="1412" w:type="dxa"/>
            <w:vAlign w:val="center"/>
          </w:tcPr>
          <w:p w:rsidR="00283E9B" w:rsidRPr="004A7B38" w:rsidRDefault="00283E9B" w:rsidP="00566AA0">
            <w:pPr>
              <w:spacing w:after="0"/>
              <w:ind w:right="-108"/>
              <w:jc w:val="center"/>
              <w:rPr>
                <w:rFonts w:ascii="Century Gothic" w:hAnsi="Century Gothic" w:cs="Arial"/>
                <w:sz w:val="17"/>
                <w:szCs w:val="17"/>
              </w:rPr>
            </w:pPr>
            <w:r w:rsidRPr="004A7B38">
              <w:rPr>
                <w:rFonts w:ascii="Century Gothic" w:hAnsi="Century Gothic" w:cs="Arial"/>
                <w:sz w:val="17"/>
                <w:szCs w:val="17"/>
              </w:rPr>
              <w:t>145</w:t>
            </w:r>
          </w:p>
        </w:tc>
        <w:tc>
          <w:tcPr>
            <w:tcW w:w="1298" w:type="dxa"/>
            <w:vAlign w:val="center"/>
          </w:tcPr>
          <w:p w:rsidR="00283E9B" w:rsidRPr="004A7B38" w:rsidRDefault="00283E9B" w:rsidP="00566AA0">
            <w:pPr>
              <w:spacing w:after="0"/>
              <w:ind w:right="-93"/>
              <w:jc w:val="center"/>
              <w:rPr>
                <w:rFonts w:ascii="Century Gothic" w:hAnsi="Century Gothic" w:cs="Arial"/>
                <w:sz w:val="17"/>
                <w:szCs w:val="17"/>
              </w:rPr>
            </w:pPr>
            <w:r w:rsidRPr="004A7B38">
              <w:rPr>
                <w:rFonts w:ascii="Century Gothic" w:hAnsi="Century Gothic" w:cs="Arial"/>
                <w:sz w:val="17"/>
                <w:szCs w:val="17"/>
              </w:rPr>
              <w:t>59</w:t>
            </w:r>
          </w:p>
        </w:tc>
        <w:tc>
          <w:tcPr>
            <w:tcW w:w="2126" w:type="dxa"/>
            <w:vAlign w:val="center"/>
          </w:tcPr>
          <w:p w:rsidR="00283E9B" w:rsidRPr="004A7B38" w:rsidRDefault="00283E9B" w:rsidP="00566AA0">
            <w:pPr>
              <w:spacing w:after="0"/>
              <w:ind w:right="-89"/>
              <w:jc w:val="center"/>
              <w:rPr>
                <w:rFonts w:ascii="Century Gothic" w:hAnsi="Century Gothic" w:cs="Arial"/>
                <w:sz w:val="17"/>
                <w:szCs w:val="17"/>
              </w:rPr>
            </w:pPr>
            <w:r w:rsidRPr="004A7B38">
              <w:rPr>
                <w:rFonts w:ascii="Century Gothic" w:hAnsi="Century Gothic" w:cs="Arial"/>
                <w:sz w:val="17"/>
                <w:szCs w:val="17"/>
              </w:rPr>
              <w:t>25</w:t>
            </w:r>
          </w:p>
        </w:tc>
      </w:tr>
      <w:tr w:rsidR="00283E9B" w:rsidRPr="00283E9B" w:rsidTr="00AD79DF">
        <w:trPr>
          <w:jc w:val="center"/>
        </w:trPr>
        <w:tc>
          <w:tcPr>
            <w:tcW w:w="5240" w:type="dxa"/>
            <w:shd w:val="clear" w:color="auto" w:fill="C5EAFF"/>
            <w:vAlign w:val="center"/>
          </w:tcPr>
          <w:p w:rsidR="00283E9B" w:rsidRPr="004A7B38" w:rsidRDefault="00283E9B" w:rsidP="00566AA0">
            <w:pPr>
              <w:spacing w:after="0"/>
              <w:ind w:left="171"/>
              <w:rPr>
                <w:rFonts w:ascii="Century Gothic" w:hAnsi="Century Gothic" w:cs="Arial"/>
                <w:sz w:val="17"/>
                <w:szCs w:val="17"/>
              </w:rPr>
            </w:pPr>
            <w:r w:rsidRPr="004A7B38">
              <w:rPr>
                <w:rFonts w:ascii="Century Gothic" w:hAnsi="Century Gothic" w:cs="Arial"/>
                <w:sz w:val="17"/>
                <w:szCs w:val="17"/>
              </w:rPr>
              <w:t>Con parámetro de oportunidad</w:t>
            </w:r>
          </w:p>
        </w:tc>
        <w:tc>
          <w:tcPr>
            <w:tcW w:w="1412" w:type="dxa"/>
            <w:shd w:val="clear" w:color="auto" w:fill="C5EAFF"/>
            <w:vAlign w:val="center"/>
          </w:tcPr>
          <w:p w:rsidR="00283E9B" w:rsidRPr="004A7B38" w:rsidRDefault="00283E9B" w:rsidP="00566AA0">
            <w:pPr>
              <w:spacing w:after="0"/>
              <w:ind w:right="-108"/>
              <w:jc w:val="center"/>
              <w:rPr>
                <w:rFonts w:ascii="Century Gothic" w:hAnsi="Century Gothic" w:cs="Arial"/>
                <w:sz w:val="17"/>
                <w:szCs w:val="17"/>
              </w:rPr>
            </w:pPr>
            <w:r w:rsidRPr="004A7B38">
              <w:rPr>
                <w:rFonts w:ascii="Century Gothic" w:hAnsi="Century Gothic" w:cs="Arial"/>
                <w:sz w:val="17"/>
                <w:szCs w:val="17"/>
              </w:rPr>
              <w:t>84</w:t>
            </w:r>
          </w:p>
        </w:tc>
        <w:tc>
          <w:tcPr>
            <w:tcW w:w="1298" w:type="dxa"/>
            <w:shd w:val="clear" w:color="auto" w:fill="C5EAFF"/>
            <w:vAlign w:val="center"/>
          </w:tcPr>
          <w:p w:rsidR="00283E9B" w:rsidRPr="004A7B38" w:rsidRDefault="00283E9B" w:rsidP="00566AA0">
            <w:pPr>
              <w:spacing w:after="0"/>
              <w:ind w:right="-93"/>
              <w:jc w:val="center"/>
              <w:rPr>
                <w:rFonts w:ascii="Century Gothic" w:hAnsi="Century Gothic" w:cs="Arial"/>
                <w:sz w:val="17"/>
                <w:szCs w:val="17"/>
              </w:rPr>
            </w:pPr>
            <w:r w:rsidRPr="004A7B38">
              <w:rPr>
                <w:rFonts w:ascii="Century Gothic" w:hAnsi="Century Gothic" w:cs="Arial"/>
                <w:sz w:val="17"/>
                <w:szCs w:val="17"/>
              </w:rPr>
              <w:t>59</w:t>
            </w:r>
          </w:p>
        </w:tc>
        <w:tc>
          <w:tcPr>
            <w:tcW w:w="2126" w:type="dxa"/>
            <w:shd w:val="clear" w:color="auto" w:fill="C5EAFF"/>
            <w:vAlign w:val="center"/>
          </w:tcPr>
          <w:p w:rsidR="00283E9B" w:rsidRPr="004A7B38" w:rsidRDefault="00283E9B" w:rsidP="00566AA0">
            <w:pPr>
              <w:spacing w:after="0"/>
              <w:ind w:right="-89"/>
              <w:jc w:val="center"/>
              <w:rPr>
                <w:rFonts w:ascii="Century Gothic" w:hAnsi="Century Gothic" w:cs="Arial"/>
                <w:sz w:val="17"/>
                <w:szCs w:val="17"/>
              </w:rPr>
            </w:pPr>
            <w:r w:rsidRPr="004A7B38">
              <w:rPr>
                <w:rFonts w:ascii="Century Gothic" w:hAnsi="Century Gothic" w:cs="Arial"/>
                <w:sz w:val="17"/>
                <w:szCs w:val="17"/>
              </w:rPr>
              <w:t>25</w:t>
            </w:r>
          </w:p>
        </w:tc>
      </w:tr>
      <w:tr w:rsidR="00283E9B" w:rsidRPr="00283E9B" w:rsidTr="00AD79DF">
        <w:trPr>
          <w:jc w:val="center"/>
        </w:trPr>
        <w:tc>
          <w:tcPr>
            <w:tcW w:w="5240" w:type="dxa"/>
            <w:shd w:val="clear" w:color="auto" w:fill="C5EAFF"/>
            <w:vAlign w:val="center"/>
          </w:tcPr>
          <w:p w:rsidR="00283E9B" w:rsidRPr="004A7B38" w:rsidRDefault="00283E9B" w:rsidP="00566AA0">
            <w:pPr>
              <w:spacing w:after="0"/>
              <w:ind w:left="171"/>
              <w:rPr>
                <w:rFonts w:ascii="Century Gothic" w:hAnsi="Century Gothic" w:cs="Arial"/>
                <w:sz w:val="17"/>
                <w:szCs w:val="17"/>
              </w:rPr>
            </w:pPr>
            <w:r w:rsidRPr="004A7B38">
              <w:rPr>
                <w:rFonts w:ascii="Century Gothic" w:hAnsi="Century Gothic" w:cs="Arial"/>
                <w:sz w:val="17"/>
                <w:szCs w:val="17"/>
              </w:rPr>
              <w:t>Con propuesta de parámetro de oportunidad interno</w:t>
            </w:r>
          </w:p>
        </w:tc>
        <w:tc>
          <w:tcPr>
            <w:tcW w:w="1412" w:type="dxa"/>
            <w:shd w:val="clear" w:color="auto" w:fill="C5EAFF"/>
            <w:vAlign w:val="center"/>
          </w:tcPr>
          <w:p w:rsidR="00283E9B" w:rsidRPr="004A7B38" w:rsidRDefault="00283E9B" w:rsidP="00566AA0">
            <w:pPr>
              <w:spacing w:after="0"/>
              <w:ind w:right="-108"/>
              <w:jc w:val="center"/>
              <w:rPr>
                <w:rFonts w:ascii="Century Gothic" w:hAnsi="Century Gothic" w:cs="Arial"/>
                <w:sz w:val="17"/>
                <w:szCs w:val="17"/>
              </w:rPr>
            </w:pPr>
            <w:r w:rsidRPr="004A7B38">
              <w:rPr>
                <w:rFonts w:ascii="Century Gothic" w:hAnsi="Century Gothic" w:cs="Arial"/>
                <w:sz w:val="17"/>
                <w:szCs w:val="17"/>
              </w:rPr>
              <w:t>42</w:t>
            </w:r>
          </w:p>
        </w:tc>
        <w:tc>
          <w:tcPr>
            <w:tcW w:w="1298" w:type="dxa"/>
            <w:shd w:val="clear" w:color="auto" w:fill="C5EAFF"/>
            <w:vAlign w:val="center"/>
          </w:tcPr>
          <w:p w:rsidR="00283E9B" w:rsidRPr="004A7B38" w:rsidRDefault="00283E9B" w:rsidP="00566AA0">
            <w:pPr>
              <w:spacing w:after="0"/>
              <w:ind w:right="-93"/>
              <w:jc w:val="center"/>
              <w:rPr>
                <w:rFonts w:ascii="Century Gothic" w:hAnsi="Century Gothic" w:cs="Arial"/>
                <w:sz w:val="17"/>
                <w:szCs w:val="17"/>
              </w:rPr>
            </w:pPr>
            <w:r w:rsidRPr="004A7B38">
              <w:rPr>
                <w:rFonts w:ascii="Century Gothic" w:hAnsi="Century Gothic" w:cs="Arial"/>
                <w:sz w:val="17"/>
                <w:szCs w:val="17"/>
              </w:rPr>
              <w:t>17*</w:t>
            </w:r>
          </w:p>
        </w:tc>
        <w:tc>
          <w:tcPr>
            <w:tcW w:w="2126" w:type="dxa"/>
            <w:shd w:val="clear" w:color="auto" w:fill="C5EAFF"/>
            <w:vAlign w:val="center"/>
          </w:tcPr>
          <w:p w:rsidR="00283E9B" w:rsidRPr="004A7B38" w:rsidRDefault="00283E9B" w:rsidP="00566AA0">
            <w:pPr>
              <w:spacing w:after="0"/>
              <w:ind w:right="-89"/>
              <w:jc w:val="center"/>
              <w:rPr>
                <w:rFonts w:ascii="Century Gothic" w:hAnsi="Century Gothic" w:cs="Arial"/>
                <w:sz w:val="17"/>
                <w:szCs w:val="17"/>
              </w:rPr>
            </w:pPr>
            <w:r w:rsidRPr="004A7B38">
              <w:rPr>
                <w:rFonts w:ascii="Century Gothic" w:hAnsi="Century Gothic" w:cs="Arial"/>
                <w:sz w:val="17"/>
                <w:szCs w:val="17"/>
              </w:rPr>
              <w:t>25*</w:t>
            </w:r>
          </w:p>
        </w:tc>
      </w:tr>
      <w:tr w:rsidR="00283E9B" w:rsidRPr="00283E9B" w:rsidTr="00AD79DF">
        <w:trPr>
          <w:jc w:val="center"/>
        </w:trPr>
        <w:tc>
          <w:tcPr>
            <w:tcW w:w="5240" w:type="dxa"/>
            <w:shd w:val="clear" w:color="auto" w:fill="C5EAFF"/>
            <w:vAlign w:val="center"/>
          </w:tcPr>
          <w:p w:rsidR="00283E9B" w:rsidRPr="004A7B38" w:rsidRDefault="00283E9B" w:rsidP="00566AA0">
            <w:pPr>
              <w:spacing w:after="0"/>
              <w:ind w:left="171"/>
              <w:rPr>
                <w:rFonts w:ascii="Century Gothic" w:hAnsi="Century Gothic" w:cs="Arial"/>
                <w:sz w:val="17"/>
                <w:szCs w:val="17"/>
              </w:rPr>
            </w:pPr>
            <w:r w:rsidRPr="004A7B38">
              <w:rPr>
                <w:rFonts w:ascii="Century Gothic" w:hAnsi="Century Gothic" w:cs="Arial"/>
                <w:sz w:val="17"/>
                <w:szCs w:val="17"/>
              </w:rPr>
              <w:t>Sin parámetro de oportunidad</w:t>
            </w:r>
          </w:p>
        </w:tc>
        <w:tc>
          <w:tcPr>
            <w:tcW w:w="1412" w:type="dxa"/>
            <w:shd w:val="clear" w:color="auto" w:fill="C5EAFF"/>
            <w:vAlign w:val="center"/>
          </w:tcPr>
          <w:p w:rsidR="00283E9B" w:rsidRPr="004A7B38" w:rsidRDefault="00283E9B" w:rsidP="00566AA0">
            <w:pPr>
              <w:spacing w:after="0"/>
              <w:ind w:right="-108"/>
              <w:jc w:val="center"/>
              <w:rPr>
                <w:rFonts w:ascii="Century Gothic" w:hAnsi="Century Gothic" w:cs="Arial"/>
                <w:sz w:val="17"/>
                <w:szCs w:val="17"/>
              </w:rPr>
            </w:pPr>
            <w:r w:rsidRPr="004A7B38">
              <w:rPr>
                <w:rFonts w:ascii="Century Gothic" w:hAnsi="Century Gothic" w:cs="Arial"/>
                <w:sz w:val="17"/>
                <w:szCs w:val="17"/>
              </w:rPr>
              <w:t>19</w:t>
            </w:r>
          </w:p>
        </w:tc>
        <w:tc>
          <w:tcPr>
            <w:tcW w:w="1298" w:type="dxa"/>
            <w:shd w:val="clear" w:color="auto" w:fill="C5EAFF"/>
            <w:vAlign w:val="center"/>
          </w:tcPr>
          <w:p w:rsidR="00283E9B" w:rsidRPr="004A7B38" w:rsidRDefault="00283E9B" w:rsidP="00566AA0">
            <w:pPr>
              <w:spacing w:after="0"/>
              <w:ind w:right="-93"/>
              <w:jc w:val="center"/>
              <w:rPr>
                <w:rFonts w:ascii="Century Gothic" w:hAnsi="Century Gothic" w:cs="Arial"/>
                <w:sz w:val="17"/>
                <w:szCs w:val="17"/>
              </w:rPr>
            </w:pPr>
            <w:r w:rsidRPr="004A7B38">
              <w:rPr>
                <w:rFonts w:ascii="Century Gothic" w:hAnsi="Century Gothic" w:cs="Arial"/>
                <w:sz w:val="17"/>
                <w:szCs w:val="17"/>
              </w:rPr>
              <w:t>N/A</w:t>
            </w:r>
          </w:p>
        </w:tc>
        <w:tc>
          <w:tcPr>
            <w:tcW w:w="2126" w:type="dxa"/>
            <w:shd w:val="clear" w:color="auto" w:fill="C5EAFF"/>
            <w:vAlign w:val="center"/>
          </w:tcPr>
          <w:p w:rsidR="00283E9B" w:rsidRPr="004A7B38" w:rsidRDefault="00283E9B" w:rsidP="00566AA0">
            <w:pPr>
              <w:spacing w:after="0"/>
              <w:ind w:right="-89"/>
              <w:jc w:val="center"/>
              <w:rPr>
                <w:rFonts w:ascii="Century Gothic" w:hAnsi="Century Gothic" w:cs="Arial"/>
                <w:sz w:val="17"/>
                <w:szCs w:val="17"/>
              </w:rPr>
            </w:pPr>
            <w:r w:rsidRPr="004A7B38">
              <w:rPr>
                <w:rFonts w:ascii="Century Gothic" w:hAnsi="Century Gothic" w:cs="Arial"/>
                <w:sz w:val="17"/>
                <w:szCs w:val="17"/>
              </w:rPr>
              <w:t>N/A</w:t>
            </w:r>
          </w:p>
        </w:tc>
      </w:tr>
    </w:tbl>
    <w:p w:rsidR="00283E9B" w:rsidRPr="00216A17" w:rsidRDefault="00283E9B" w:rsidP="00216A17">
      <w:pPr>
        <w:spacing w:after="0"/>
        <w:ind w:left="709" w:right="21" w:hanging="709"/>
        <w:jc w:val="both"/>
        <w:rPr>
          <w:rFonts w:ascii="Century Gothic" w:hAnsi="Century Gothic" w:cs="Arial"/>
          <w:sz w:val="15"/>
          <w:szCs w:val="15"/>
        </w:rPr>
      </w:pPr>
      <w:r w:rsidRPr="00216A17">
        <w:rPr>
          <w:rFonts w:ascii="Century Gothic" w:hAnsi="Century Gothic" w:cs="Arial"/>
          <w:sz w:val="15"/>
          <w:szCs w:val="15"/>
        </w:rPr>
        <w:t>N/A: No aplica. En los productos sin parámetro de oportunidad no se cuenta con una contraparte que permita esta comparación.</w:t>
      </w:r>
    </w:p>
    <w:p w:rsidR="00283E9B" w:rsidRPr="00216A17" w:rsidRDefault="00283E9B" w:rsidP="00216A17">
      <w:pPr>
        <w:spacing w:after="0"/>
        <w:ind w:left="709" w:right="21" w:hanging="709"/>
        <w:jc w:val="both"/>
        <w:rPr>
          <w:rFonts w:ascii="Century Gothic" w:hAnsi="Century Gothic" w:cs="Arial"/>
          <w:sz w:val="15"/>
          <w:szCs w:val="15"/>
        </w:rPr>
      </w:pPr>
      <w:r w:rsidRPr="00216A17">
        <w:rPr>
          <w:rFonts w:ascii="Century Gothic" w:hAnsi="Century Gothic" w:cs="Arial"/>
          <w:sz w:val="15"/>
          <w:szCs w:val="15"/>
        </w:rPr>
        <w:t>* Estos productos se comparan contra las propuestas de oportunidad interna realizadas por las áreas generadoras.</w:t>
      </w:r>
    </w:p>
    <w:p w:rsidR="00283E9B" w:rsidRDefault="00283E9B" w:rsidP="00283E9B">
      <w:pPr>
        <w:spacing w:before="240"/>
        <w:jc w:val="both"/>
        <w:rPr>
          <w:rFonts w:ascii="Century Gothic" w:hAnsi="Century Gothic"/>
          <w:sz w:val="19"/>
          <w:szCs w:val="19"/>
        </w:rPr>
      </w:pPr>
      <w:r w:rsidRPr="00283E9B">
        <w:rPr>
          <w:rFonts w:ascii="Century Gothic" w:hAnsi="Century Gothic"/>
          <w:sz w:val="19"/>
          <w:szCs w:val="19"/>
        </w:rPr>
        <w:t>A partir de la información contenida en la matriz de parámetros de oportunidad actualizada durante el segundo semestre de 2019 se realizó el cálculo de los indicadores de oportunidad, empleando aquellos productos del Instituto que fueron registrados en el calendario de difusión 2019 y para los cuales se identificó un parámetro de oportunidad. El ejercicio se realizó con</w:t>
      </w:r>
      <w:r w:rsidR="000257C5">
        <w:rPr>
          <w:rFonts w:ascii="Century Gothic" w:hAnsi="Century Gothic"/>
          <w:sz w:val="19"/>
          <w:szCs w:val="19"/>
        </w:rPr>
        <w:t xml:space="preserve"> los</w:t>
      </w:r>
      <w:r w:rsidRPr="00283E9B">
        <w:rPr>
          <w:rFonts w:ascii="Century Gothic" w:hAnsi="Century Gothic"/>
          <w:sz w:val="19"/>
          <w:szCs w:val="19"/>
        </w:rPr>
        <w:t xml:space="preserve"> 68 productos</w:t>
      </w:r>
      <w:r w:rsidR="000257C5">
        <w:rPr>
          <w:rFonts w:ascii="Century Gothic" w:hAnsi="Century Gothic"/>
          <w:sz w:val="19"/>
          <w:szCs w:val="19"/>
        </w:rPr>
        <w:t xml:space="preserve"> que se publicaron en 2019</w:t>
      </w:r>
      <w:r w:rsidRPr="00283E9B">
        <w:rPr>
          <w:rFonts w:ascii="Century Gothic" w:hAnsi="Century Gothic"/>
          <w:sz w:val="19"/>
          <w:szCs w:val="19"/>
        </w:rPr>
        <w:t xml:space="preserve"> y el principal resultado obtenido fue el Indicador Institucional de Oportunidad (IIO) que registró 0.09 puntos (véase gráfico </w:t>
      </w:r>
      <w:r w:rsidR="000C3EF6">
        <w:rPr>
          <w:rFonts w:ascii="Century Gothic" w:hAnsi="Century Gothic"/>
          <w:sz w:val="19"/>
          <w:szCs w:val="19"/>
        </w:rPr>
        <w:t>A.2.3</w:t>
      </w:r>
      <w:r w:rsidRPr="00283E9B">
        <w:rPr>
          <w:rFonts w:ascii="Century Gothic" w:hAnsi="Century Gothic"/>
          <w:sz w:val="19"/>
          <w:szCs w:val="19"/>
        </w:rPr>
        <w:t xml:space="preserve">). Esto coloca este indicador 0.07 puntos por encima del resultado presentado al </w:t>
      </w:r>
      <w:proofErr w:type="spellStart"/>
      <w:r w:rsidRPr="00283E9B">
        <w:rPr>
          <w:rFonts w:ascii="Century Gothic" w:hAnsi="Century Gothic"/>
          <w:sz w:val="19"/>
          <w:szCs w:val="19"/>
        </w:rPr>
        <w:t>C</w:t>
      </w:r>
      <w:r w:rsidR="001A2ECA">
        <w:rPr>
          <w:rFonts w:ascii="Century Gothic" w:hAnsi="Century Gothic"/>
          <w:sz w:val="19"/>
          <w:szCs w:val="19"/>
        </w:rPr>
        <w:t>o</w:t>
      </w:r>
      <w:r w:rsidRPr="00283E9B">
        <w:rPr>
          <w:rFonts w:ascii="Century Gothic" w:hAnsi="Century Gothic"/>
          <w:sz w:val="19"/>
          <w:szCs w:val="19"/>
        </w:rPr>
        <w:t>AC</w:t>
      </w:r>
      <w:proofErr w:type="spellEnd"/>
      <w:r w:rsidRPr="00283E9B">
        <w:rPr>
          <w:rFonts w:ascii="Century Gothic" w:hAnsi="Century Gothic"/>
          <w:sz w:val="19"/>
          <w:szCs w:val="19"/>
        </w:rPr>
        <w:t xml:space="preserve"> en 2018.</w:t>
      </w:r>
    </w:p>
    <w:p w:rsidR="00562CD1" w:rsidRDefault="00562CD1" w:rsidP="00283E9B">
      <w:pPr>
        <w:spacing w:before="240"/>
        <w:jc w:val="both"/>
        <w:rPr>
          <w:rFonts w:ascii="Century Gothic" w:hAnsi="Century Gothic"/>
          <w:sz w:val="19"/>
          <w:szCs w:val="19"/>
        </w:rPr>
      </w:pPr>
      <w:r w:rsidRPr="00283E9B">
        <w:rPr>
          <w:rFonts w:ascii="Century Gothic" w:hAnsi="Century Gothic"/>
          <w:sz w:val="19"/>
          <w:szCs w:val="19"/>
        </w:rPr>
        <w:t xml:space="preserve">Del conjunto de productos difundidos en 2019 (68 como se mencionó anteriormente) el 71% de estos su Indicadores de Oportunidad (IDO) cumple con el parámetro de oportunidad identificado, mientras que el restante 29% presenta una oportunidad menor a la del parámetro de oportunidad para el año de referencia. La muestra registró una varianza de 0.09 y una desviación estándar de 0.3 puntos (representadas por las </w:t>
      </w:r>
      <w:r>
        <w:rPr>
          <w:rFonts w:ascii="Century Gothic" w:hAnsi="Century Gothic"/>
          <w:sz w:val="19"/>
          <w:szCs w:val="19"/>
        </w:rPr>
        <w:t>líneas</w:t>
      </w:r>
      <w:r w:rsidRPr="00283E9B">
        <w:rPr>
          <w:rFonts w:ascii="Century Gothic" w:hAnsi="Century Gothic"/>
          <w:sz w:val="19"/>
          <w:szCs w:val="19"/>
        </w:rPr>
        <w:t xml:space="preserve"> rojas en el gráfico </w:t>
      </w:r>
      <w:r>
        <w:rPr>
          <w:rFonts w:ascii="Century Gothic" w:hAnsi="Century Gothic"/>
          <w:sz w:val="19"/>
          <w:szCs w:val="19"/>
        </w:rPr>
        <w:t>A.</w:t>
      </w:r>
      <w:r w:rsidRPr="00283E9B">
        <w:rPr>
          <w:rFonts w:ascii="Century Gothic" w:hAnsi="Century Gothic"/>
          <w:sz w:val="19"/>
          <w:szCs w:val="19"/>
        </w:rPr>
        <w:t>2</w:t>
      </w:r>
      <w:r>
        <w:rPr>
          <w:rFonts w:ascii="Century Gothic" w:hAnsi="Century Gothic"/>
          <w:sz w:val="19"/>
          <w:szCs w:val="19"/>
        </w:rPr>
        <w:t>.3</w:t>
      </w:r>
      <w:r w:rsidRPr="00283E9B">
        <w:rPr>
          <w:rFonts w:ascii="Century Gothic" w:hAnsi="Century Gothic"/>
          <w:sz w:val="19"/>
          <w:szCs w:val="19"/>
        </w:rPr>
        <w:t>).</w:t>
      </w:r>
    </w:p>
    <w:p w:rsidR="00562CD1" w:rsidRDefault="00562CD1" w:rsidP="00283E9B">
      <w:pPr>
        <w:spacing w:before="240"/>
        <w:jc w:val="both"/>
        <w:rPr>
          <w:rFonts w:ascii="Century Gothic" w:hAnsi="Century Gothic"/>
          <w:sz w:val="19"/>
          <w:szCs w:val="19"/>
        </w:rPr>
      </w:pPr>
      <w:r w:rsidRPr="00283E9B">
        <w:rPr>
          <w:rFonts w:ascii="Century Gothic" w:hAnsi="Century Gothic"/>
          <w:sz w:val="19"/>
          <w:szCs w:val="19"/>
        </w:rPr>
        <w:t>En comparación con los resultados obtenidos durante 2018 se pueden observar dos cambios importantes en el comportamiento de la oportunidad de los productos del Instituto. El primero es un cambio positivo en el promedio del IIO al pasar de 0.02 puntos en 2018 a 0.09 puntos en 2019. Y el segundo es una menor dispersión, que se comprueba al revisar la desviación estándar que pasó de 0.5 en 2018 (</w:t>
      </w:r>
      <w:r>
        <w:rPr>
          <w:rFonts w:ascii="Century Gothic" w:hAnsi="Century Gothic"/>
          <w:sz w:val="19"/>
          <w:szCs w:val="19"/>
        </w:rPr>
        <w:t xml:space="preserve">ver </w:t>
      </w:r>
      <w:proofErr w:type="gramStart"/>
      <w:r>
        <w:rPr>
          <w:rFonts w:ascii="Century Gothic" w:hAnsi="Century Gothic"/>
          <w:sz w:val="19"/>
          <w:szCs w:val="19"/>
        </w:rPr>
        <w:t>líneas verde</w:t>
      </w:r>
      <w:proofErr w:type="gramEnd"/>
      <w:r>
        <w:rPr>
          <w:rFonts w:ascii="Century Gothic" w:hAnsi="Century Gothic"/>
          <w:sz w:val="19"/>
          <w:szCs w:val="19"/>
        </w:rPr>
        <w:t xml:space="preserve"> oscuro del gráfico A.2.3</w:t>
      </w:r>
      <w:r w:rsidRPr="00283E9B">
        <w:rPr>
          <w:rFonts w:ascii="Century Gothic" w:hAnsi="Century Gothic"/>
          <w:sz w:val="19"/>
          <w:szCs w:val="19"/>
        </w:rPr>
        <w:t>) a una de 0.3 en 2019</w:t>
      </w:r>
      <w:r>
        <w:rPr>
          <w:rFonts w:ascii="Century Gothic" w:hAnsi="Century Gothic"/>
          <w:sz w:val="19"/>
          <w:szCs w:val="19"/>
        </w:rPr>
        <w:t xml:space="preserve"> (ver líneas rojas del gráfico A.2.3)</w:t>
      </w:r>
      <w:r w:rsidRPr="00283E9B">
        <w:rPr>
          <w:rFonts w:ascii="Century Gothic" w:hAnsi="Century Gothic"/>
          <w:sz w:val="19"/>
          <w:szCs w:val="19"/>
        </w:rPr>
        <w:t>, resultado de que el conjunto de productos difundidos se acerca más al promedio institucional.</w:t>
      </w:r>
      <w:r w:rsidR="0036229C">
        <w:rPr>
          <w:rFonts w:ascii="Century Gothic" w:hAnsi="Century Gothic"/>
          <w:sz w:val="19"/>
          <w:szCs w:val="19"/>
        </w:rPr>
        <w:t xml:space="preserve"> </w:t>
      </w:r>
      <w:r>
        <w:rPr>
          <w:rFonts w:ascii="Century Gothic" w:hAnsi="Century Gothic"/>
          <w:sz w:val="19"/>
          <w:szCs w:val="19"/>
        </w:rPr>
        <w:t xml:space="preserve">Por otro lado, destaca que el valor mínimo observado </w:t>
      </w:r>
      <w:r w:rsidR="0036229C">
        <w:rPr>
          <w:rFonts w:ascii="Century Gothic" w:hAnsi="Century Gothic"/>
          <w:sz w:val="19"/>
          <w:szCs w:val="19"/>
        </w:rPr>
        <w:t>en 2018 fue de -3.29 y en 2019 fue de -1.14.</w:t>
      </w:r>
      <w:r>
        <w:rPr>
          <w:rFonts w:ascii="Century Gothic" w:hAnsi="Century Gothic"/>
          <w:sz w:val="19"/>
          <w:szCs w:val="19"/>
        </w:rPr>
        <w:t xml:space="preserve"> </w:t>
      </w:r>
    </w:p>
    <w:p w:rsidR="0036229C" w:rsidRPr="00283E9B" w:rsidRDefault="0036229C" w:rsidP="0036229C">
      <w:pPr>
        <w:spacing w:before="240"/>
        <w:jc w:val="both"/>
        <w:rPr>
          <w:rFonts w:ascii="Century Gothic" w:hAnsi="Century Gothic"/>
          <w:sz w:val="19"/>
          <w:szCs w:val="19"/>
        </w:rPr>
      </w:pPr>
      <w:r w:rsidRPr="00283E9B">
        <w:rPr>
          <w:rFonts w:ascii="Century Gothic" w:hAnsi="Century Gothic"/>
          <w:sz w:val="19"/>
          <w:szCs w:val="19"/>
        </w:rPr>
        <w:t>Entre los productos cuyos cambios destacan se encuentran los resultados de las Estadísticas de Finanzas Públicas Estatales y Municipales que mejoraron su oportunidad en un 61%, los correspondientes a las Estaciones de la Red Geodésica Nacional Pasiva en 50%, la Cuenta Satélite de la Vivienda de México con 37.5%, las Estadísticas de Accidentes de Tránsito Terrestre en Zonas Urbanas y Suburbanas 27.4%, Estadísticas de Relaciones Laborales de Jurisdicción Local 25% y la Encuesta Nacional de Ingresos y Gastos de los Hogares con una mejora de 22.3% en la oportunidad con que se difunde la información.</w:t>
      </w:r>
    </w:p>
    <w:p w:rsidR="003D63F3" w:rsidRDefault="003D63F3">
      <w:pPr>
        <w:rPr>
          <w:rFonts w:ascii="Century Gothic" w:hAnsi="Century Gothic"/>
          <w:sz w:val="19"/>
          <w:szCs w:val="19"/>
        </w:rPr>
      </w:pPr>
      <w:r>
        <w:rPr>
          <w:rFonts w:ascii="Century Gothic" w:hAnsi="Century Gothic"/>
          <w:sz w:val="19"/>
          <w:szCs w:val="19"/>
        </w:rPr>
        <w:br w:type="page"/>
      </w:r>
    </w:p>
    <w:p w:rsidR="0036229C" w:rsidRPr="00283E9B" w:rsidRDefault="0036229C" w:rsidP="00283E9B">
      <w:pPr>
        <w:spacing w:before="240"/>
        <w:jc w:val="both"/>
        <w:rPr>
          <w:rFonts w:ascii="Century Gothic" w:hAnsi="Century Gothic"/>
          <w:sz w:val="19"/>
          <w:szCs w:val="19"/>
        </w:rPr>
      </w:pPr>
    </w:p>
    <w:p w:rsidR="00283E9B" w:rsidRPr="00283E9B" w:rsidRDefault="00283E9B" w:rsidP="00283E9B">
      <w:pPr>
        <w:spacing w:after="0"/>
        <w:jc w:val="center"/>
        <w:rPr>
          <w:rFonts w:ascii="Century Gothic" w:hAnsi="Century Gothic"/>
          <w:sz w:val="19"/>
          <w:szCs w:val="19"/>
        </w:rPr>
      </w:pPr>
      <w:r w:rsidRPr="00FA7A28">
        <w:rPr>
          <w:rFonts w:ascii="Century Gothic" w:hAnsi="Century Gothic"/>
          <w:b/>
          <w:sz w:val="19"/>
          <w:szCs w:val="19"/>
        </w:rPr>
        <w:t>A.</w:t>
      </w:r>
      <w:r>
        <w:rPr>
          <w:rFonts w:ascii="Century Gothic" w:hAnsi="Century Gothic"/>
          <w:b/>
          <w:sz w:val="19"/>
          <w:szCs w:val="19"/>
        </w:rPr>
        <w:t>2</w:t>
      </w:r>
      <w:r w:rsidRPr="00FA7A28">
        <w:rPr>
          <w:rFonts w:ascii="Century Gothic" w:hAnsi="Century Gothic"/>
          <w:b/>
          <w:sz w:val="19"/>
          <w:szCs w:val="19"/>
        </w:rPr>
        <w:t>.</w:t>
      </w:r>
      <w:r>
        <w:rPr>
          <w:rFonts w:ascii="Century Gothic" w:hAnsi="Century Gothic"/>
          <w:b/>
          <w:sz w:val="19"/>
          <w:szCs w:val="19"/>
        </w:rPr>
        <w:t xml:space="preserve">3.  </w:t>
      </w:r>
      <w:r w:rsidRPr="00283E9B">
        <w:rPr>
          <w:rFonts w:ascii="Century Gothic" w:hAnsi="Century Gothic"/>
          <w:b/>
          <w:sz w:val="19"/>
          <w:szCs w:val="19"/>
        </w:rPr>
        <w:t>Resultados del cálculo del Indicador de Oportunidad y el Indicador Institucional de Oportunidad para 2019.</w:t>
      </w:r>
    </w:p>
    <w:p w:rsidR="00283E9B" w:rsidRDefault="00283E9B" w:rsidP="00283E9B">
      <w:pPr>
        <w:spacing w:after="0"/>
        <w:jc w:val="center"/>
        <w:rPr>
          <w:rFonts w:ascii="Century Gothic" w:hAnsi="Century Gothic" w:cs="Arial"/>
          <w:sz w:val="18"/>
          <w:szCs w:val="18"/>
        </w:rPr>
      </w:pPr>
      <w:r w:rsidRPr="00283E9B">
        <w:rPr>
          <w:rFonts w:ascii="Century Gothic" w:hAnsi="Century Gothic" w:cs="Arial"/>
          <w:noProof/>
          <w:sz w:val="18"/>
          <w:szCs w:val="18"/>
          <w:lang w:val="en-US"/>
        </w:rPr>
        <w:drawing>
          <wp:inline distT="0" distB="0" distL="0" distR="0" wp14:anchorId="19F5D348" wp14:editId="06B738B7">
            <wp:extent cx="5697220" cy="326044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5787" cy="3265352"/>
                    </a:xfrm>
                    <a:prstGeom prst="rect">
                      <a:avLst/>
                    </a:prstGeom>
                    <a:noFill/>
                  </pic:spPr>
                </pic:pic>
              </a:graphicData>
            </a:graphic>
          </wp:inline>
        </w:drawing>
      </w:r>
    </w:p>
    <w:tbl>
      <w:tblPr>
        <w:tblW w:w="11058" w:type="dxa"/>
        <w:tblInd w:w="-431" w:type="dxa"/>
        <w:tblLook w:val="04A0" w:firstRow="1" w:lastRow="0" w:firstColumn="1" w:lastColumn="0" w:noHBand="0" w:noVBand="1"/>
      </w:tblPr>
      <w:tblGrid>
        <w:gridCol w:w="6380"/>
        <w:gridCol w:w="4678"/>
      </w:tblGrid>
      <w:tr w:rsidR="00400E4A" w:rsidRPr="00216A17" w:rsidTr="00400E4A">
        <w:tc>
          <w:tcPr>
            <w:tcW w:w="6380" w:type="dxa"/>
          </w:tcPr>
          <w:p w:rsidR="00400E4A" w:rsidRPr="00216A17" w:rsidRDefault="00400E4A" w:rsidP="00AD79DF">
            <w:pPr>
              <w:spacing w:after="0"/>
              <w:ind w:firstLine="22"/>
              <w:rPr>
                <w:rFonts w:ascii="Century Gothic" w:hAnsi="Century Gothic" w:cs="Arial"/>
                <w:sz w:val="15"/>
                <w:szCs w:val="15"/>
              </w:rPr>
            </w:pPr>
            <w:r w:rsidRPr="00216A17">
              <w:rPr>
                <w:rFonts w:ascii="Century Gothic" w:hAnsi="Century Gothic" w:cs="Arial"/>
                <w:b/>
                <w:sz w:val="15"/>
                <w:szCs w:val="15"/>
              </w:rPr>
              <w:t>CSSSM</w:t>
            </w:r>
            <w:r w:rsidRPr="00216A17">
              <w:rPr>
                <w:rFonts w:ascii="Century Gothic" w:hAnsi="Century Gothic" w:cs="Arial"/>
                <w:sz w:val="15"/>
                <w:szCs w:val="15"/>
              </w:rPr>
              <w:t>: Cuenta Satélite del Sector Salud de México</w:t>
            </w:r>
          </w:p>
          <w:p w:rsidR="00400E4A" w:rsidRPr="00216A17" w:rsidRDefault="00400E4A" w:rsidP="00AD79DF">
            <w:pPr>
              <w:spacing w:after="0"/>
              <w:ind w:firstLine="22"/>
              <w:rPr>
                <w:rFonts w:ascii="Century Gothic" w:hAnsi="Century Gothic" w:cs="Arial"/>
                <w:sz w:val="15"/>
                <w:szCs w:val="15"/>
              </w:rPr>
            </w:pPr>
            <w:r w:rsidRPr="00216A17">
              <w:rPr>
                <w:rFonts w:ascii="Century Gothic" w:hAnsi="Century Gothic" w:cs="Arial"/>
                <w:b/>
                <w:sz w:val="15"/>
                <w:szCs w:val="15"/>
              </w:rPr>
              <w:t>ESGRM</w:t>
            </w:r>
            <w:r w:rsidRPr="00216A17">
              <w:rPr>
                <w:rFonts w:ascii="Century Gothic" w:hAnsi="Century Gothic" w:cs="Arial"/>
                <w:sz w:val="15"/>
                <w:szCs w:val="15"/>
              </w:rPr>
              <w:t>: Estadísticas de Sacrificio de Ganado en Rastros Municipales (Anual)</w:t>
            </w:r>
          </w:p>
          <w:p w:rsidR="00400E4A" w:rsidRPr="00216A17" w:rsidRDefault="00400E4A" w:rsidP="00AD79DF">
            <w:pPr>
              <w:spacing w:after="0"/>
              <w:ind w:firstLine="22"/>
              <w:rPr>
                <w:rFonts w:ascii="Century Gothic" w:hAnsi="Century Gothic" w:cs="Arial"/>
                <w:sz w:val="15"/>
                <w:szCs w:val="15"/>
              </w:rPr>
            </w:pPr>
            <w:r w:rsidRPr="00216A17">
              <w:rPr>
                <w:rFonts w:ascii="Century Gothic" w:hAnsi="Century Gothic" w:cs="Arial"/>
                <w:b/>
                <w:sz w:val="15"/>
                <w:szCs w:val="15"/>
              </w:rPr>
              <w:t>EFIPEM</w:t>
            </w:r>
            <w:r w:rsidRPr="00216A17">
              <w:rPr>
                <w:rFonts w:ascii="Century Gothic" w:hAnsi="Century Gothic" w:cs="Arial"/>
                <w:sz w:val="15"/>
                <w:szCs w:val="15"/>
              </w:rPr>
              <w:t>: Estadísticas de Finanzas Públicas Estatales y Municipales</w:t>
            </w:r>
          </w:p>
          <w:p w:rsidR="00400E4A" w:rsidRPr="00216A17" w:rsidRDefault="00400E4A" w:rsidP="00AD79DF">
            <w:pPr>
              <w:spacing w:after="0"/>
              <w:ind w:firstLine="22"/>
              <w:rPr>
                <w:rFonts w:ascii="Century Gothic" w:hAnsi="Century Gothic" w:cs="Arial"/>
                <w:sz w:val="15"/>
                <w:szCs w:val="15"/>
              </w:rPr>
            </w:pPr>
            <w:r w:rsidRPr="00216A17">
              <w:rPr>
                <w:rFonts w:ascii="Century Gothic" w:hAnsi="Century Gothic" w:cs="Arial"/>
                <w:b/>
                <w:sz w:val="15"/>
                <w:szCs w:val="15"/>
              </w:rPr>
              <w:t>PIMMEX</w:t>
            </w:r>
            <w:r w:rsidRPr="00216A17">
              <w:rPr>
                <w:rFonts w:ascii="Century Gothic" w:hAnsi="Century Gothic" w:cs="Arial"/>
                <w:sz w:val="15"/>
                <w:szCs w:val="15"/>
              </w:rPr>
              <w:t>: Indicadores de Establecimiento con Programa IMMEX</w:t>
            </w:r>
          </w:p>
          <w:p w:rsidR="00400E4A" w:rsidRPr="00216A17" w:rsidRDefault="00400E4A" w:rsidP="00AD79DF">
            <w:pPr>
              <w:spacing w:after="0"/>
              <w:ind w:firstLine="22"/>
              <w:rPr>
                <w:rFonts w:ascii="Century Gothic" w:hAnsi="Century Gothic" w:cs="Arial"/>
                <w:sz w:val="15"/>
                <w:szCs w:val="15"/>
              </w:rPr>
            </w:pPr>
            <w:r w:rsidRPr="00216A17">
              <w:rPr>
                <w:rFonts w:ascii="Century Gothic" w:hAnsi="Century Gothic" w:cs="Arial"/>
                <w:b/>
                <w:sz w:val="15"/>
                <w:szCs w:val="15"/>
              </w:rPr>
              <w:t>EAVMC</w:t>
            </w:r>
            <w:r w:rsidRPr="00216A17">
              <w:rPr>
                <w:rFonts w:ascii="Century Gothic" w:hAnsi="Century Gothic" w:cs="Arial"/>
                <w:sz w:val="15"/>
                <w:szCs w:val="15"/>
              </w:rPr>
              <w:t>: Estadística de Vehículos de Motor Registrados en Circulación (Anual)</w:t>
            </w:r>
          </w:p>
          <w:p w:rsidR="00400E4A" w:rsidRPr="00216A17" w:rsidRDefault="00400E4A" w:rsidP="00AD79DF">
            <w:pPr>
              <w:spacing w:after="0"/>
              <w:jc w:val="center"/>
              <w:rPr>
                <w:rFonts w:ascii="Century Gothic" w:hAnsi="Century Gothic" w:cs="Arial"/>
                <w:sz w:val="15"/>
                <w:szCs w:val="15"/>
              </w:rPr>
            </w:pPr>
          </w:p>
        </w:tc>
        <w:tc>
          <w:tcPr>
            <w:tcW w:w="4678" w:type="dxa"/>
          </w:tcPr>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PEEXP</w:t>
            </w:r>
            <w:r w:rsidRPr="00216A17">
              <w:rPr>
                <w:rFonts w:ascii="Century Gothic" w:hAnsi="Century Gothic" w:cs="Arial"/>
                <w:sz w:val="15"/>
                <w:szCs w:val="15"/>
              </w:rPr>
              <w:t>: Perfil de Empresas Exportadoras</w:t>
            </w:r>
          </w:p>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PIBE</w:t>
            </w:r>
            <w:r w:rsidRPr="00216A17">
              <w:rPr>
                <w:rFonts w:ascii="Century Gothic" w:hAnsi="Century Gothic" w:cs="Arial"/>
                <w:sz w:val="15"/>
                <w:szCs w:val="15"/>
              </w:rPr>
              <w:t>: Producto Interno Bruto por Entidad Federativa</w:t>
            </w:r>
          </w:p>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IIMM</w:t>
            </w:r>
            <w:r w:rsidRPr="00216A17">
              <w:rPr>
                <w:rFonts w:ascii="Century Gothic" w:hAnsi="Century Gothic" w:cs="Arial"/>
                <w:sz w:val="15"/>
                <w:szCs w:val="15"/>
              </w:rPr>
              <w:t xml:space="preserve">: Indicadores de la industria </w:t>
            </w:r>
            <w:proofErr w:type="spellStart"/>
            <w:r w:rsidRPr="00216A17">
              <w:rPr>
                <w:rFonts w:ascii="Century Gothic" w:hAnsi="Century Gothic" w:cs="Arial"/>
                <w:sz w:val="15"/>
                <w:szCs w:val="15"/>
              </w:rPr>
              <w:t>Minerometalúrgica</w:t>
            </w:r>
            <w:proofErr w:type="spellEnd"/>
          </w:p>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CC</w:t>
            </w:r>
            <w:r w:rsidRPr="00216A17">
              <w:rPr>
                <w:rFonts w:ascii="Century Gothic" w:hAnsi="Century Gothic" w:cs="Arial"/>
                <w:sz w:val="15"/>
                <w:szCs w:val="15"/>
              </w:rPr>
              <w:t>: Confianza del Consumidor</w:t>
            </w:r>
          </w:p>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ENOE</w:t>
            </w:r>
            <w:r w:rsidRPr="00216A17">
              <w:rPr>
                <w:rFonts w:ascii="Century Gothic" w:hAnsi="Century Gothic" w:cs="Arial"/>
                <w:sz w:val="15"/>
                <w:szCs w:val="15"/>
              </w:rPr>
              <w:t>: Encuesta Nacional de Ocupación y Empleo</w:t>
            </w:r>
          </w:p>
          <w:p w:rsidR="00400E4A" w:rsidRPr="00216A17" w:rsidRDefault="00400E4A" w:rsidP="00AD79DF">
            <w:pPr>
              <w:spacing w:after="0"/>
              <w:ind w:left="37" w:hanging="15"/>
              <w:rPr>
                <w:rFonts w:ascii="Century Gothic" w:hAnsi="Century Gothic" w:cs="Arial"/>
                <w:sz w:val="15"/>
                <w:szCs w:val="15"/>
              </w:rPr>
            </w:pPr>
            <w:r w:rsidRPr="00216A17">
              <w:rPr>
                <w:rFonts w:ascii="Century Gothic" w:hAnsi="Century Gothic" w:cs="Arial"/>
                <w:b/>
                <w:sz w:val="15"/>
                <w:szCs w:val="15"/>
              </w:rPr>
              <w:t>ERGNP</w:t>
            </w:r>
            <w:r w:rsidRPr="00216A17">
              <w:rPr>
                <w:rFonts w:ascii="Century Gothic" w:hAnsi="Century Gothic" w:cs="Arial"/>
                <w:sz w:val="15"/>
                <w:szCs w:val="15"/>
              </w:rPr>
              <w:t>: Estaciones de la Red Geodésica Nacional Pasiva</w:t>
            </w:r>
          </w:p>
        </w:tc>
      </w:tr>
      <w:tr w:rsidR="00400E4A" w:rsidRPr="00216A17" w:rsidTr="00400E4A">
        <w:tc>
          <w:tcPr>
            <w:tcW w:w="6380" w:type="dxa"/>
          </w:tcPr>
          <w:p w:rsidR="00400E4A" w:rsidRPr="00216A17" w:rsidRDefault="00400E4A" w:rsidP="00400E4A">
            <w:pPr>
              <w:ind w:left="567" w:hanging="536"/>
              <w:rPr>
                <w:rFonts w:ascii="Century Gothic" w:hAnsi="Century Gothic" w:cs="Arial"/>
                <w:sz w:val="15"/>
                <w:szCs w:val="15"/>
              </w:rPr>
            </w:pPr>
            <w:r w:rsidRPr="00216A17">
              <w:rPr>
                <w:rFonts w:ascii="Century Gothic" w:hAnsi="Century Gothic" w:cs="Arial"/>
                <w:sz w:val="15"/>
                <w:szCs w:val="15"/>
              </w:rPr>
              <w:t>Fuente: Matriz de parámetro de oportunidad 2019.</w:t>
            </w:r>
          </w:p>
        </w:tc>
        <w:tc>
          <w:tcPr>
            <w:tcW w:w="4678" w:type="dxa"/>
          </w:tcPr>
          <w:p w:rsidR="00400E4A" w:rsidRPr="00216A17" w:rsidRDefault="00400E4A" w:rsidP="00283E9B">
            <w:pPr>
              <w:jc w:val="center"/>
              <w:rPr>
                <w:rFonts w:ascii="Century Gothic" w:hAnsi="Century Gothic" w:cs="Arial"/>
                <w:sz w:val="15"/>
                <w:szCs w:val="15"/>
              </w:rPr>
            </w:pPr>
          </w:p>
        </w:tc>
      </w:tr>
    </w:tbl>
    <w:p w:rsidR="00283E9B" w:rsidRPr="00283E9B" w:rsidRDefault="00283E9B" w:rsidP="00283E9B">
      <w:pPr>
        <w:spacing w:before="240"/>
        <w:jc w:val="both"/>
        <w:rPr>
          <w:rFonts w:ascii="Century Gothic" w:hAnsi="Century Gothic"/>
          <w:sz w:val="19"/>
          <w:szCs w:val="19"/>
        </w:rPr>
      </w:pPr>
      <w:r w:rsidRPr="00283E9B">
        <w:rPr>
          <w:rFonts w:ascii="Century Gothic" w:hAnsi="Century Gothic"/>
          <w:sz w:val="19"/>
          <w:szCs w:val="19"/>
        </w:rPr>
        <w:t>Al realizar la estimación de los IDO y del IIO con la información completa de la matriz de parámetros de oportunidad (esto es considerando 84 productos con parámetro de oportunidad que se han registrado desde 2016) se obtuvo un IIO de 0.078 puntos, colocando al indicador 0.048 puntos por encima del cálculo de 2018. De este conjunto de productos el 70% igualó o mejoró la oportunidad del parámetro identificado, mientras que el 30% mostró una oportunidad menor a la del parámetro. Los indicadores IDO mostraron una varianza de 0.21 y una desviación estándar de 0.45.</w:t>
      </w:r>
    </w:p>
    <w:p w:rsidR="00283E9B" w:rsidRPr="00283E9B" w:rsidRDefault="00283E9B" w:rsidP="00283E9B">
      <w:pPr>
        <w:spacing w:before="240"/>
        <w:jc w:val="both"/>
        <w:rPr>
          <w:rFonts w:ascii="Century Gothic" w:hAnsi="Century Gothic"/>
          <w:b/>
          <w:sz w:val="19"/>
          <w:szCs w:val="19"/>
        </w:rPr>
      </w:pPr>
      <w:bookmarkStart w:id="10" w:name="_Toc31625255"/>
      <w:r w:rsidRPr="00283E9B">
        <w:rPr>
          <w:rFonts w:ascii="Century Gothic" w:hAnsi="Century Gothic"/>
          <w:b/>
          <w:sz w:val="19"/>
          <w:szCs w:val="19"/>
        </w:rPr>
        <w:t>CONCLUSIONES</w:t>
      </w:r>
      <w:bookmarkEnd w:id="10"/>
    </w:p>
    <w:p w:rsidR="00283E9B" w:rsidRPr="00283E9B" w:rsidRDefault="00283E9B" w:rsidP="00283E9B">
      <w:pPr>
        <w:pStyle w:val="Prrafodelista"/>
        <w:numPr>
          <w:ilvl w:val="0"/>
          <w:numId w:val="44"/>
        </w:numPr>
        <w:spacing w:before="240"/>
        <w:jc w:val="both"/>
        <w:rPr>
          <w:rFonts w:ascii="Century Gothic" w:hAnsi="Century Gothic"/>
          <w:sz w:val="19"/>
          <w:szCs w:val="19"/>
        </w:rPr>
      </w:pPr>
      <w:r w:rsidRPr="00283E9B">
        <w:rPr>
          <w:rFonts w:ascii="Century Gothic" w:hAnsi="Century Gothic"/>
          <w:sz w:val="19"/>
          <w:szCs w:val="19"/>
        </w:rPr>
        <w:t>Para el año de estudio, el Indicador Institucional de Oportunidad (IIO) fue de 0.09 puntos, considerando sólo los productos difundidos en 2019. El IIO para el total de productos registrados en la matriz de apoyo al 2019 fue de 0.078 puntos, lo que muestra una mejoría respecto a los resultados del año anterior.</w:t>
      </w:r>
    </w:p>
    <w:p w:rsidR="00283E9B" w:rsidRPr="00283E9B" w:rsidRDefault="00283E9B" w:rsidP="00283E9B">
      <w:pPr>
        <w:pStyle w:val="Prrafodelista"/>
        <w:numPr>
          <w:ilvl w:val="0"/>
          <w:numId w:val="44"/>
        </w:numPr>
        <w:spacing w:before="240"/>
        <w:jc w:val="both"/>
        <w:rPr>
          <w:rFonts w:ascii="Century Gothic" w:hAnsi="Century Gothic"/>
          <w:sz w:val="19"/>
          <w:szCs w:val="19"/>
        </w:rPr>
      </w:pPr>
      <w:r w:rsidRPr="00283E9B">
        <w:rPr>
          <w:rFonts w:ascii="Century Gothic" w:hAnsi="Century Gothic"/>
          <w:sz w:val="19"/>
          <w:szCs w:val="19"/>
        </w:rPr>
        <w:t>Otro de los resultados importantes en el cálculo de los IDO 2019 es su menor dispersión al pasar de una desviación estándar de 0.5 puntos en 2018 a 0.3 puntos en 2019, esto significa que el IDO del conjunto de productos se acerca más al promedio institucional.</w:t>
      </w:r>
    </w:p>
    <w:p w:rsidR="00283E9B" w:rsidRPr="00283E9B" w:rsidRDefault="00283E9B" w:rsidP="00283E9B">
      <w:pPr>
        <w:pStyle w:val="Prrafodelista"/>
        <w:numPr>
          <w:ilvl w:val="0"/>
          <w:numId w:val="44"/>
        </w:numPr>
        <w:spacing w:before="240"/>
        <w:jc w:val="both"/>
        <w:rPr>
          <w:rFonts w:ascii="Century Gothic" w:hAnsi="Century Gothic"/>
          <w:sz w:val="19"/>
          <w:szCs w:val="19"/>
        </w:rPr>
      </w:pPr>
      <w:r w:rsidRPr="00283E9B">
        <w:rPr>
          <w:rFonts w:ascii="Century Gothic" w:hAnsi="Century Gothic"/>
          <w:sz w:val="19"/>
          <w:szCs w:val="19"/>
        </w:rPr>
        <w:t>Las gráficas permiten identificar específicamente los productos sobre los cuales es necesario poner atención, y una vez evaluado, tomar alguna decisión si es que procede.</w:t>
      </w:r>
    </w:p>
    <w:p w:rsidR="004E58D9" w:rsidRDefault="006D68A4">
      <w:pPr>
        <w:rPr>
          <w:rFonts w:ascii="Century Gothic" w:hAnsi="Century Gothic"/>
          <w:sz w:val="19"/>
          <w:szCs w:val="19"/>
        </w:rPr>
        <w:sectPr w:rsidR="004E58D9" w:rsidSect="00E34F82">
          <w:pgSz w:w="12240" w:h="15840"/>
          <w:pgMar w:top="851" w:right="1077" w:bottom="1440" w:left="1077" w:header="709" w:footer="709" w:gutter="0"/>
          <w:cols w:space="708"/>
          <w:docGrid w:linePitch="360"/>
        </w:sectPr>
      </w:pPr>
      <w:r>
        <w:rPr>
          <w:rFonts w:ascii="Century Gothic" w:hAnsi="Century Gothic"/>
          <w:sz w:val="19"/>
          <w:szCs w:val="19"/>
        </w:rPr>
        <w:t>Para mayor referencia, en el siguiente cuadro se presentan los resultados del indicador de oportunidad de cada uno de los productos de información del INEGI.</w:t>
      </w:r>
    </w:p>
    <w:p w:rsidR="00AA3FEC" w:rsidRDefault="00AA3FEC">
      <w:pPr>
        <w:rPr>
          <w:rFonts w:ascii="Century Gothic" w:hAnsi="Century Gothic"/>
        </w:rPr>
      </w:pPr>
    </w:p>
    <w:tbl>
      <w:tblPr>
        <w:tblW w:w="14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8"/>
        <w:gridCol w:w="1418"/>
        <w:gridCol w:w="1560"/>
        <w:gridCol w:w="1559"/>
        <w:gridCol w:w="2977"/>
        <w:gridCol w:w="992"/>
      </w:tblGrid>
      <w:tr w:rsidR="00CC2C23" w:rsidRPr="00CC2C23" w:rsidTr="00A94D86">
        <w:trPr>
          <w:trHeight w:val="20"/>
          <w:tblHeader/>
        </w:trPr>
        <w:tc>
          <w:tcPr>
            <w:tcW w:w="5949" w:type="dxa"/>
            <w:shd w:val="clear" w:color="auto" w:fill="1F3864" w:themeFill="accent5" w:themeFillShade="80"/>
            <w:vAlign w:val="center"/>
            <w:hideMark/>
          </w:tcPr>
          <w:p w:rsidR="00CC2C23" w:rsidRPr="00CC2C23" w:rsidRDefault="00CC2C23" w:rsidP="00CC2C23">
            <w:pPr>
              <w:spacing w:after="0" w:line="240" w:lineRule="auto"/>
              <w:ind w:left="29" w:firstLine="29"/>
              <w:jc w:val="center"/>
              <w:rPr>
                <w:rFonts w:ascii="Century Gothic" w:eastAsia="Times New Roman" w:hAnsi="Century Gothic" w:cs="Arial"/>
                <w:color w:val="FFFFFF" w:themeColor="background1"/>
                <w:sz w:val="17"/>
                <w:szCs w:val="17"/>
                <w:lang w:val="en-US"/>
              </w:rPr>
            </w:pPr>
            <w:r w:rsidRPr="00CC2C23">
              <w:rPr>
                <w:rFonts w:ascii="Century Gothic" w:eastAsia="Times New Roman" w:hAnsi="Century Gothic" w:cs="Arial"/>
                <w:color w:val="FFFFFF" w:themeColor="background1"/>
                <w:sz w:val="17"/>
                <w:szCs w:val="17"/>
                <w:lang w:val="en-US"/>
              </w:rPr>
              <w:t>NOMBRE DEL PRODUCTO</w:t>
            </w:r>
          </w:p>
        </w:tc>
        <w:tc>
          <w:tcPr>
            <w:tcW w:w="1417" w:type="dxa"/>
            <w:shd w:val="clear" w:color="auto" w:fill="1F3864" w:themeFill="accent5" w:themeFillShade="80"/>
            <w:vAlign w:val="center"/>
            <w:hideMark/>
          </w:tcPr>
          <w:p w:rsidR="00CC2C23" w:rsidRPr="00CC2C23" w:rsidRDefault="00CC2C23" w:rsidP="00CC2C23">
            <w:pPr>
              <w:spacing w:after="0" w:line="240" w:lineRule="auto"/>
              <w:jc w:val="center"/>
              <w:rPr>
                <w:rFonts w:ascii="Century Gothic" w:eastAsia="Times New Roman" w:hAnsi="Century Gothic" w:cs="Arial"/>
                <w:bCs/>
                <w:color w:val="FFFFFF" w:themeColor="background1"/>
                <w:sz w:val="17"/>
                <w:szCs w:val="17"/>
                <w:lang w:val="en-US"/>
              </w:rPr>
            </w:pPr>
            <w:r w:rsidRPr="00CC2C23">
              <w:rPr>
                <w:rFonts w:ascii="Century Gothic" w:eastAsia="Times New Roman" w:hAnsi="Century Gothic" w:cs="Arial"/>
                <w:bCs/>
                <w:color w:val="FFFFFF" w:themeColor="background1"/>
                <w:sz w:val="17"/>
                <w:szCs w:val="17"/>
                <w:lang w:val="en-US"/>
              </w:rPr>
              <w:t>PERIODICIDAD</w:t>
            </w:r>
          </w:p>
        </w:tc>
        <w:tc>
          <w:tcPr>
            <w:tcW w:w="1560" w:type="dxa"/>
            <w:shd w:val="clear" w:color="auto" w:fill="1F3864" w:themeFill="accent5" w:themeFillShade="80"/>
            <w:vAlign w:val="center"/>
            <w:hideMark/>
          </w:tcPr>
          <w:p w:rsidR="00CC2C23" w:rsidRPr="00CC2C23" w:rsidRDefault="00CC2C23" w:rsidP="00CC2C23">
            <w:pPr>
              <w:spacing w:after="0" w:line="240" w:lineRule="auto"/>
              <w:jc w:val="center"/>
              <w:rPr>
                <w:rFonts w:ascii="Century Gothic" w:eastAsia="Times New Roman" w:hAnsi="Century Gothic" w:cs="Arial"/>
                <w:bCs/>
                <w:color w:val="FFFFFF" w:themeColor="background1"/>
                <w:sz w:val="17"/>
                <w:szCs w:val="17"/>
                <w:lang w:val="en-US"/>
              </w:rPr>
            </w:pPr>
            <w:r w:rsidRPr="00CC2C23">
              <w:rPr>
                <w:rFonts w:ascii="Century Gothic" w:eastAsia="Times New Roman" w:hAnsi="Century Gothic" w:cs="Arial"/>
                <w:bCs/>
                <w:color w:val="FFFFFF" w:themeColor="background1"/>
                <w:sz w:val="17"/>
                <w:szCs w:val="17"/>
                <w:lang w:val="en-US"/>
              </w:rPr>
              <w:t>OPORTUNIDAD ACTUAL 2019</w:t>
            </w:r>
          </w:p>
        </w:tc>
        <w:tc>
          <w:tcPr>
            <w:tcW w:w="1559" w:type="dxa"/>
            <w:shd w:val="clear" w:color="auto" w:fill="1F3864" w:themeFill="accent5" w:themeFillShade="80"/>
            <w:vAlign w:val="center"/>
            <w:hideMark/>
          </w:tcPr>
          <w:p w:rsidR="00CC2C23" w:rsidRPr="00CC2C23" w:rsidRDefault="00CC2C23" w:rsidP="00CC2C23">
            <w:pPr>
              <w:spacing w:after="0" w:line="240" w:lineRule="auto"/>
              <w:jc w:val="center"/>
              <w:rPr>
                <w:rFonts w:ascii="Century Gothic" w:eastAsia="Times New Roman" w:hAnsi="Century Gothic" w:cs="Arial"/>
                <w:bCs/>
                <w:color w:val="FFFFFF" w:themeColor="background1"/>
                <w:sz w:val="17"/>
                <w:szCs w:val="17"/>
                <w:lang w:val="en-US"/>
              </w:rPr>
            </w:pPr>
            <w:r w:rsidRPr="00CC2C23">
              <w:rPr>
                <w:rFonts w:ascii="Century Gothic" w:eastAsia="Times New Roman" w:hAnsi="Century Gothic" w:cs="Arial"/>
                <w:bCs/>
                <w:color w:val="FFFFFF" w:themeColor="background1"/>
                <w:sz w:val="17"/>
                <w:szCs w:val="17"/>
                <w:lang w:val="en-US"/>
              </w:rPr>
              <w:t>PARÁMETRO DE OPORTUNIDAD (DÍAS)</w:t>
            </w:r>
          </w:p>
        </w:tc>
        <w:tc>
          <w:tcPr>
            <w:tcW w:w="2977" w:type="dxa"/>
            <w:shd w:val="clear" w:color="auto" w:fill="1F3864" w:themeFill="accent5" w:themeFillShade="80"/>
            <w:vAlign w:val="center"/>
            <w:hideMark/>
          </w:tcPr>
          <w:p w:rsidR="00CC2C23" w:rsidRPr="00CC2C23" w:rsidRDefault="00CC2C23" w:rsidP="00CC2C23">
            <w:pPr>
              <w:spacing w:after="0" w:line="240" w:lineRule="auto"/>
              <w:jc w:val="center"/>
              <w:rPr>
                <w:rFonts w:ascii="Century Gothic" w:eastAsia="Times New Roman" w:hAnsi="Century Gothic" w:cs="Arial"/>
                <w:bCs/>
                <w:color w:val="FFFFFF" w:themeColor="background1"/>
                <w:sz w:val="17"/>
                <w:szCs w:val="17"/>
              </w:rPr>
            </w:pPr>
            <w:r w:rsidRPr="00CC2C23">
              <w:rPr>
                <w:rFonts w:ascii="Century Gothic" w:eastAsia="Times New Roman" w:hAnsi="Century Gothic" w:cs="Arial"/>
                <w:bCs/>
                <w:color w:val="FFFFFF" w:themeColor="background1"/>
                <w:sz w:val="17"/>
                <w:szCs w:val="17"/>
              </w:rPr>
              <w:t>REFERENCIA DEL PARÁMETRO DE OPORTUNIDAD</w:t>
            </w:r>
            <w:r w:rsidRPr="00CC2C23">
              <w:rPr>
                <w:rFonts w:ascii="Century Gothic" w:eastAsia="Times New Roman" w:hAnsi="Century Gothic" w:cs="Arial"/>
                <w:bCs/>
                <w:color w:val="FFFFFF" w:themeColor="background1"/>
                <w:sz w:val="17"/>
                <w:szCs w:val="17"/>
                <w:vertAlign w:val="superscript"/>
              </w:rPr>
              <w:t xml:space="preserve"> 8/</w:t>
            </w:r>
          </w:p>
        </w:tc>
        <w:tc>
          <w:tcPr>
            <w:tcW w:w="992" w:type="dxa"/>
            <w:shd w:val="clear" w:color="auto" w:fill="1F3864" w:themeFill="accent5" w:themeFillShade="80"/>
            <w:noWrap/>
            <w:vAlign w:val="center"/>
            <w:hideMark/>
          </w:tcPr>
          <w:p w:rsidR="00CC2C23" w:rsidRPr="00CC2C23" w:rsidRDefault="00CC2C23" w:rsidP="00CC2C23">
            <w:pPr>
              <w:spacing w:after="0" w:line="240" w:lineRule="auto"/>
              <w:jc w:val="center"/>
              <w:rPr>
                <w:rFonts w:ascii="Century Gothic" w:eastAsia="Times New Roman" w:hAnsi="Century Gothic" w:cs="Calibri"/>
                <w:bCs/>
                <w:color w:val="FFFFFF" w:themeColor="background1"/>
                <w:sz w:val="17"/>
                <w:szCs w:val="17"/>
                <w:lang w:val="en-US"/>
              </w:rPr>
            </w:pPr>
            <w:r w:rsidRPr="00CC2C23">
              <w:rPr>
                <w:rFonts w:ascii="Century Gothic" w:eastAsia="Times New Roman" w:hAnsi="Century Gothic" w:cs="Calibri"/>
                <w:bCs/>
                <w:color w:val="FFFFFF" w:themeColor="background1"/>
                <w:sz w:val="17"/>
                <w:szCs w:val="17"/>
                <w:lang w:val="en-US"/>
              </w:rPr>
              <w:t>IIO</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Avance en la </w:t>
            </w:r>
            <w:proofErr w:type="spellStart"/>
            <w:r w:rsidRPr="00CC2C23">
              <w:rPr>
                <w:rFonts w:ascii="Century Gothic" w:eastAsia="Times New Roman" w:hAnsi="Century Gothic" w:cs="Arial"/>
                <w:sz w:val="17"/>
                <w:szCs w:val="17"/>
              </w:rPr>
              <w:t>disposicion</w:t>
            </w:r>
            <w:proofErr w:type="spellEnd"/>
            <w:r w:rsidRPr="00CC2C23">
              <w:rPr>
                <w:rFonts w:ascii="Century Gothic" w:eastAsia="Times New Roman" w:hAnsi="Century Gothic" w:cs="Arial"/>
                <w:sz w:val="17"/>
                <w:szCs w:val="17"/>
              </w:rPr>
              <w:t xml:space="preserve"> de imágenes </w:t>
            </w:r>
            <w:proofErr w:type="spellStart"/>
            <w:r w:rsidRPr="00CC2C23">
              <w:rPr>
                <w:rFonts w:ascii="Century Gothic" w:eastAsia="Times New Roman" w:hAnsi="Century Gothic" w:cs="Arial"/>
                <w:sz w:val="17"/>
                <w:szCs w:val="17"/>
              </w:rPr>
              <w:t>satelites</w:t>
            </w:r>
            <w:proofErr w:type="spellEnd"/>
            <w:r w:rsidRPr="00CC2C23">
              <w:rPr>
                <w:rFonts w:ascii="Century Gothic" w:eastAsia="Times New Roman" w:hAnsi="Century Gothic" w:cs="Arial"/>
                <w:sz w:val="17"/>
                <w:szCs w:val="17"/>
              </w:rPr>
              <w:t xml:space="preserve"> </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Procuración de Justicia Federal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O - </w:t>
            </w:r>
            <w:proofErr w:type="spellStart"/>
            <w:r w:rsidRPr="00CC2C23">
              <w:rPr>
                <w:rFonts w:ascii="Century Gothic" w:eastAsia="Times New Roman" w:hAnsi="Century Gothic" w:cs="Arial"/>
                <w:sz w:val="17"/>
                <w:szCs w:val="17"/>
                <w:lang w:val="en-US"/>
              </w:rPr>
              <w:t>Otro</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-1.483</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Estaciones de la Red Geodésica Nacional Pasiva.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Quincenal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15</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-1.143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Inventario</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Fenómenos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Geológicos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Permanente</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-1.028</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Base de Datos del Herbario INEGI</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No </w:t>
            </w:r>
            <w:proofErr w:type="spellStart"/>
            <w:r w:rsidRPr="00CC2C23">
              <w:rPr>
                <w:rFonts w:ascii="Century Gothic" w:eastAsia="Times New Roman" w:hAnsi="Century Gothic" w:cs="Arial"/>
                <w:sz w:val="17"/>
                <w:szCs w:val="17"/>
                <w:lang w:val="en-US"/>
              </w:rPr>
              <w:t>definida</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-1.028</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Conjuntos de Datos Vectoriales de Información Topográfica escala 1:250 000,(por entidad federativa)</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 Nacional de Datos Edafológicos escala 1:250,000</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No </w:t>
            </w:r>
            <w:proofErr w:type="spellStart"/>
            <w:r w:rsidRPr="00CC2C23">
              <w:rPr>
                <w:rFonts w:ascii="Century Gothic" w:eastAsia="Times New Roman" w:hAnsi="Century Gothic" w:cs="Arial"/>
                <w:sz w:val="17"/>
                <w:szCs w:val="17"/>
                <w:lang w:val="en-US"/>
              </w:rPr>
              <w:t>definida</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1825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Boletines de Información Ambiental dentro del marco de la celebración del "ESTADÍSTICAS A PROPÓSITO DEL DÍA MUNDIAL DE…"</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Marco Geoestadístico Nacional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183</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-0.995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Victimización de Empresas (ENVE)</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Bienal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154</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-0.922</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Ocupación y Empleo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45</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-0.810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Módulo de medio ambiente del CNGSPSPE</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200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-0.800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Confianza</w:t>
            </w:r>
            <w:proofErr w:type="spellEnd"/>
            <w:r w:rsidRPr="00CC2C23">
              <w:rPr>
                <w:rFonts w:ascii="Century Gothic" w:eastAsia="Times New Roman" w:hAnsi="Century Gothic" w:cs="Arial"/>
                <w:sz w:val="17"/>
                <w:szCs w:val="17"/>
                <w:lang w:val="en-US"/>
              </w:rPr>
              <w:t xml:space="preserve"> del </w:t>
            </w:r>
            <w:proofErr w:type="spellStart"/>
            <w:r w:rsidRPr="00CC2C23">
              <w:rPr>
                <w:rFonts w:ascii="Century Gothic" w:eastAsia="Times New Roman" w:hAnsi="Century Gothic" w:cs="Arial"/>
                <w:sz w:val="17"/>
                <w:szCs w:val="17"/>
                <w:lang w:val="en-US"/>
              </w:rPr>
              <w:t>Consumidor</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-0.750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Módulo Ambiental de Agua Potable y Saneamiento: microdatos, capas de información georreferenciada. </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-0.650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Módulo Ambiental de Residuos Sólidos Urbanos: microdatos, capas de información georreferenciada. </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-0.650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Módulo de Hogares y Medio Ambiente</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200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-0.650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Conjuntos de Datos Vectoriales de Información Topográfica escala 1:20 000</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Decenio</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270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-0.463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Conjuntos de Datos Vectoriales de Información Topográfica escala 1:20 000</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 AÑOS</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270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-0.463</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Finanzas Públicas Estatales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270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-0.352</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Finanzas Públicas Municipales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270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-0.352</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Vehículos de Motor Registrados en Circulación (VMRC)</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242</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-0.344</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 Nacional de Datos de Uso del Suelo y Vegetación escala 1:250,000</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1095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-0.335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Indicadores de Establecimientos con Programa IMMEX (Estadística del Programa IMMEX)</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60</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-0.330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Indicadores de la Industria </w:t>
            </w:r>
            <w:proofErr w:type="spellStart"/>
            <w:r w:rsidRPr="00CC2C23">
              <w:rPr>
                <w:rFonts w:ascii="Century Gothic" w:eastAsia="Times New Roman" w:hAnsi="Century Gothic" w:cs="Arial"/>
                <w:sz w:val="17"/>
                <w:szCs w:val="17"/>
              </w:rPr>
              <w:t>Minerometalúrgica</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59</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-0.307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Hidrología Superficial: Información Integrada de Cuencas Hidrográficas (Conjunto de datos por Cuenca)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1460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-0.250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Hidrología Subterránea: Zonas Hidrogeológicas (Conjunto de datos por Zona Hidrogeológica)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1460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-0.250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Indicadores de Ocupación y Empleo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26</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21</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-0.218</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lastRenderedPageBreak/>
              <w:t>Indicadores</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Empresas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Comerciales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55</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-0.211</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del Sector </w:t>
            </w:r>
            <w:proofErr w:type="spellStart"/>
            <w:r w:rsidRPr="00CC2C23">
              <w:rPr>
                <w:rFonts w:ascii="Century Gothic" w:eastAsia="Times New Roman" w:hAnsi="Century Gothic" w:cs="Arial"/>
                <w:sz w:val="17"/>
                <w:szCs w:val="17"/>
                <w:lang w:val="en-US"/>
              </w:rPr>
              <w:t>Servicios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55</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-0.211</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Hogares (ENH)</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Tabulados: Registro de Información Catastral Municipal de México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Sección Catastral del Censo Nacional de Gobiernos Municipales y Delegacionales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Empresas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Constructoras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53</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-0.180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 Indicador Mensual del Consumo Privado en el Mercado Interior (IMCPMI)</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68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-0.140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del Gobierno Federal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O - </w:t>
            </w:r>
            <w:proofErr w:type="spellStart"/>
            <w:r w:rsidRPr="00CC2C23">
              <w:rPr>
                <w:rFonts w:ascii="Century Gothic" w:eastAsia="Times New Roman" w:hAnsi="Century Gothic" w:cs="Arial"/>
                <w:sz w:val="17"/>
                <w:szCs w:val="17"/>
                <w:lang w:val="en-US"/>
              </w:rPr>
              <w:t>Otro</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-0.140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Transporte Urbano de Pasajeros (ETUP)</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44</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-0.110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del Sector </w:t>
            </w:r>
            <w:proofErr w:type="spellStart"/>
            <w:r w:rsidRPr="00CC2C23">
              <w:rPr>
                <w:rFonts w:ascii="Century Gothic" w:eastAsia="Times New Roman" w:hAnsi="Century Gothic" w:cs="Arial"/>
                <w:sz w:val="17"/>
                <w:szCs w:val="17"/>
                <w:lang w:val="en-US"/>
              </w:rPr>
              <w:t>Manufacturero</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49</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-0.091</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Sistema de </w:t>
            </w: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Cíclicos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65</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O - </w:t>
            </w:r>
            <w:proofErr w:type="spellStart"/>
            <w:r w:rsidRPr="00CC2C23">
              <w:rPr>
                <w:rFonts w:ascii="Century Gothic" w:eastAsia="Times New Roman" w:hAnsi="Century Gothic" w:cs="Arial"/>
                <w:sz w:val="17"/>
                <w:szCs w:val="17"/>
                <w:lang w:val="en-US"/>
              </w:rPr>
              <w:t>Otro</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-0.075</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Gobiernos Estatales y Gobiernos Locales, Cuentas Corrientes y de Acumulación Cuentas de Producción por Finalidad</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354</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330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-0.073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Sección Catastral del Censo Nacional de Gobierno, Seguridad Pública y Sistema Penitenciario Estatales </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170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-0.059</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Ortoimagenes</w:t>
            </w:r>
            <w:proofErr w:type="spellEnd"/>
            <w:r w:rsidRPr="00CC2C23">
              <w:rPr>
                <w:rFonts w:ascii="Century Gothic" w:eastAsia="Times New Roman" w:hAnsi="Century Gothic" w:cs="Arial"/>
                <w:sz w:val="17"/>
                <w:szCs w:val="17"/>
                <w:lang w:val="en-US"/>
              </w:rPr>
              <w:t xml:space="preserve"> de 50 cm</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No </w:t>
            </w:r>
            <w:proofErr w:type="spellStart"/>
            <w:r w:rsidRPr="00CC2C23">
              <w:rPr>
                <w:rFonts w:ascii="Century Gothic" w:eastAsia="Times New Roman" w:hAnsi="Century Gothic" w:cs="Arial"/>
                <w:sz w:val="17"/>
                <w:szCs w:val="17"/>
                <w:lang w:val="en-US"/>
              </w:rPr>
              <w:t>aplica</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350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-0.043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 Indicador Global de la Actividad Económica (IGAE)</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55</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53</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-0.039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Marco Geoestadístico Nacional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Semestral</w:t>
            </w:r>
            <w:proofErr w:type="spellEnd"/>
            <w:r w:rsidRPr="00CC2C23">
              <w:rPr>
                <w:rFonts w:ascii="Century Gothic" w:eastAsia="Times New Roman" w:hAnsi="Century Gothic" w:cs="Arial"/>
                <w:sz w:val="17"/>
                <w:szCs w:val="17"/>
                <w:lang w:val="en-US"/>
              </w:rPr>
              <w:t xml:space="preserve"> </w:t>
            </w:r>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183</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-0.038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Cuentas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por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Sectores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Institucionales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339</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330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-0.027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Calidad Regulatoria e Impacto Gubernamental de Empresas (ENCRIGE)</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r w:rsidRPr="00CC2C23">
              <w:rPr>
                <w:rFonts w:ascii="Century Gothic" w:eastAsia="Times New Roman" w:hAnsi="Century Gothic" w:cs="Arial"/>
                <w:color w:val="000000"/>
                <w:sz w:val="17"/>
                <w:szCs w:val="17"/>
                <w:lang w:val="en-US"/>
              </w:rPr>
              <w:t xml:space="preserve">Sin </w:t>
            </w:r>
            <w:proofErr w:type="spellStart"/>
            <w:r w:rsidRPr="00CC2C23">
              <w:rPr>
                <w:rFonts w:ascii="Century Gothic" w:eastAsia="Times New Roman" w:hAnsi="Century Gothic" w:cs="Arial"/>
                <w:color w:val="000000"/>
                <w:sz w:val="17"/>
                <w:szCs w:val="17"/>
                <w:lang w:val="en-US"/>
              </w:rPr>
              <w:t>periodicidad</w:t>
            </w:r>
            <w:proofErr w:type="spellEnd"/>
            <w:r w:rsidRPr="00CC2C23">
              <w:rPr>
                <w:rFonts w:ascii="Century Gothic" w:eastAsia="Times New Roman" w:hAnsi="Century Gothic" w:cs="Arial"/>
                <w:color w:val="000000"/>
                <w:sz w:val="17"/>
                <w:szCs w:val="17"/>
                <w:lang w:val="en-US"/>
              </w:rPr>
              <w:t xml:space="preserve"> </w:t>
            </w:r>
            <w:proofErr w:type="spellStart"/>
            <w:r w:rsidRPr="00CC2C23">
              <w:rPr>
                <w:rFonts w:ascii="Century Gothic" w:eastAsia="Times New Roman" w:hAnsi="Century Gothic" w:cs="Arial"/>
                <w:color w:val="000000"/>
                <w:sz w:val="17"/>
                <w:szCs w:val="17"/>
                <w:lang w:val="en-US"/>
              </w:rPr>
              <w:t>definida</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179</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-0.022</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Modelos Digitales de Elevación con resolución de 5 metros en formatos 1:20 000</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No </w:t>
            </w:r>
            <w:proofErr w:type="spellStart"/>
            <w:r w:rsidRPr="00CC2C23">
              <w:rPr>
                <w:rFonts w:ascii="Century Gothic" w:eastAsia="Times New Roman" w:hAnsi="Century Gothic" w:cs="Arial"/>
                <w:sz w:val="17"/>
                <w:szCs w:val="17"/>
                <w:lang w:val="en-US"/>
              </w:rPr>
              <w:t>aplica</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-0.014</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Balanza Comercial de Mercancías de México (definitiva)</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212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210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-0.010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 Estimación Oportuna del Producto Interno Bruto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30</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 Indicador Trimestral de la Actividad Económica Estatal (ITAEE)</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121</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120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-0.004</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Inversión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Fija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Bruta</w:t>
            </w:r>
            <w:proofErr w:type="spellEnd"/>
            <w:r w:rsidRPr="00CC2C23">
              <w:rPr>
                <w:rFonts w:ascii="Century Gothic" w:eastAsia="Times New Roman" w:hAnsi="Century Gothic" w:cs="Arial"/>
                <w:sz w:val="17"/>
                <w:szCs w:val="17"/>
                <w:lang w:val="en-US"/>
              </w:rPr>
              <w:t xml:space="preserve"> </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68</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68</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-0.001</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Estadísticas sobre relaciones laborales de jurisdicción local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180</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Estadísticas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sobre</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Museos</w:t>
            </w:r>
            <w:proofErr w:type="spellEnd"/>
            <w:r w:rsidRPr="00CC2C23">
              <w:rPr>
                <w:rFonts w:ascii="Century Gothic" w:eastAsia="Times New Roman" w:hAnsi="Century Gothic" w:cs="Arial"/>
                <w:sz w:val="17"/>
                <w:szCs w:val="17"/>
                <w:lang w:val="en-US"/>
              </w:rPr>
              <w:t xml:space="preserve"> </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180</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Gobiernos Municipales y Delegacionales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Bienal</w:t>
            </w:r>
            <w:proofErr w:type="spellEnd"/>
            <w:r w:rsidRPr="00CC2C23">
              <w:rPr>
                <w:rFonts w:ascii="Century Gothic" w:eastAsia="Times New Roman" w:hAnsi="Century Gothic" w:cs="Arial"/>
                <w:color w:val="000000"/>
                <w:sz w:val="17"/>
                <w:szCs w:val="17"/>
                <w:lang w:val="en-US"/>
              </w:rPr>
              <w:t xml:space="preserve"> </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424</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Transparencia, Acceso a la Información Pública y Protección de Datos Personales Estatal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Transparencia, Acceso a la Información Pública y Protección de Datos Personales Federal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Poderes Legislativos Estatales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342</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lastRenderedPageBreak/>
              <w:t>Censo Nacional de Derechos Humanos Estatal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Derechos Humanos Federal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347</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Red Nacional de Caminos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60</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Red </w:t>
            </w:r>
            <w:proofErr w:type="spellStart"/>
            <w:r w:rsidRPr="00CC2C23">
              <w:rPr>
                <w:rFonts w:ascii="Century Gothic" w:eastAsia="Times New Roman" w:hAnsi="Century Gothic" w:cs="Arial"/>
                <w:sz w:val="17"/>
                <w:szCs w:val="17"/>
                <w:lang w:val="en-US"/>
              </w:rPr>
              <w:t>Geodésica</w:t>
            </w:r>
            <w:proofErr w:type="spellEnd"/>
            <w:r w:rsidRPr="00CC2C23">
              <w:rPr>
                <w:rFonts w:ascii="Century Gothic" w:eastAsia="Times New Roman" w:hAnsi="Century Gothic" w:cs="Arial"/>
                <w:sz w:val="17"/>
                <w:szCs w:val="17"/>
                <w:lang w:val="en-US"/>
              </w:rPr>
              <w:t xml:space="preserve"> Horizontal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Red </w:t>
            </w:r>
            <w:proofErr w:type="spellStart"/>
            <w:r w:rsidRPr="00CC2C23">
              <w:rPr>
                <w:rFonts w:ascii="Century Gothic" w:eastAsia="Times New Roman" w:hAnsi="Century Gothic" w:cs="Arial"/>
                <w:sz w:val="17"/>
                <w:szCs w:val="17"/>
                <w:lang w:val="en-US"/>
              </w:rPr>
              <w:t>Geodésica</w:t>
            </w:r>
            <w:proofErr w:type="spellEnd"/>
            <w:r w:rsidRPr="00CC2C23">
              <w:rPr>
                <w:rFonts w:ascii="Century Gothic" w:eastAsia="Times New Roman" w:hAnsi="Century Gothic" w:cs="Arial"/>
                <w:sz w:val="17"/>
                <w:szCs w:val="17"/>
                <w:lang w:val="en-US"/>
              </w:rPr>
              <w:t xml:space="preserve"> Vertical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Red </w:t>
            </w:r>
            <w:proofErr w:type="spellStart"/>
            <w:r w:rsidRPr="00CC2C23">
              <w:rPr>
                <w:rFonts w:ascii="Century Gothic" w:eastAsia="Times New Roman" w:hAnsi="Century Gothic" w:cs="Arial"/>
                <w:sz w:val="17"/>
                <w:szCs w:val="17"/>
                <w:lang w:val="en-US"/>
              </w:rPr>
              <w:t>Geodésica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Gravimétrica</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Recopilación de información de los Organismos Públicos de Protección y Defensa de los Derechos Humanos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345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O - </w:t>
            </w:r>
            <w:proofErr w:type="spellStart"/>
            <w:r w:rsidRPr="00CC2C23">
              <w:rPr>
                <w:rFonts w:ascii="Century Gothic" w:eastAsia="Times New Roman" w:hAnsi="Century Gothic" w:cs="Arial"/>
                <w:sz w:val="17"/>
                <w:szCs w:val="17"/>
                <w:lang w:val="en-US"/>
              </w:rPr>
              <w:t>Otro</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del Turismo de México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352</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480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Impartición de Justicia Federal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186</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187</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Impartición de Justicia Estatal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298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Procuración de Justicia Estatal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298</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Población Privada de la Libertad (ENPOL)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212</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0.009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Sacrificio de Ganado en Rastros Municipales (ESGRM)</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59</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0.010</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 Mensual de la Actividad Industrial (IMAI)</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42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42</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0.012</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Censo Nacional de Gobierno, Seguridad Pública y Sistema Penitenciario Estatales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298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302</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0.013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del Trabajo no Remunerado de los Hogares de México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332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0.038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Indicadores Macroeconómicos del Sector Público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281</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0.063</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Accidentes de Tránsito Terrestre en Zonas Urbanas y Suburbanas (ATUS)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196</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210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0.067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Cuentas de Bienes y Servicios.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275</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0.083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Índice Nacional de Precios Productor</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0.083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Oferta y Demanda Global de Bienes y Servicios (Precios Constantes y Corrientes)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0.089</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 Trimestral de Ahorro Bruto (ITAB) Año base 2013</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0.089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Vehículos de Motor Registrados en Circulación (VMRC)</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0.089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Victimización y Percepción sobre Seguridad Pública (ENVIPE)</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267</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295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0.095</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Acceso a la Información Pública y Protección de Datos Personales (ENAID)</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r w:rsidRPr="00CC2C23">
              <w:rPr>
                <w:rFonts w:ascii="Century Gothic" w:eastAsia="Times New Roman" w:hAnsi="Century Gothic" w:cs="Arial"/>
                <w:color w:val="000000"/>
                <w:sz w:val="17"/>
                <w:szCs w:val="17"/>
                <w:lang w:val="en-US"/>
              </w:rPr>
              <w:t xml:space="preserve">Sin </w:t>
            </w:r>
            <w:proofErr w:type="spellStart"/>
            <w:r w:rsidRPr="00CC2C23">
              <w:rPr>
                <w:rFonts w:ascii="Century Gothic" w:eastAsia="Times New Roman" w:hAnsi="Century Gothic" w:cs="Arial"/>
                <w:color w:val="000000"/>
                <w:sz w:val="17"/>
                <w:szCs w:val="17"/>
                <w:lang w:val="en-US"/>
              </w:rPr>
              <w:t>periodicidad</w:t>
            </w:r>
            <w:proofErr w:type="spellEnd"/>
            <w:r w:rsidRPr="00CC2C23">
              <w:rPr>
                <w:rFonts w:ascii="Century Gothic" w:eastAsia="Times New Roman" w:hAnsi="Century Gothic" w:cs="Arial"/>
                <w:color w:val="000000"/>
                <w:sz w:val="17"/>
                <w:szCs w:val="17"/>
                <w:lang w:val="en-US"/>
              </w:rPr>
              <w:t xml:space="preserve"> </w:t>
            </w:r>
            <w:proofErr w:type="spellStart"/>
            <w:r w:rsidRPr="00CC2C23">
              <w:rPr>
                <w:rFonts w:ascii="Century Gothic" w:eastAsia="Times New Roman" w:hAnsi="Century Gothic" w:cs="Arial"/>
                <w:color w:val="000000"/>
                <w:sz w:val="17"/>
                <w:szCs w:val="17"/>
                <w:lang w:val="en-US"/>
              </w:rPr>
              <w:t>definida</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313</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0.099</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Encuestas de Viajeros Internacionales (EVI)</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39</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0.137</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Exportaciones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por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Entidad</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Federativa</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color w:val="FF0000"/>
                <w:sz w:val="17"/>
                <w:szCs w:val="17"/>
                <w:lang w:val="en-US"/>
              </w:rPr>
            </w:pPr>
            <w:r w:rsidRPr="00CC2C23">
              <w:rPr>
                <w:rFonts w:ascii="Century Gothic" w:eastAsia="Times New Roman" w:hAnsi="Century Gothic" w:cs="Arial"/>
                <w:color w:val="FF0000"/>
                <w:sz w:val="17"/>
                <w:szCs w:val="17"/>
                <w:lang w:val="en-US"/>
              </w:rPr>
              <w:t> </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350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0.143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Estadísticas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Vitales</w:t>
            </w:r>
            <w:proofErr w:type="spellEnd"/>
            <w:r w:rsidRPr="00CC2C23">
              <w:rPr>
                <w:rFonts w:ascii="Century Gothic" w:eastAsia="Times New Roman" w:hAnsi="Century Gothic" w:cs="Arial"/>
                <w:sz w:val="17"/>
                <w:szCs w:val="17"/>
                <w:lang w:val="en-US"/>
              </w:rPr>
              <w:t xml:space="preserve"> - </w:t>
            </w:r>
            <w:proofErr w:type="spellStart"/>
            <w:r w:rsidRPr="00CC2C23">
              <w:rPr>
                <w:rFonts w:ascii="Century Gothic" w:eastAsia="Times New Roman" w:hAnsi="Century Gothic" w:cs="Arial"/>
                <w:sz w:val="17"/>
                <w:szCs w:val="17"/>
                <w:lang w:val="en-US"/>
              </w:rPr>
              <w:t>Defunciones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registradas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304</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0.167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Divorcios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304</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0.167</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Calidad e Impacto Gubernamental (ENCIG)</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176</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0.170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Índice Nacional de Precios al Consumidor, 2ª quincena y mensual</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r w:rsidRPr="00CC2C23">
              <w:rPr>
                <w:rFonts w:ascii="Century Gothic" w:eastAsia="Times New Roman" w:hAnsi="Century Gothic" w:cs="Arial"/>
                <w:sz w:val="17"/>
                <w:szCs w:val="17"/>
                <w:lang w:val="en-US"/>
              </w:rPr>
              <w:t xml:space="preserve"> </w:t>
            </w:r>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P - </w:t>
            </w:r>
            <w:proofErr w:type="spellStart"/>
            <w:r w:rsidRPr="00CC2C23">
              <w:rPr>
                <w:rFonts w:ascii="Century Gothic" w:eastAsia="Times New Roman" w:hAnsi="Century Gothic" w:cs="Arial"/>
                <w:sz w:val="17"/>
                <w:szCs w:val="17"/>
                <w:lang w:val="en-US"/>
              </w:rPr>
              <w:t>Política</w:t>
            </w:r>
            <w:proofErr w:type="spellEnd"/>
            <w:r w:rsidRPr="00CC2C23">
              <w:rPr>
                <w:rFonts w:ascii="Century Gothic" w:eastAsia="Times New Roman" w:hAnsi="Century Gothic" w:cs="Arial"/>
                <w:sz w:val="17"/>
                <w:szCs w:val="17"/>
                <w:lang w:val="en-US"/>
              </w:rPr>
              <w:t>/</w:t>
            </w:r>
            <w:proofErr w:type="spellStart"/>
            <w:r w:rsidRPr="00CC2C23">
              <w:rPr>
                <w:rFonts w:ascii="Century Gothic" w:eastAsia="Times New Roman" w:hAnsi="Century Gothic" w:cs="Arial"/>
                <w:sz w:val="17"/>
                <w:szCs w:val="17"/>
                <w:lang w:val="en-US"/>
              </w:rPr>
              <w:t>Regulación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0.175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lastRenderedPageBreak/>
              <w:t>Indicadores Trimestrales de la Actividad Turística (ITAT)</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137</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167</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L - </w:t>
            </w:r>
            <w:proofErr w:type="spellStart"/>
            <w:r w:rsidRPr="00CC2C23">
              <w:rPr>
                <w:rFonts w:ascii="Century Gothic" w:eastAsia="Times New Roman" w:hAnsi="Century Gothic" w:cs="Arial"/>
                <w:sz w:val="17"/>
                <w:szCs w:val="17"/>
                <w:lang w:val="en-US"/>
              </w:rPr>
              <w:t>Lineamiento</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institucional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0.178</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Índice Nacional de Precios al Consumidor, 1ª quincena </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r w:rsidRPr="00CC2C23">
              <w:rPr>
                <w:rFonts w:ascii="Century Gothic" w:eastAsia="Times New Roman" w:hAnsi="Century Gothic" w:cs="Arial"/>
                <w:sz w:val="17"/>
                <w:szCs w:val="17"/>
                <w:lang w:val="en-US"/>
              </w:rPr>
              <w:t xml:space="preserve"> </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P - </w:t>
            </w:r>
            <w:proofErr w:type="spellStart"/>
            <w:r w:rsidRPr="00CC2C23">
              <w:rPr>
                <w:rFonts w:ascii="Century Gothic" w:eastAsia="Times New Roman" w:hAnsi="Century Gothic" w:cs="Arial"/>
                <w:sz w:val="17"/>
                <w:szCs w:val="17"/>
                <w:lang w:val="en-US"/>
              </w:rPr>
              <w:t>Política</w:t>
            </w:r>
            <w:proofErr w:type="spellEnd"/>
            <w:r w:rsidRPr="00CC2C23">
              <w:rPr>
                <w:rFonts w:ascii="Century Gothic" w:eastAsia="Times New Roman" w:hAnsi="Century Gothic" w:cs="Arial"/>
                <w:sz w:val="17"/>
                <w:szCs w:val="17"/>
                <w:lang w:val="en-US"/>
              </w:rPr>
              <w:t>/</w:t>
            </w:r>
            <w:proofErr w:type="spellStart"/>
            <w:r w:rsidRPr="00CC2C23">
              <w:rPr>
                <w:rFonts w:ascii="Century Gothic" w:eastAsia="Times New Roman" w:hAnsi="Century Gothic" w:cs="Arial"/>
                <w:sz w:val="17"/>
                <w:szCs w:val="17"/>
                <w:lang w:val="en-US"/>
              </w:rPr>
              <w:t>Regulación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0.183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Expectativas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Empresariales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Pedidos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Manufactureros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Indicadores</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Confianza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Empresarial</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0.208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 Vivienda de México.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354</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0.213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Seguridad Pública Urbana (ENSU)</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r w:rsidRPr="00CC2C23">
              <w:rPr>
                <w:rFonts w:ascii="Century Gothic" w:eastAsia="Times New Roman" w:hAnsi="Century Gothic" w:cs="Arial"/>
                <w:color w:val="000000"/>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17</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21</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0.214</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Indicadores de Productividad Laboral y del Costo Unitario de la Mano de Obra</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70</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0.225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Cuentas Económicas y Ecológicas de México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338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438</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0.228</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 las Instituciones sin Fines de Lucro de México.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344</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0.230</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Matriz Insumo-Producto Simétrica 2013, industria por industria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1825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0.233</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Matriz Insumo-Producto Simétrica 2013, producto por producto</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1825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0.233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Cuadro de Oferta y Utilización 2013 Año base 2013</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1825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0.233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Estadísticas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Vitales</w:t>
            </w:r>
            <w:proofErr w:type="spellEnd"/>
            <w:r w:rsidRPr="00CC2C23">
              <w:rPr>
                <w:rFonts w:ascii="Century Gothic" w:eastAsia="Times New Roman" w:hAnsi="Century Gothic" w:cs="Arial"/>
                <w:sz w:val="17"/>
                <w:szCs w:val="17"/>
                <w:lang w:val="en-US"/>
              </w:rPr>
              <w:t xml:space="preserve"> - </w:t>
            </w:r>
            <w:proofErr w:type="spellStart"/>
            <w:r w:rsidRPr="00CC2C23">
              <w:rPr>
                <w:rFonts w:ascii="Century Gothic" w:eastAsia="Times New Roman" w:hAnsi="Century Gothic" w:cs="Arial"/>
                <w:sz w:val="17"/>
                <w:szCs w:val="17"/>
                <w:lang w:val="en-US"/>
              </w:rPr>
              <w:t>Defunciones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fetales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273</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0.252</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Nacimientos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registrados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273</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0.252</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Matrimonios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273</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0.252</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Censos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Económicos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Resultados</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Oportunos</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132</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182</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0.275</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Encuesta</w:t>
            </w:r>
            <w:proofErr w:type="spellEnd"/>
            <w:r w:rsidRPr="00CC2C23">
              <w:rPr>
                <w:rFonts w:ascii="Century Gothic" w:eastAsia="Times New Roman" w:hAnsi="Century Gothic" w:cs="Arial"/>
                <w:sz w:val="17"/>
                <w:szCs w:val="17"/>
                <w:lang w:val="en-US"/>
              </w:rPr>
              <w:t xml:space="preserve"> Nacional </w:t>
            </w:r>
            <w:proofErr w:type="spellStart"/>
            <w:r w:rsidRPr="00CC2C23">
              <w:rPr>
                <w:rFonts w:ascii="Century Gothic" w:eastAsia="Times New Roman" w:hAnsi="Century Gothic" w:cs="Arial"/>
                <w:sz w:val="17"/>
                <w:szCs w:val="17"/>
                <w:lang w:val="en-US"/>
              </w:rPr>
              <w:t>Agropecuaria</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334</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0.293</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de Ingresos y Gastos de los Hogares (ENIGH).</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Bienal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212</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306</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0.307</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 la Cultura de México.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324</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473</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0.315</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Encuesta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Anual</w:t>
            </w:r>
            <w:proofErr w:type="spellEnd"/>
            <w:r w:rsidRPr="00CC2C23">
              <w:rPr>
                <w:rFonts w:ascii="Century Gothic" w:eastAsia="Times New Roman" w:hAnsi="Century Gothic" w:cs="Arial"/>
                <w:sz w:val="17"/>
                <w:szCs w:val="17"/>
                <w:lang w:val="en-US"/>
              </w:rPr>
              <w:t xml:space="preserve"> de </w:t>
            </w:r>
            <w:proofErr w:type="spellStart"/>
            <w:r w:rsidRPr="00CC2C23">
              <w:rPr>
                <w:rFonts w:ascii="Century Gothic" w:eastAsia="Times New Roman" w:hAnsi="Century Gothic" w:cs="Arial"/>
                <w:sz w:val="17"/>
                <w:szCs w:val="17"/>
                <w:lang w:val="en-US"/>
              </w:rPr>
              <w:t>Transportes</w:t>
            </w:r>
            <w:proofErr w:type="spellEnd"/>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0.366</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Anual de la Industria Manufacturera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0.366</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Anual de Empresas Constructoras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0.366</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Encuesta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Anual</w:t>
            </w:r>
            <w:proofErr w:type="spellEnd"/>
            <w:r w:rsidRPr="00CC2C23">
              <w:rPr>
                <w:rFonts w:ascii="Century Gothic" w:eastAsia="Times New Roman" w:hAnsi="Century Gothic" w:cs="Arial"/>
                <w:sz w:val="17"/>
                <w:szCs w:val="17"/>
                <w:lang w:val="en-US"/>
              </w:rPr>
              <w:t xml:space="preserve"> del </w:t>
            </w:r>
            <w:proofErr w:type="spellStart"/>
            <w:r w:rsidRPr="00CC2C23">
              <w:rPr>
                <w:rFonts w:ascii="Century Gothic" w:eastAsia="Times New Roman" w:hAnsi="Century Gothic" w:cs="Arial"/>
                <w:sz w:val="17"/>
                <w:szCs w:val="17"/>
                <w:lang w:val="en-US"/>
              </w:rPr>
              <w:t>Comercio</w:t>
            </w:r>
            <w:proofErr w:type="spellEnd"/>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0.366</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Anual de Servicios Privados No Financieros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0.366</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Producto Interno Bruto Trimestral a Precios Constantes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55</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0.389</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Producto Interno Bruto Trimestral a Precios Corrientes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55</w:t>
            </w:r>
          </w:p>
        </w:tc>
        <w:tc>
          <w:tcPr>
            <w:tcW w:w="1559"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90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0.389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Balanza Comercial de Mercancías de México (oportuna)</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w:t>
            </w:r>
          </w:p>
        </w:tc>
        <w:tc>
          <w:tcPr>
            <w:tcW w:w="1559"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45</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N - Norma/</w:t>
            </w:r>
            <w:proofErr w:type="spellStart"/>
            <w:r w:rsidRPr="00CC2C23">
              <w:rPr>
                <w:rFonts w:ascii="Century Gothic" w:eastAsia="Times New Roman" w:hAnsi="Century Gothic" w:cs="Arial"/>
                <w:sz w:val="17"/>
                <w:szCs w:val="17"/>
                <w:lang w:val="en-US"/>
              </w:rPr>
              <w:t>Estándar</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0.406</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lastRenderedPageBreak/>
              <w:t>Catálogo Único de Claves de Áreas Geoestadísticas Estatales, Municipales  y Localidades.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15</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0.489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Perfil de las Empresas Manufactureras de Exportación</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273</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540</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0.494</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Sacrificio de Ganado en Rastros Municipales (ESGRM) (anual)</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88</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180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0.511</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Cuenta Satélite del Sector Salud de México.</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347</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719</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0.517</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Producto Interno Bruto por Entidad Federativa</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350</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730</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0.521</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Encuesta Nacional sobre la Dinámica de las Relaciones en los Hogares (ENDIREH).</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roofErr w:type="spellStart"/>
            <w:r w:rsidRPr="00CC2C23">
              <w:rPr>
                <w:rFonts w:ascii="Century Gothic" w:eastAsia="Times New Roman" w:hAnsi="Century Gothic" w:cs="Arial"/>
                <w:color w:val="000000"/>
                <w:sz w:val="17"/>
                <w:szCs w:val="17"/>
                <w:lang w:val="en-US"/>
              </w:rPr>
              <w:t>Quinquenal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color w:val="000000"/>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571</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0.559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Módulo de Condiciones Socioeconómicas (MCS)</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0.589</w:t>
            </w:r>
          </w:p>
        </w:tc>
      </w:tr>
      <w:tr w:rsidR="00CC2C23" w:rsidRPr="00CC2C23" w:rsidTr="00A94D86">
        <w:trPr>
          <w:trHeight w:val="20"/>
        </w:trPr>
        <w:tc>
          <w:tcPr>
            <w:tcW w:w="5949" w:type="dxa"/>
            <w:shd w:val="clear" w:color="auto" w:fill="FFFFFF" w:themeFill="background1"/>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Estadística de Finanzas Públicas Estatales y Municipales (ENFIPEM)</w:t>
            </w:r>
          </w:p>
        </w:tc>
        <w:tc>
          <w:tcPr>
            <w:tcW w:w="1417"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Anual</w:t>
            </w:r>
            <w:proofErr w:type="spellEnd"/>
          </w:p>
        </w:tc>
        <w:tc>
          <w:tcPr>
            <w:tcW w:w="1560" w:type="dxa"/>
            <w:shd w:val="clear" w:color="auto" w:fill="FFFFFF" w:themeFill="background1"/>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196</w:t>
            </w:r>
          </w:p>
        </w:tc>
        <w:tc>
          <w:tcPr>
            <w:tcW w:w="1559"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547</w:t>
            </w:r>
          </w:p>
        </w:tc>
        <w:tc>
          <w:tcPr>
            <w:tcW w:w="2977" w:type="dxa"/>
            <w:shd w:val="clear" w:color="auto" w:fill="FFFFFF" w:themeFill="background1"/>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R - </w:t>
            </w:r>
            <w:proofErr w:type="spellStart"/>
            <w:r w:rsidRPr="00CC2C23">
              <w:rPr>
                <w:rFonts w:ascii="Century Gothic" w:eastAsia="Times New Roman" w:hAnsi="Century Gothic" w:cs="Arial"/>
                <w:sz w:val="17"/>
                <w:szCs w:val="17"/>
                <w:lang w:val="en-US"/>
              </w:rPr>
              <w:t>Recomendación</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internacional</w:t>
            </w:r>
            <w:proofErr w:type="spellEnd"/>
          </w:p>
        </w:tc>
        <w:tc>
          <w:tcPr>
            <w:tcW w:w="992" w:type="dxa"/>
            <w:shd w:val="clear" w:color="auto" w:fill="FFFFFF" w:themeFill="background1"/>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0.642</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 xml:space="preserve">Conjunto de Datos Vectoriales de los </w:t>
            </w:r>
            <w:proofErr w:type="spellStart"/>
            <w:r w:rsidRPr="00CC2C23">
              <w:rPr>
                <w:rFonts w:ascii="Century Gothic" w:eastAsia="Times New Roman" w:hAnsi="Century Gothic" w:cs="Arial"/>
                <w:sz w:val="17"/>
                <w:szCs w:val="17"/>
              </w:rPr>
              <w:t>Espaciomapas</w:t>
            </w:r>
            <w:proofErr w:type="spellEnd"/>
            <w:r w:rsidRPr="00CC2C23">
              <w:rPr>
                <w:rFonts w:ascii="Century Gothic" w:eastAsia="Times New Roman" w:hAnsi="Century Gothic" w:cs="Arial"/>
                <w:sz w:val="17"/>
                <w:szCs w:val="17"/>
              </w:rPr>
              <w:t xml:space="preserve"> escala 1:20 000</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Mensual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6935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0.684</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Registro de Nombres Geográficos Continentales e Insulares con fines Estadísticos y Geográficos</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Trimestral</w:t>
            </w:r>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b/>
                <w:bCs/>
                <w:sz w:val="17"/>
                <w:szCs w:val="17"/>
                <w:lang w:val="en-US"/>
              </w:rPr>
            </w:pPr>
            <w:r w:rsidRPr="00CC2C23">
              <w:rPr>
                <w:rFonts w:ascii="Century Gothic" w:eastAsia="Times New Roman" w:hAnsi="Century Gothic" w:cs="Arial"/>
                <w:b/>
                <w:bCs/>
                <w:sz w:val="17"/>
                <w:szCs w:val="17"/>
                <w:lang w:val="en-US"/>
              </w:rPr>
              <w:t>89</w:t>
            </w: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365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 xml:space="preserve">I - </w:t>
            </w:r>
            <w:proofErr w:type="spellStart"/>
            <w:r w:rsidRPr="00CC2C23">
              <w:rPr>
                <w:rFonts w:ascii="Century Gothic" w:eastAsia="Times New Roman" w:hAnsi="Century Gothic" w:cs="Arial"/>
                <w:sz w:val="17"/>
                <w:szCs w:val="17"/>
                <w:lang w:val="en-US"/>
              </w:rPr>
              <w:t>Propuesta</w:t>
            </w:r>
            <w:proofErr w:type="spellEnd"/>
            <w:r w:rsidRPr="00CC2C23">
              <w:rPr>
                <w:rFonts w:ascii="Century Gothic" w:eastAsia="Times New Roman" w:hAnsi="Century Gothic" w:cs="Arial"/>
                <w:sz w:val="17"/>
                <w:szCs w:val="17"/>
                <w:lang w:val="en-US"/>
              </w:rPr>
              <w:t xml:space="preserve"> </w:t>
            </w:r>
            <w:proofErr w:type="spellStart"/>
            <w:r w:rsidRPr="00CC2C23">
              <w:rPr>
                <w:rFonts w:ascii="Century Gothic" w:eastAsia="Times New Roman" w:hAnsi="Century Gothic" w:cs="Arial"/>
                <w:sz w:val="17"/>
                <w:szCs w:val="17"/>
                <w:lang w:val="en-US"/>
              </w:rPr>
              <w:t>interna</w:t>
            </w:r>
            <w:proofErr w:type="spellEnd"/>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0.758</w:t>
            </w:r>
          </w:p>
        </w:tc>
      </w:tr>
      <w:tr w:rsidR="00CC2C23" w:rsidRPr="00CC2C23" w:rsidTr="00A94D86">
        <w:trPr>
          <w:trHeight w:val="20"/>
        </w:trPr>
        <w:tc>
          <w:tcPr>
            <w:tcW w:w="5949" w:type="dxa"/>
            <w:shd w:val="clear" w:color="auto" w:fill="C5EAFF"/>
            <w:vAlign w:val="center"/>
            <w:hideMark/>
          </w:tcPr>
          <w:p w:rsidR="00CC2C23" w:rsidRPr="00CC2C23" w:rsidRDefault="00CC2C23" w:rsidP="00CC2C23">
            <w:pPr>
              <w:spacing w:after="0" w:line="240" w:lineRule="auto"/>
              <w:ind w:leftChars="-3" w:hangingChars="4" w:hanging="7"/>
              <w:rPr>
                <w:rFonts w:ascii="Century Gothic" w:eastAsia="Times New Roman" w:hAnsi="Century Gothic" w:cs="Arial"/>
                <w:sz w:val="17"/>
                <w:szCs w:val="17"/>
              </w:rPr>
            </w:pPr>
            <w:r w:rsidRPr="00CC2C23">
              <w:rPr>
                <w:rFonts w:ascii="Century Gothic" w:eastAsia="Times New Roman" w:hAnsi="Century Gothic" w:cs="Arial"/>
                <w:sz w:val="17"/>
                <w:szCs w:val="17"/>
              </w:rPr>
              <w:t>Conjuntos de Datos Vectoriales de Información Topográfica escala 1:50 000, Serie III</w:t>
            </w:r>
          </w:p>
        </w:tc>
        <w:tc>
          <w:tcPr>
            <w:tcW w:w="1417"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roofErr w:type="spellStart"/>
            <w:r w:rsidRPr="00CC2C23">
              <w:rPr>
                <w:rFonts w:ascii="Century Gothic" w:eastAsia="Times New Roman" w:hAnsi="Century Gothic" w:cs="Arial"/>
                <w:sz w:val="17"/>
                <w:szCs w:val="17"/>
                <w:lang w:val="en-US"/>
              </w:rPr>
              <w:t>Sexenal</w:t>
            </w:r>
            <w:proofErr w:type="spellEnd"/>
          </w:p>
        </w:tc>
        <w:tc>
          <w:tcPr>
            <w:tcW w:w="1560" w:type="dxa"/>
            <w:shd w:val="clear" w:color="auto" w:fill="C5EAFF"/>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p>
        </w:tc>
        <w:tc>
          <w:tcPr>
            <w:tcW w:w="1559"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4015</w:t>
            </w:r>
          </w:p>
        </w:tc>
        <w:tc>
          <w:tcPr>
            <w:tcW w:w="2977" w:type="dxa"/>
            <w:shd w:val="clear" w:color="auto" w:fill="C5EAFF"/>
            <w:vAlign w:val="center"/>
            <w:hideMark/>
          </w:tcPr>
          <w:p w:rsidR="00CC2C23" w:rsidRPr="00CC2C23" w:rsidRDefault="00CC2C23" w:rsidP="00CC2C23">
            <w:pPr>
              <w:spacing w:after="0" w:line="240" w:lineRule="auto"/>
              <w:rPr>
                <w:rFonts w:ascii="Century Gothic" w:eastAsia="Times New Roman" w:hAnsi="Century Gothic" w:cs="Arial"/>
                <w:sz w:val="17"/>
                <w:szCs w:val="17"/>
              </w:rPr>
            </w:pPr>
            <w:r w:rsidRPr="00CC2C23">
              <w:rPr>
                <w:rFonts w:ascii="Century Gothic" w:eastAsia="Times New Roman" w:hAnsi="Century Gothic" w:cs="Arial"/>
                <w:sz w:val="17"/>
                <w:szCs w:val="17"/>
              </w:rPr>
              <w:t>E - Experiencia de otros países</w:t>
            </w:r>
          </w:p>
        </w:tc>
        <w:tc>
          <w:tcPr>
            <w:tcW w:w="992" w:type="dxa"/>
            <w:shd w:val="clear" w:color="auto" w:fill="C5EAFF"/>
            <w:noWrap/>
            <w:vAlign w:val="center"/>
            <w:hideMark/>
          </w:tcPr>
          <w:p w:rsidR="00CC2C23" w:rsidRPr="00CC2C23" w:rsidRDefault="00CC2C23" w:rsidP="00CC2C23">
            <w:pPr>
              <w:spacing w:after="0" w:line="240" w:lineRule="auto"/>
              <w:jc w:val="center"/>
              <w:rPr>
                <w:rFonts w:ascii="Century Gothic" w:eastAsia="Times New Roman" w:hAnsi="Century Gothic" w:cs="Arial"/>
                <w:sz w:val="17"/>
                <w:szCs w:val="17"/>
                <w:lang w:val="en-US"/>
              </w:rPr>
            </w:pPr>
            <w:r w:rsidRPr="00CC2C23">
              <w:rPr>
                <w:rFonts w:ascii="Century Gothic" w:eastAsia="Times New Roman" w:hAnsi="Century Gothic" w:cs="Arial"/>
                <w:sz w:val="17"/>
                <w:szCs w:val="17"/>
                <w:lang w:val="en-US"/>
              </w:rPr>
              <w:t>0.818</w:t>
            </w:r>
          </w:p>
        </w:tc>
      </w:tr>
    </w:tbl>
    <w:p w:rsidR="00CC2C23" w:rsidRDefault="00CC2C23">
      <w:pPr>
        <w:rPr>
          <w:rFonts w:ascii="Century Gothic" w:hAnsi="Century Gothic"/>
        </w:rPr>
      </w:pPr>
    </w:p>
    <w:p w:rsidR="00CC2C23" w:rsidRDefault="00CC2C23">
      <w:pPr>
        <w:rPr>
          <w:rFonts w:ascii="Century Gothic" w:hAnsi="Century Gothic"/>
        </w:rPr>
      </w:pPr>
    </w:p>
    <w:p w:rsidR="00CC2C23" w:rsidRDefault="00CC2C23">
      <w:pPr>
        <w:rPr>
          <w:rFonts w:ascii="Century Gothic" w:hAnsi="Century Gothic"/>
        </w:rPr>
      </w:pPr>
    </w:p>
    <w:p w:rsidR="00AA3FEC" w:rsidRDefault="00AA3FEC">
      <w:pPr>
        <w:rPr>
          <w:rFonts w:ascii="Century Gothic" w:hAnsi="Century Gothic"/>
        </w:rPr>
      </w:pPr>
    </w:p>
    <w:p w:rsidR="00CC2C23" w:rsidRDefault="00CC2C23">
      <w:pPr>
        <w:rPr>
          <w:rFonts w:ascii="Century Gothic" w:hAnsi="Century Gothic"/>
        </w:rPr>
        <w:sectPr w:rsidR="00CC2C23" w:rsidSect="00CC2C23">
          <w:pgSz w:w="15840" w:h="12240" w:orient="landscape"/>
          <w:pgMar w:top="720" w:right="720" w:bottom="720" w:left="720" w:header="709" w:footer="709" w:gutter="0"/>
          <w:cols w:space="708"/>
          <w:docGrid w:linePitch="360"/>
        </w:sectPr>
      </w:pPr>
    </w:p>
    <w:tbl>
      <w:tblPr>
        <w:tblW w:w="12333" w:type="dxa"/>
        <w:tblInd w:w="-1139" w:type="dxa"/>
        <w:tblLook w:val="04A0" w:firstRow="1" w:lastRow="0" w:firstColumn="1" w:lastColumn="0" w:noHBand="0" w:noVBand="1"/>
      </w:tblPr>
      <w:tblGrid>
        <w:gridCol w:w="4820"/>
        <w:gridCol w:w="7513"/>
      </w:tblGrid>
      <w:tr w:rsidR="00AA3FEC" w:rsidRPr="0022505B" w:rsidTr="00B276A9">
        <w:trPr>
          <w:trHeight w:val="201"/>
        </w:trPr>
        <w:tc>
          <w:tcPr>
            <w:tcW w:w="4820" w:type="dxa"/>
            <w:shd w:val="clear" w:color="auto" w:fill="1F3864" w:themeFill="accent5" w:themeFillShade="80"/>
          </w:tcPr>
          <w:p w:rsidR="00AA3FEC" w:rsidRPr="0022505B" w:rsidRDefault="00AA3FEC" w:rsidP="00B276A9">
            <w:pPr>
              <w:rPr>
                <w:rFonts w:cstheme="minorHAnsi"/>
                <w:color w:val="FFFFFF" w:themeColor="background1"/>
                <w:sz w:val="14"/>
                <w:szCs w:val="32"/>
              </w:rPr>
            </w:pPr>
            <w:bookmarkStart w:id="11" w:name="_Toc71579"/>
          </w:p>
        </w:tc>
        <w:tc>
          <w:tcPr>
            <w:tcW w:w="7513" w:type="dxa"/>
            <w:shd w:val="clear" w:color="auto" w:fill="0079BF"/>
          </w:tcPr>
          <w:p w:rsidR="00AA3FEC" w:rsidRPr="0022505B" w:rsidRDefault="00AA3FEC" w:rsidP="00B276A9">
            <w:pPr>
              <w:rPr>
                <w:rFonts w:cstheme="minorHAnsi"/>
                <w:color w:val="FFFFFF" w:themeColor="background1"/>
                <w:sz w:val="14"/>
                <w:szCs w:val="32"/>
              </w:rPr>
            </w:pPr>
          </w:p>
        </w:tc>
      </w:tr>
      <w:tr w:rsidR="00AA3FEC" w:rsidRPr="0022505B" w:rsidTr="00B276A9">
        <w:trPr>
          <w:trHeight w:val="201"/>
        </w:trPr>
        <w:tc>
          <w:tcPr>
            <w:tcW w:w="12333" w:type="dxa"/>
            <w:gridSpan w:val="2"/>
            <w:shd w:val="clear" w:color="auto" w:fill="auto"/>
          </w:tcPr>
          <w:p w:rsidR="00AA3FEC" w:rsidRPr="00613C02" w:rsidRDefault="00AA3FEC" w:rsidP="00882081">
            <w:pPr>
              <w:spacing w:after="0"/>
              <w:jc w:val="center"/>
              <w:rPr>
                <w:rFonts w:cstheme="minorHAnsi"/>
                <w:color w:val="000000" w:themeColor="text1"/>
                <w:sz w:val="32"/>
                <w:szCs w:val="32"/>
              </w:rPr>
            </w:pPr>
            <w:r>
              <w:rPr>
                <w:rFonts w:cstheme="minorHAnsi"/>
                <w:color w:val="000000" w:themeColor="text1"/>
                <w:sz w:val="32"/>
                <w:szCs w:val="32"/>
              </w:rPr>
              <w:t>ANEXO 3</w:t>
            </w:r>
          </w:p>
        </w:tc>
      </w:tr>
      <w:tr w:rsidR="00AA3FEC" w:rsidRPr="0022505B" w:rsidTr="00B276A9">
        <w:trPr>
          <w:trHeight w:val="201"/>
        </w:trPr>
        <w:tc>
          <w:tcPr>
            <w:tcW w:w="4820" w:type="dxa"/>
            <w:shd w:val="clear" w:color="auto" w:fill="1F3864" w:themeFill="accent5" w:themeFillShade="80"/>
          </w:tcPr>
          <w:p w:rsidR="00AA3FEC" w:rsidRPr="0022505B" w:rsidRDefault="00AA3FEC" w:rsidP="00B276A9">
            <w:pPr>
              <w:rPr>
                <w:rFonts w:cstheme="minorHAnsi"/>
                <w:color w:val="FFFFFF" w:themeColor="background1"/>
                <w:sz w:val="12"/>
                <w:szCs w:val="32"/>
              </w:rPr>
            </w:pPr>
          </w:p>
        </w:tc>
        <w:tc>
          <w:tcPr>
            <w:tcW w:w="7513" w:type="dxa"/>
            <w:shd w:val="clear" w:color="auto" w:fill="0079BF"/>
          </w:tcPr>
          <w:p w:rsidR="00AA3FEC" w:rsidRPr="0022505B" w:rsidRDefault="00AA3FEC" w:rsidP="00B276A9">
            <w:pPr>
              <w:rPr>
                <w:rFonts w:cstheme="minorHAnsi"/>
                <w:color w:val="FFFFFF" w:themeColor="background1"/>
                <w:sz w:val="12"/>
                <w:szCs w:val="32"/>
              </w:rPr>
            </w:pPr>
          </w:p>
        </w:tc>
      </w:tr>
    </w:tbl>
    <w:p w:rsidR="00E64AC9" w:rsidRDefault="00E64AC9" w:rsidP="00E64AC9">
      <w:pPr>
        <w:pStyle w:val="Ttulo1"/>
        <w:spacing w:before="0"/>
        <w:rPr>
          <w:rFonts w:ascii="Century Gothic" w:eastAsiaTheme="minorHAnsi" w:hAnsi="Century Gothic" w:cstheme="minorBidi"/>
          <w:b/>
          <w:color w:val="auto"/>
          <w:sz w:val="22"/>
          <w:szCs w:val="22"/>
        </w:rPr>
      </w:pPr>
    </w:p>
    <w:p w:rsidR="00E64AC9" w:rsidRPr="00252CA7" w:rsidRDefault="00E64AC9" w:rsidP="00E64AC9">
      <w:pPr>
        <w:pStyle w:val="Ttulo1"/>
        <w:spacing w:before="0"/>
        <w:rPr>
          <w:rFonts w:ascii="Century Gothic" w:eastAsiaTheme="minorHAnsi" w:hAnsi="Century Gothic" w:cstheme="minorBidi"/>
          <w:b/>
          <w:color w:val="auto"/>
          <w:sz w:val="22"/>
          <w:szCs w:val="22"/>
        </w:rPr>
      </w:pPr>
      <w:bookmarkStart w:id="12" w:name="_Toc34310023"/>
      <w:r w:rsidRPr="00252CA7">
        <w:rPr>
          <w:rFonts w:ascii="Century Gothic" w:eastAsiaTheme="minorHAnsi" w:hAnsi="Century Gothic" w:cstheme="minorBidi"/>
          <w:b/>
          <w:color w:val="auto"/>
          <w:sz w:val="22"/>
          <w:szCs w:val="22"/>
        </w:rPr>
        <w:t xml:space="preserve">Anexo </w:t>
      </w:r>
      <w:r>
        <w:rPr>
          <w:rFonts w:ascii="Century Gothic" w:eastAsiaTheme="minorHAnsi" w:hAnsi="Century Gothic" w:cstheme="minorBidi"/>
          <w:b/>
          <w:color w:val="auto"/>
          <w:sz w:val="22"/>
          <w:szCs w:val="22"/>
        </w:rPr>
        <w:t>3</w:t>
      </w:r>
      <w:r w:rsidRPr="00252CA7">
        <w:rPr>
          <w:rFonts w:ascii="Century Gothic" w:eastAsiaTheme="minorHAnsi" w:hAnsi="Century Gothic" w:cstheme="minorBidi"/>
          <w:b/>
          <w:color w:val="auto"/>
          <w:sz w:val="22"/>
          <w:szCs w:val="22"/>
        </w:rPr>
        <w:t xml:space="preserve">: </w:t>
      </w:r>
      <w:r w:rsidRPr="00AA1496">
        <w:rPr>
          <w:rFonts w:ascii="Century Gothic" w:eastAsiaTheme="minorHAnsi" w:hAnsi="Century Gothic" w:cstheme="minorBidi"/>
          <w:b/>
          <w:color w:val="auto"/>
          <w:sz w:val="22"/>
          <w:szCs w:val="22"/>
        </w:rPr>
        <w:t>Indicadores de Puntualidad</w:t>
      </w:r>
      <w:bookmarkEnd w:id="12"/>
    </w:p>
    <w:p w:rsidR="00D05750" w:rsidRPr="00AA1496" w:rsidRDefault="00D05750" w:rsidP="00D05750">
      <w:pPr>
        <w:spacing w:before="120"/>
        <w:jc w:val="both"/>
        <w:rPr>
          <w:rFonts w:ascii="Century Gothic" w:hAnsi="Century Gothic"/>
          <w:sz w:val="19"/>
          <w:szCs w:val="19"/>
        </w:rPr>
      </w:pPr>
      <w:r w:rsidRPr="00AA1496">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AA1496">
        <w:rPr>
          <w:rFonts w:ascii="Century Gothic" w:hAnsi="Century Gothic"/>
          <w:sz w:val="19"/>
          <w:szCs w:val="19"/>
        </w:rPr>
        <w:t xml:space="preserve"> aprueba el Calendario Anual de Difusión (Calendario) que establece la fecha y hora de publicación de la información estadística y geográfica para el año siguiente. Este Calendario se distribuye vía correo electrónico a usuarios estratégicos: periodistas, analistas, tomadores de decisiones, entre otros. Además, se publica en el sitio del INEGI en Internet. El Calendario se revisa de manera trimestral por la Junta de Gobierno del Instituto.</w:t>
      </w:r>
    </w:p>
    <w:p w:rsidR="00D05750" w:rsidRPr="00AA1496" w:rsidRDefault="00D05750" w:rsidP="00D05750">
      <w:pPr>
        <w:spacing w:before="120"/>
        <w:jc w:val="both"/>
        <w:rPr>
          <w:rFonts w:ascii="Century Gothic" w:hAnsi="Century Gothic"/>
          <w:sz w:val="19"/>
          <w:szCs w:val="19"/>
        </w:rPr>
      </w:pPr>
      <w:r w:rsidRPr="00AA1496">
        <w:rPr>
          <w:rFonts w:ascii="Century Gothic" w:hAnsi="Century Gothic"/>
          <w:sz w:val="19"/>
          <w:szCs w:val="19"/>
        </w:rPr>
        <w:t xml:space="preserve">Actualmente se cuenta con dos indicadores aprobados para medir la puntualidad de la información: </w:t>
      </w:r>
    </w:p>
    <w:p w:rsidR="00D05750" w:rsidRPr="00AA1496" w:rsidRDefault="00D05750" w:rsidP="00D05750">
      <w:pPr>
        <w:spacing w:before="120"/>
        <w:ind w:left="142"/>
        <w:jc w:val="both"/>
        <w:rPr>
          <w:rFonts w:ascii="Century Gothic" w:hAnsi="Century Gothic"/>
          <w:i/>
          <w:sz w:val="19"/>
          <w:szCs w:val="19"/>
        </w:rPr>
      </w:pPr>
      <w:r w:rsidRPr="00AA1496">
        <w:rPr>
          <w:rFonts w:ascii="Century Gothic" w:hAnsi="Century Gothic"/>
          <w:b/>
          <w:i/>
          <w:sz w:val="19"/>
          <w:szCs w:val="19"/>
        </w:rPr>
        <w:t>P1</w:t>
      </w:r>
      <w:r w:rsidRPr="00AA1496">
        <w:rPr>
          <w:rFonts w:ascii="Century Gothic" w:hAnsi="Century Gothic"/>
          <w:i/>
          <w:sz w:val="19"/>
          <w:szCs w:val="19"/>
        </w:rPr>
        <w:t>. Porcentaje de proyectos estadísticos y geográficos publicados en el sitio del INEGI en cuya fecha de publicación se comprometió en el Calendario de difusión de información estadística y geográfica y de Interés Nacional del INEGI.</w:t>
      </w:r>
    </w:p>
    <w:p w:rsidR="00D05750" w:rsidRPr="00AA1496" w:rsidRDefault="00D05750" w:rsidP="00D05750">
      <w:pPr>
        <w:spacing w:before="120"/>
        <w:ind w:left="142"/>
        <w:jc w:val="both"/>
        <w:rPr>
          <w:rFonts w:ascii="Century Gothic" w:hAnsi="Century Gothic"/>
          <w:sz w:val="19"/>
          <w:szCs w:val="19"/>
        </w:rPr>
      </w:pPr>
      <w:r w:rsidRPr="00AA1496">
        <w:rPr>
          <w:rFonts w:ascii="Century Gothic" w:hAnsi="Century Gothic"/>
          <w:b/>
          <w:i/>
          <w:sz w:val="19"/>
          <w:szCs w:val="19"/>
        </w:rPr>
        <w:t>P2.</w:t>
      </w:r>
      <w:r w:rsidRPr="00AA1496">
        <w:rPr>
          <w:rFonts w:ascii="Century Gothic" w:hAnsi="Century Gothic"/>
          <w:i/>
          <w:sz w:val="19"/>
          <w:szCs w:val="19"/>
        </w:rPr>
        <w:t xml:space="preserve"> Porcentaje de proyectos estadísticos y geográficos incluidos en el Calendario de difusión de información estadística y geográfica y de Interés Nacional del INEGI que fueron publicados puntualmente.</w:t>
      </w:r>
    </w:p>
    <w:p w:rsidR="00D05750" w:rsidRPr="00AA1496" w:rsidRDefault="00D05750" w:rsidP="00D05750">
      <w:pPr>
        <w:spacing w:before="120"/>
        <w:jc w:val="both"/>
        <w:rPr>
          <w:rFonts w:ascii="Century Gothic" w:hAnsi="Century Gothic"/>
          <w:sz w:val="19"/>
          <w:szCs w:val="19"/>
        </w:rPr>
      </w:pPr>
      <w:r w:rsidRPr="00D05750">
        <w:rPr>
          <w:rFonts w:ascii="Century Gothic" w:hAnsi="Century Gothic"/>
          <w:sz w:val="19"/>
          <w:szCs w:val="19"/>
        </w:rPr>
        <w:t xml:space="preserve">Con respecto al indicador de puntualidad P1, de los 505 </w:t>
      </w:r>
      <w:bookmarkStart w:id="13" w:name="_Hlk30163865"/>
      <w:r w:rsidRPr="00D05750">
        <w:rPr>
          <w:rFonts w:ascii="Century Gothic" w:hAnsi="Century Gothic"/>
          <w:sz w:val="19"/>
          <w:szCs w:val="19"/>
        </w:rPr>
        <w:t xml:space="preserve">productos de resultados de los programas de información estadística y geográfica publicados en 2019 </w:t>
      </w:r>
      <w:bookmarkEnd w:id="13"/>
      <w:r w:rsidRPr="00D05750">
        <w:rPr>
          <w:rFonts w:ascii="Century Gothic" w:hAnsi="Century Gothic"/>
          <w:sz w:val="19"/>
          <w:szCs w:val="19"/>
        </w:rPr>
        <w:t>en el sitio del INEGI en Internet,</w:t>
      </w:r>
      <w:r w:rsidRPr="00D05750">
        <w:rPr>
          <w:rFonts w:ascii="Century Gothic" w:hAnsi="Century Gothic"/>
          <w:sz w:val="19"/>
          <w:szCs w:val="19"/>
          <w:vertAlign w:val="superscript"/>
        </w:rPr>
        <w:t xml:space="preserve"> </w:t>
      </w:r>
      <w:r w:rsidRPr="00D05750">
        <w:rPr>
          <w:rFonts w:ascii="Century Gothic" w:hAnsi="Century Gothic"/>
          <w:sz w:val="19"/>
          <w:szCs w:val="19"/>
        </w:rPr>
        <w:t>el 97</w:t>
      </w:r>
      <w:r w:rsidR="00284DBC">
        <w:rPr>
          <w:rFonts w:ascii="Century Gothic" w:hAnsi="Century Gothic"/>
          <w:sz w:val="19"/>
          <w:szCs w:val="19"/>
        </w:rPr>
        <w:t>.4</w:t>
      </w:r>
      <w:r w:rsidRPr="00D05750">
        <w:rPr>
          <w:rFonts w:ascii="Century Gothic" w:hAnsi="Century Gothic"/>
          <w:sz w:val="19"/>
          <w:szCs w:val="19"/>
        </w:rPr>
        <w:t>% (49</w:t>
      </w:r>
      <w:r w:rsidR="00284DBC">
        <w:rPr>
          <w:rFonts w:ascii="Century Gothic" w:hAnsi="Century Gothic"/>
          <w:sz w:val="19"/>
          <w:szCs w:val="19"/>
        </w:rPr>
        <w:t>2</w:t>
      </w:r>
      <w:r w:rsidRPr="00D05750">
        <w:rPr>
          <w:rFonts w:ascii="Century Gothic" w:hAnsi="Century Gothic"/>
          <w:sz w:val="19"/>
          <w:szCs w:val="19"/>
        </w:rPr>
        <w:t xml:space="preserve"> entregas de resultados) </w:t>
      </w:r>
      <w:bookmarkStart w:id="14" w:name="_Hlk30163900"/>
      <w:r w:rsidRPr="00D05750">
        <w:rPr>
          <w:rFonts w:ascii="Century Gothic" w:hAnsi="Century Gothic"/>
          <w:sz w:val="19"/>
          <w:szCs w:val="19"/>
        </w:rPr>
        <w:t>estuvieron registrados previamente en el Calendario de difusión</w:t>
      </w:r>
      <w:bookmarkEnd w:id="14"/>
      <w:r w:rsidRPr="00D05750">
        <w:rPr>
          <w:rFonts w:ascii="Century Gothic" w:hAnsi="Century Gothic"/>
          <w:sz w:val="19"/>
          <w:szCs w:val="19"/>
        </w:rPr>
        <w:t xml:space="preserve"> 2019. El 4% restante corresponde a 1</w:t>
      </w:r>
      <w:r w:rsidR="001B4844">
        <w:rPr>
          <w:rFonts w:ascii="Century Gothic" w:hAnsi="Century Gothic"/>
          <w:sz w:val="19"/>
          <w:szCs w:val="19"/>
        </w:rPr>
        <w:t>3</w:t>
      </w:r>
      <w:r w:rsidRPr="00D05750">
        <w:rPr>
          <w:rFonts w:ascii="Century Gothic" w:hAnsi="Century Gothic"/>
          <w:sz w:val="19"/>
          <w:szCs w:val="19"/>
        </w:rPr>
        <w:t xml:space="preserve"> programas de información estadística y geográfica publicados que no fueron incluidos previamente en el Calendario</w:t>
      </w:r>
      <w:r w:rsidRPr="00AA1496">
        <w:rPr>
          <w:rFonts w:ascii="Century Gothic" w:hAnsi="Century Gothic"/>
          <w:sz w:val="19"/>
          <w:szCs w:val="19"/>
        </w:rPr>
        <w:t xml:space="preserve"> de difusión, los cuales se enlistan en el siguiente cuadro:</w:t>
      </w:r>
    </w:p>
    <w:p w:rsidR="00D05750" w:rsidRPr="00AA1496" w:rsidRDefault="00EE5A9B" w:rsidP="00D05750">
      <w:pPr>
        <w:spacing w:before="120"/>
        <w:jc w:val="center"/>
        <w:rPr>
          <w:rFonts w:ascii="Century Gothic" w:hAnsi="Century Gothic"/>
          <w:b/>
          <w:sz w:val="19"/>
          <w:szCs w:val="19"/>
        </w:rPr>
      </w:pPr>
      <w:r>
        <w:rPr>
          <w:rFonts w:ascii="Century Gothic" w:hAnsi="Century Gothic"/>
          <w:b/>
          <w:sz w:val="19"/>
          <w:szCs w:val="19"/>
        </w:rPr>
        <w:t>A.3</w:t>
      </w:r>
      <w:r w:rsidR="00D05750" w:rsidRPr="00AA1496">
        <w:rPr>
          <w:rFonts w:ascii="Century Gothic" w:hAnsi="Century Gothic"/>
          <w:b/>
          <w:sz w:val="19"/>
          <w:szCs w:val="19"/>
        </w:rPr>
        <w:t>.1</w:t>
      </w:r>
      <w:r w:rsidR="00E70D96">
        <w:rPr>
          <w:rFonts w:ascii="Century Gothic" w:hAnsi="Century Gothic"/>
          <w:b/>
          <w:sz w:val="19"/>
          <w:szCs w:val="19"/>
        </w:rPr>
        <w:t>.</w:t>
      </w:r>
      <w:r w:rsidR="00D05750" w:rsidRPr="00AA1496">
        <w:rPr>
          <w:rFonts w:ascii="Century Gothic" w:hAnsi="Century Gothic"/>
          <w:b/>
          <w:sz w:val="19"/>
          <w:szCs w:val="19"/>
        </w:rPr>
        <w:t xml:space="preserve"> Programas de información estadística y geográfica publicados que no fueron incluidos previamente en el Calendario de difusión 2019</w:t>
      </w:r>
    </w:p>
    <w:tbl>
      <w:tblPr>
        <w:tblW w:w="10146" w:type="dxa"/>
        <w:tblCellMar>
          <w:left w:w="70" w:type="dxa"/>
          <w:right w:w="70" w:type="dxa"/>
        </w:tblCellMar>
        <w:tblLook w:val="04A0" w:firstRow="1" w:lastRow="0" w:firstColumn="1" w:lastColumn="0" w:noHBand="0" w:noVBand="1"/>
      </w:tblPr>
      <w:tblGrid>
        <w:gridCol w:w="8359"/>
        <w:gridCol w:w="1787"/>
      </w:tblGrid>
      <w:tr w:rsidR="00D05750" w:rsidRPr="00AA1496" w:rsidTr="00B96726">
        <w:trPr>
          <w:trHeight w:val="467"/>
          <w:tblHeader/>
        </w:trPr>
        <w:tc>
          <w:tcPr>
            <w:tcW w:w="8359" w:type="dxa"/>
            <w:shd w:val="clear" w:color="auto" w:fill="1F3864" w:themeFill="accent5" w:themeFillShade="80"/>
            <w:vAlign w:val="center"/>
            <w:hideMark/>
          </w:tcPr>
          <w:p w:rsidR="00D05750" w:rsidRPr="004A7B38" w:rsidRDefault="00D05750" w:rsidP="003040F8">
            <w:pPr>
              <w:spacing w:after="0" w:line="240" w:lineRule="auto"/>
              <w:jc w:val="center"/>
              <w:rPr>
                <w:rFonts w:ascii="Century Gothic" w:eastAsia="Times New Roman" w:hAnsi="Century Gothic" w:cs="Calibri"/>
                <w:b/>
                <w:bCs/>
                <w:color w:val="FFFFFF"/>
                <w:sz w:val="17"/>
                <w:szCs w:val="17"/>
                <w:lang w:eastAsia="es-MX"/>
              </w:rPr>
            </w:pPr>
            <w:r w:rsidRPr="004A7B38">
              <w:rPr>
                <w:rFonts w:ascii="Century Gothic" w:eastAsia="Times New Roman" w:hAnsi="Century Gothic" w:cs="Calibri"/>
                <w:b/>
                <w:bCs/>
                <w:color w:val="FFFFFF"/>
                <w:sz w:val="17"/>
                <w:szCs w:val="17"/>
                <w:lang w:eastAsia="es-MX"/>
              </w:rPr>
              <w:t xml:space="preserve">Programa de Información </w:t>
            </w:r>
          </w:p>
        </w:tc>
        <w:tc>
          <w:tcPr>
            <w:tcW w:w="1787" w:type="dxa"/>
            <w:shd w:val="clear" w:color="auto" w:fill="1F3864" w:themeFill="accent5" w:themeFillShade="80"/>
            <w:vAlign w:val="center"/>
            <w:hideMark/>
          </w:tcPr>
          <w:p w:rsidR="00D05750" w:rsidRPr="004A7B38" w:rsidRDefault="00D05750" w:rsidP="003040F8">
            <w:pPr>
              <w:spacing w:after="0" w:line="240" w:lineRule="auto"/>
              <w:jc w:val="center"/>
              <w:rPr>
                <w:rFonts w:ascii="Century Gothic" w:eastAsia="Times New Roman" w:hAnsi="Century Gothic" w:cs="Calibri"/>
                <w:b/>
                <w:bCs/>
                <w:color w:val="FFFFFF"/>
                <w:sz w:val="17"/>
                <w:szCs w:val="17"/>
                <w:lang w:eastAsia="es-MX"/>
              </w:rPr>
            </w:pPr>
            <w:r w:rsidRPr="004A7B38">
              <w:rPr>
                <w:rFonts w:ascii="Century Gothic" w:eastAsia="Times New Roman" w:hAnsi="Century Gothic" w:cs="Calibri"/>
                <w:b/>
                <w:bCs/>
                <w:color w:val="FFFFFF"/>
                <w:sz w:val="17"/>
                <w:szCs w:val="17"/>
                <w:lang w:eastAsia="es-MX"/>
              </w:rPr>
              <w:t>Fecha de publicación en el sitio del INEGI en Internet</w:t>
            </w:r>
          </w:p>
        </w:tc>
      </w:tr>
      <w:tr w:rsidR="00D05750" w:rsidRPr="00AA1496" w:rsidTr="00412993">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right="-262"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Sistema Penitenciario Federal 2018</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15/03/2019</w:t>
            </w:r>
          </w:p>
        </w:tc>
      </w:tr>
      <w:tr w:rsidR="00D05750" w:rsidRPr="00AA1496"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Modelo Estadístico 2018</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31/07/2019</w:t>
            </w:r>
          </w:p>
        </w:tc>
      </w:tr>
      <w:tr w:rsidR="00D05750" w:rsidRPr="00AA1496"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Gobierno, Seguridad Pública y Sistema Penitenciario Estatales 2019</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16/08/2019</w:t>
            </w:r>
          </w:p>
        </w:tc>
      </w:tr>
      <w:tr w:rsidR="00D05750" w:rsidRPr="00D05750"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Impartición de Justicia Estatal (CNIJE) 2019</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16/08/2019</w:t>
            </w:r>
          </w:p>
        </w:tc>
      </w:tr>
      <w:tr w:rsidR="00D05750" w:rsidRPr="00D05750"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Poderes Legislativos Estatales 2019</w:t>
            </w:r>
            <w:r w:rsidRPr="004A7B38">
              <w:rPr>
                <w:rFonts w:ascii="Century Gothic" w:eastAsia="Times New Roman" w:hAnsi="Century Gothic" w:cs="Calibri"/>
                <w:color w:val="000000"/>
                <w:sz w:val="17"/>
                <w:szCs w:val="17"/>
                <w:vertAlign w:val="superscript"/>
                <w:lang w:val="es-ES" w:eastAsia="es-MX"/>
              </w:rPr>
              <w:t>a/</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Derechos Humanos Estatal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Transparencia y Protección de Datos Personales Estatal 2019</w:t>
            </w:r>
            <w:r w:rsidRPr="004A7B38">
              <w:rPr>
                <w:rFonts w:ascii="Century Gothic" w:eastAsia="Times New Roman" w:hAnsi="Century Gothic" w:cs="Calibri"/>
                <w:color w:val="000000"/>
                <w:sz w:val="17"/>
                <w:szCs w:val="17"/>
                <w:vertAlign w:val="superscript"/>
                <w:lang w:val="es-ES" w:eastAsia="es-MX"/>
              </w:rPr>
              <w:t xml:space="preserve"> a/ </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Gobierno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Seguridad Pública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Procuración de Justicia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Sistema Penitenciario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FFFFFF" w:themeFill="background1"/>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Derechos Humanos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FFFFFF" w:themeFill="background1"/>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r w:rsidR="00D05750" w:rsidRPr="00D05750" w:rsidTr="00B96726">
        <w:trPr>
          <w:trHeight w:val="340"/>
        </w:trPr>
        <w:tc>
          <w:tcPr>
            <w:tcW w:w="8359" w:type="dxa"/>
            <w:shd w:val="clear" w:color="auto" w:fill="C5EAFF"/>
            <w:noWrap/>
            <w:vAlign w:val="center"/>
            <w:hideMark/>
          </w:tcPr>
          <w:p w:rsidR="00D05750" w:rsidRPr="004A7B38" w:rsidRDefault="00D05750" w:rsidP="003040F8">
            <w:pPr>
              <w:pStyle w:val="Prrafodelista"/>
              <w:numPr>
                <w:ilvl w:val="0"/>
                <w:numId w:val="38"/>
              </w:numPr>
              <w:spacing w:after="0" w:line="240" w:lineRule="auto"/>
              <w:ind w:left="351" w:hanging="351"/>
              <w:jc w:val="both"/>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val="es-ES" w:eastAsia="es-MX"/>
              </w:rPr>
              <w:t>Censo Nacional de Transparencia y Protección de Datos Personales Federal 2019</w:t>
            </w:r>
            <w:r w:rsidRPr="004A7B38">
              <w:rPr>
                <w:rFonts w:ascii="Century Gothic" w:eastAsia="Times New Roman" w:hAnsi="Century Gothic" w:cs="Calibri"/>
                <w:color w:val="000000"/>
                <w:sz w:val="17"/>
                <w:szCs w:val="17"/>
                <w:vertAlign w:val="superscript"/>
                <w:lang w:val="es-ES" w:eastAsia="es-MX"/>
              </w:rPr>
              <w:t xml:space="preserve"> a/</w:t>
            </w:r>
          </w:p>
        </w:tc>
        <w:tc>
          <w:tcPr>
            <w:tcW w:w="1787" w:type="dxa"/>
            <w:shd w:val="clear" w:color="auto" w:fill="C5EAFF"/>
            <w:noWrap/>
            <w:vAlign w:val="center"/>
            <w:hideMark/>
          </w:tcPr>
          <w:p w:rsidR="00D05750" w:rsidRPr="004A7B38" w:rsidRDefault="00D05750" w:rsidP="003040F8">
            <w:pPr>
              <w:spacing w:after="0" w:line="240" w:lineRule="auto"/>
              <w:jc w:val="center"/>
              <w:rPr>
                <w:rFonts w:ascii="Century Gothic" w:eastAsia="Times New Roman" w:hAnsi="Century Gothic" w:cs="Calibri"/>
                <w:color w:val="000000"/>
                <w:sz w:val="17"/>
                <w:szCs w:val="17"/>
                <w:lang w:eastAsia="es-MX"/>
              </w:rPr>
            </w:pPr>
            <w:r w:rsidRPr="004A7B38">
              <w:rPr>
                <w:rFonts w:ascii="Century Gothic" w:eastAsia="Times New Roman" w:hAnsi="Century Gothic" w:cs="Calibri"/>
                <w:color w:val="000000"/>
                <w:sz w:val="17"/>
                <w:szCs w:val="17"/>
                <w:lang w:eastAsia="es-MX"/>
              </w:rPr>
              <w:t>17/12/2019</w:t>
            </w:r>
          </w:p>
        </w:tc>
      </w:tr>
    </w:tbl>
    <w:p w:rsidR="00D05750" w:rsidRPr="00216A17" w:rsidRDefault="00D05750" w:rsidP="00D05750">
      <w:pPr>
        <w:spacing w:before="120"/>
        <w:jc w:val="both"/>
        <w:rPr>
          <w:rFonts w:ascii="Century Gothic" w:hAnsi="Century Gothic" w:cstheme="minorHAnsi"/>
          <w:sz w:val="15"/>
          <w:szCs w:val="15"/>
        </w:rPr>
      </w:pPr>
      <w:r w:rsidRPr="00216A17">
        <w:rPr>
          <w:rFonts w:ascii="Century Gothic" w:eastAsia="Times New Roman" w:hAnsi="Century Gothic" w:cs="Calibri"/>
          <w:color w:val="000000"/>
          <w:sz w:val="15"/>
          <w:szCs w:val="15"/>
          <w:vertAlign w:val="superscript"/>
          <w:lang w:val="es-ES" w:eastAsia="es-MX"/>
        </w:rPr>
        <w:t xml:space="preserve">a/ </w:t>
      </w:r>
      <w:r w:rsidRPr="00216A17">
        <w:rPr>
          <w:rFonts w:ascii="Century Gothic" w:hAnsi="Century Gothic"/>
          <w:sz w:val="15"/>
          <w:szCs w:val="15"/>
        </w:rPr>
        <w:t>En 2019 la DGEGSPJ solo incorporó al calendario de Anual de Difusión los Programas de Información que son Información de Interés Nacional.</w:t>
      </w:r>
    </w:p>
    <w:p w:rsidR="00D05750" w:rsidRPr="00D05750" w:rsidRDefault="00D05750" w:rsidP="00D05750">
      <w:pPr>
        <w:spacing w:before="120"/>
        <w:jc w:val="both"/>
        <w:rPr>
          <w:rFonts w:ascii="Century Gothic" w:hAnsi="Century Gothic" w:cstheme="minorHAnsi"/>
          <w:sz w:val="19"/>
          <w:szCs w:val="19"/>
        </w:rPr>
      </w:pPr>
      <w:r w:rsidRPr="00D05750">
        <w:rPr>
          <w:rFonts w:ascii="Century Gothic" w:hAnsi="Century Gothic" w:cstheme="minorHAnsi"/>
          <w:sz w:val="19"/>
          <w:szCs w:val="19"/>
        </w:rPr>
        <w:lastRenderedPageBreak/>
        <w:t xml:space="preserve">Adicionalmente, se publicaron, </w:t>
      </w:r>
      <w:r w:rsidR="00741680">
        <w:rPr>
          <w:rFonts w:ascii="Century Gothic" w:hAnsi="Century Gothic" w:cstheme="minorHAnsi"/>
          <w:sz w:val="19"/>
          <w:szCs w:val="19"/>
        </w:rPr>
        <w:t>cinco</w:t>
      </w:r>
      <w:r w:rsidR="00741680" w:rsidRPr="00D05750">
        <w:rPr>
          <w:rFonts w:ascii="Century Gothic" w:hAnsi="Century Gothic" w:cstheme="minorHAnsi"/>
          <w:sz w:val="19"/>
          <w:szCs w:val="19"/>
        </w:rPr>
        <w:t xml:space="preserve"> </w:t>
      </w:r>
      <w:r w:rsidRPr="00D05750">
        <w:rPr>
          <w:rFonts w:ascii="Century Gothic" w:hAnsi="Century Gothic" w:cstheme="minorHAnsi"/>
          <w:sz w:val="19"/>
          <w:szCs w:val="19"/>
        </w:rPr>
        <w:t xml:space="preserve">programas de información que se llevaron a cabo bajo </w:t>
      </w:r>
      <w:r w:rsidR="00E70D96">
        <w:rPr>
          <w:rFonts w:ascii="Century Gothic" w:hAnsi="Century Gothic" w:cstheme="minorHAnsi"/>
          <w:sz w:val="19"/>
          <w:szCs w:val="19"/>
        </w:rPr>
        <w:t>instrumento jurídico</w:t>
      </w:r>
      <w:r w:rsidRPr="00D05750">
        <w:rPr>
          <w:rFonts w:ascii="Century Gothic" w:hAnsi="Century Gothic" w:cstheme="minorHAnsi"/>
          <w:sz w:val="19"/>
          <w:szCs w:val="19"/>
        </w:rPr>
        <w:t xml:space="preserve"> de colaboración con otras instituciones u organismos, motivo por el cual no fueron incluidos calendario de difusión:</w:t>
      </w:r>
    </w:p>
    <w:p w:rsidR="00D05750" w:rsidRPr="00D05750" w:rsidRDefault="00EE5A9B" w:rsidP="00D05750">
      <w:pPr>
        <w:spacing w:before="120"/>
        <w:jc w:val="center"/>
        <w:rPr>
          <w:rFonts w:ascii="Century Gothic" w:hAnsi="Century Gothic"/>
          <w:b/>
          <w:sz w:val="19"/>
          <w:szCs w:val="19"/>
        </w:rPr>
      </w:pPr>
      <w:r>
        <w:rPr>
          <w:rFonts w:ascii="Century Gothic" w:hAnsi="Century Gothic"/>
          <w:b/>
          <w:sz w:val="19"/>
          <w:szCs w:val="19"/>
        </w:rPr>
        <w:t>A.3</w:t>
      </w:r>
      <w:r w:rsidR="00D05750" w:rsidRPr="00D05750">
        <w:rPr>
          <w:rFonts w:ascii="Century Gothic" w:hAnsi="Century Gothic"/>
          <w:b/>
          <w:sz w:val="19"/>
          <w:szCs w:val="19"/>
        </w:rPr>
        <w:t>.2</w:t>
      </w:r>
      <w:r w:rsidR="00E70D96">
        <w:rPr>
          <w:rFonts w:ascii="Century Gothic" w:hAnsi="Century Gothic"/>
          <w:b/>
          <w:sz w:val="19"/>
          <w:szCs w:val="19"/>
        </w:rPr>
        <w:t>.</w:t>
      </w:r>
      <w:r w:rsidR="00D05750" w:rsidRPr="00D05750">
        <w:rPr>
          <w:rFonts w:ascii="Century Gothic" w:hAnsi="Century Gothic"/>
          <w:b/>
          <w:sz w:val="19"/>
          <w:szCs w:val="19"/>
        </w:rPr>
        <w:t xml:space="preserve"> Programas de información publicados que no fueron incluidos previamente en el Calendario de difusión 2019, que</w:t>
      </w:r>
      <w:r w:rsidR="00D05750" w:rsidRPr="00D05750">
        <w:t xml:space="preserve"> </w:t>
      </w:r>
      <w:r w:rsidR="00D05750" w:rsidRPr="00D05750">
        <w:rPr>
          <w:rFonts w:ascii="Century Gothic" w:hAnsi="Century Gothic"/>
          <w:b/>
          <w:sz w:val="19"/>
          <w:szCs w:val="19"/>
        </w:rPr>
        <w:t xml:space="preserve">se llevaron a cabo bajo convenio de colaboración con otras instituciones u organismos, </w:t>
      </w:r>
    </w:p>
    <w:p w:rsidR="00D05750" w:rsidRPr="00D05750" w:rsidRDefault="00D05750" w:rsidP="00D05750">
      <w:pPr>
        <w:spacing w:before="120"/>
        <w:jc w:val="both"/>
        <w:rPr>
          <w:rFonts w:ascii="Century Gothic" w:hAnsi="Century Gothic" w:cstheme="minorHAnsi"/>
          <w:sz w:val="19"/>
          <w:szCs w:val="19"/>
        </w:rPr>
      </w:pPr>
    </w:p>
    <w:tbl>
      <w:tblPr>
        <w:tblW w:w="10076" w:type="dxa"/>
        <w:tblCellMar>
          <w:left w:w="70" w:type="dxa"/>
          <w:right w:w="70" w:type="dxa"/>
        </w:tblCellMar>
        <w:tblLook w:val="04A0" w:firstRow="1" w:lastRow="0" w:firstColumn="1" w:lastColumn="0" w:noHBand="0" w:noVBand="1"/>
      </w:tblPr>
      <w:tblGrid>
        <w:gridCol w:w="7225"/>
        <w:gridCol w:w="2851"/>
      </w:tblGrid>
      <w:tr w:rsidR="00D05750" w:rsidRPr="00D05750" w:rsidTr="00B96726">
        <w:trPr>
          <w:trHeight w:val="300"/>
        </w:trPr>
        <w:tc>
          <w:tcPr>
            <w:tcW w:w="7225" w:type="dxa"/>
            <w:shd w:val="clear" w:color="auto" w:fill="1F3864" w:themeFill="accent5" w:themeFillShade="80"/>
            <w:noWrap/>
            <w:vAlign w:val="center"/>
            <w:hideMark/>
          </w:tcPr>
          <w:p w:rsidR="00D05750" w:rsidRPr="004A7B38" w:rsidRDefault="00D05750" w:rsidP="00AE5B84">
            <w:pPr>
              <w:spacing w:after="0" w:line="240" w:lineRule="auto"/>
              <w:jc w:val="both"/>
              <w:rPr>
                <w:rFonts w:ascii="Century Gothic" w:eastAsia="Times New Roman" w:hAnsi="Century Gothic" w:cs="Calibri"/>
                <w:color w:val="FFFFFF" w:themeColor="background1"/>
                <w:sz w:val="17"/>
                <w:szCs w:val="17"/>
                <w:lang w:eastAsia="es-MX"/>
              </w:rPr>
            </w:pPr>
            <w:r w:rsidRPr="004A7B38">
              <w:rPr>
                <w:rFonts w:ascii="Century Gothic" w:eastAsia="Times New Roman" w:hAnsi="Century Gothic" w:cs="Calibri"/>
                <w:color w:val="FFFFFF" w:themeColor="background1"/>
                <w:sz w:val="17"/>
                <w:szCs w:val="17"/>
                <w:lang w:eastAsia="es-MX"/>
              </w:rPr>
              <w:t xml:space="preserve">Programa de Información </w:t>
            </w:r>
          </w:p>
        </w:tc>
        <w:tc>
          <w:tcPr>
            <w:tcW w:w="2851" w:type="dxa"/>
            <w:shd w:val="clear" w:color="auto" w:fill="1F3864" w:themeFill="accent5" w:themeFillShade="80"/>
            <w:noWrap/>
            <w:vAlign w:val="bottom"/>
            <w:hideMark/>
          </w:tcPr>
          <w:p w:rsidR="00D05750" w:rsidRPr="004A7B38" w:rsidRDefault="00D05750" w:rsidP="00AE5B84">
            <w:pPr>
              <w:spacing w:after="0" w:line="240" w:lineRule="auto"/>
              <w:jc w:val="center"/>
              <w:rPr>
                <w:rFonts w:ascii="Century Gothic" w:eastAsia="Times New Roman" w:hAnsi="Century Gothic" w:cs="Calibri"/>
                <w:color w:val="FFFFFF" w:themeColor="background1"/>
                <w:sz w:val="17"/>
                <w:szCs w:val="17"/>
                <w:lang w:eastAsia="es-MX"/>
              </w:rPr>
            </w:pPr>
            <w:r w:rsidRPr="004A7B38">
              <w:rPr>
                <w:rFonts w:ascii="Century Gothic" w:eastAsia="Times New Roman" w:hAnsi="Century Gothic" w:cs="Calibri"/>
                <w:color w:val="FFFFFF" w:themeColor="background1"/>
                <w:sz w:val="17"/>
                <w:szCs w:val="17"/>
                <w:lang w:eastAsia="es-MX"/>
              </w:rPr>
              <w:t>Fecha de publicación en el sitio del INEGI en Internet</w:t>
            </w:r>
          </w:p>
        </w:tc>
      </w:tr>
      <w:tr w:rsidR="00D05750" w:rsidRPr="00D05750" w:rsidTr="00216A17">
        <w:trPr>
          <w:trHeight w:val="300"/>
        </w:trPr>
        <w:tc>
          <w:tcPr>
            <w:tcW w:w="7225" w:type="dxa"/>
            <w:shd w:val="clear" w:color="auto" w:fill="C5EAFF"/>
            <w:noWrap/>
            <w:vAlign w:val="center"/>
            <w:hideMark/>
          </w:tcPr>
          <w:p w:rsidR="00D05750" w:rsidRPr="004A7B38" w:rsidRDefault="00D05750" w:rsidP="00BB6BE5">
            <w:pPr>
              <w:spacing w:after="0"/>
              <w:rPr>
                <w:rFonts w:ascii="Century Gothic" w:hAnsi="Century Gothic"/>
                <w:sz w:val="17"/>
                <w:szCs w:val="17"/>
              </w:rPr>
            </w:pPr>
            <w:r w:rsidRPr="004A7B38">
              <w:rPr>
                <w:rFonts w:ascii="Century Gothic" w:hAnsi="Century Gothic"/>
                <w:sz w:val="17"/>
                <w:szCs w:val="17"/>
              </w:rPr>
              <w:t>Encuesta Nacional sobre Productividad y Competitividad de las Micro, Pequeñas y Medianas Empresas (ENAPROCE) 2018</w:t>
            </w:r>
          </w:p>
        </w:tc>
        <w:tc>
          <w:tcPr>
            <w:tcW w:w="2851" w:type="dxa"/>
            <w:shd w:val="clear" w:color="auto" w:fill="C5EAFF"/>
            <w:noWrap/>
            <w:vAlign w:val="center"/>
            <w:hideMark/>
          </w:tcPr>
          <w:p w:rsidR="00D05750" w:rsidRPr="004A7B38" w:rsidRDefault="00D05750" w:rsidP="00BB6BE5">
            <w:pPr>
              <w:spacing w:after="0" w:line="240" w:lineRule="auto"/>
              <w:jc w:val="center"/>
              <w:rPr>
                <w:rFonts w:ascii="Century Gothic" w:eastAsia="Times New Roman" w:hAnsi="Century Gothic" w:cs="Calibri"/>
                <w:sz w:val="17"/>
                <w:szCs w:val="17"/>
                <w:lang w:eastAsia="es-MX"/>
              </w:rPr>
            </w:pPr>
            <w:r w:rsidRPr="004A7B38">
              <w:rPr>
                <w:rFonts w:ascii="Century Gothic" w:eastAsia="Times New Roman" w:hAnsi="Century Gothic" w:cs="Calibri"/>
                <w:sz w:val="17"/>
                <w:szCs w:val="17"/>
                <w:lang w:eastAsia="es-MX"/>
              </w:rPr>
              <w:t>02/09/2019</w:t>
            </w:r>
          </w:p>
        </w:tc>
      </w:tr>
      <w:tr w:rsidR="00D05750" w:rsidRPr="00D05750" w:rsidTr="00216A17">
        <w:trPr>
          <w:trHeight w:val="340"/>
        </w:trPr>
        <w:tc>
          <w:tcPr>
            <w:tcW w:w="7225" w:type="dxa"/>
            <w:shd w:val="clear" w:color="auto" w:fill="FFFFFF" w:themeFill="background1"/>
            <w:noWrap/>
            <w:vAlign w:val="center"/>
            <w:hideMark/>
          </w:tcPr>
          <w:p w:rsidR="00D05750" w:rsidRPr="004A7B38" w:rsidRDefault="00D05750" w:rsidP="00BB6BE5">
            <w:pPr>
              <w:spacing w:after="0"/>
              <w:rPr>
                <w:rFonts w:ascii="Century Gothic" w:hAnsi="Century Gothic"/>
                <w:sz w:val="17"/>
                <w:szCs w:val="17"/>
              </w:rPr>
            </w:pPr>
            <w:r w:rsidRPr="004A7B38">
              <w:rPr>
                <w:rFonts w:ascii="Century Gothic" w:hAnsi="Century Gothic"/>
                <w:sz w:val="17"/>
                <w:szCs w:val="17"/>
              </w:rPr>
              <w:t>Encuesta Nacional de Financiamiento de las Empresas (ENAFIN) 2018</w:t>
            </w:r>
          </w:p>
        </w:tc>
        <w:tc>
          <w:tcPr>
            <w:tcW w:w="2851" w:type="dxa"/>
            <w:shd w:val="clear" w:color="auto" w:fill="FFFFFF" w:themeFill="background1"/>
            <w:noWrap/>
            <w:vAlign w:val="center"/>
            <w:hideMark/>
          </w:tcPr>
          <w:p w:rsidR="00D05750" w:rsidRPr="004A7B38" w:rsidRDefault="00D05750" w:rsidP="00BB6BE5">
            <w:pPr>
              <w:spacing w:after="0" w:line="240" w:lineRule="auto"/>
              <w:jc w:val="center"/>
              <w:rPr>
                <w:rFonts w:ascii="Century Gothic" w:eastAsia="Times New Roman" w:hAnsi="Century Gothic" w:cs="Calibri"/>
                <w:sz w:val="17"/>
                <w:szCs w:val="17"/>
                <w:lang w:eastAsia="es-MX"/>
              </w:rPr>
            </w:pPr>
            <w:r w:rsidRPr="004A7B38">
              <w:rPr>
                <w:rFonts w:ascii="Century Gothic" w:eastAsia="Times New Roman" w:hAnsi="Century Gothic" w:cs="Calibri"/>
                <w:sz w:val="17"/>
                <w:szCs w:val="17"/>
                <w:lang w:eastAsia="es-MX"/>
              </w:rPr>
              <w:t>07/10/2019</w:t>
            </w:r>
          </w:p>
        </w:tc>
      </w:tr>
      <w:tr w:rsidR="00D05750" w:rsidRPr="00D05750" w:rsidTr="00216A17">
        <w:trPr>
          <w:trHeight w:val="340"/>
        </w:trPr>
        <w:tc>
          <w:tcPr>
            <w:tcW w:w="7225" w:type="dxa"/>
            <w:shd w:val="clear" w:color="auto" w:fill="C5EAFF"/>
            <w:noWrap/>
            <w:vAlign w:val="center"/>
            <w:hideMark/>
          </w:tcPr>
          <w:p w:rsidR="00D05750" w:rsidRPr="004A7B38" w:rsidRDefault="00D05750" w:rsidP="00BB6BE5">
            <w:pPr>
              <w:spacing w:after="0"/>
              <w:rPr>
                <w:rFonts w:ascii="Century Gothic" w:hAnsi="Century Gothic"/>
                <w:sz w:val="17"/>
                <w:szCs w:val="17"/>
              </w:rPr>
            </w:pPr>
            <w:r w:rsidRPr="004A7B38">
              <w:rPr>
                <w:rFonts w:ascii="Century Gothic" w:hAnsi="Century Gothic"/>
                <w:sz w:val="17"/>
                <w:szCs w:val="17"/>
              </w:rPr>
              <w:t>Encuesta Sobre Investigación y Desarrollo Tecnológico (ESIDET) 2017</w:t>
            </w:r>
          </w:p>
        </w:tc>
        <w:tc>
          <w:tcPr>
            <w:tcW w:w="2851" w:type="dxa"/>
            <w:shd w:val="clear" w:color="auto" w:fill="C5EAFF"/>
            <w:noWrap/>
            <w:vAlign w:val="center"/>
            <w:hideMark/>
          </w:tcPr>
          <w:p w:rsidR="00D05750" w:rsidRPr="004A7B38" w:rsidRDefault="00D05750" w:rsidP="00BB6BE5">
            <w:pPr>
              <w:spacing w:after="0" w:line="240" w:lineRule="auto"/>
              <w:jc w:val="center"/>
              <w:rPr>
                <w:rFonts w:ascii="Century Gothic" w:eastAsia="Times New Roman" w:hAnsi="Century Gothic" w:cs="Calibri"/>
                <w:sz w:val="17"/>
                <w:szCs w:val="17"/>
                <w:lang w:eastAsia="es-MX"/>
              </w:rPr>
            </w:pPr>
            <w:r w:rsidRPr="004A7B38">
              <w:rPr>
                <w:rFonts w:ascii="Century Gothic" w:eastAsia="Times New Roman" w:hAnsi="Century Gothic" w:cs="Calibri"/>
                <w:sz w:val="17"/>
                <w:szCs w:val="17"/>
                <w:lang w:eastAsia="es-MX"/>
              </w:rPr>
              <w:t>28/11/2019</w:t>
            </w:r>
          </w:p>
        </w:tc>
      </w:tr>
      <w:tr w:rsidR="00D05750" w:rsidRPr="00D05750" w:rsidTr="00216A17">
        <w:trPr>
          <w:trHeight w:val="340"/>
        </w:trPr>
        <w:tc>
          <w:tcPr>
            <w:tcW w:w="7225" w:type="dxa"/>
            <w:shd w:val="clear" w:color="auto" w:fill="FFFFFF" w:themeFill="background1"/>
            <w:noWrap/>
            <w:vAlign w:val="center"/>
            <w:hideMark/>
          </w:tcPr>
          <w:p w:rsidR="00D05750" w:rsidRPr="004A7B38" w:rsidRDefault="00D05750" w:rsidP="00BB6BE5">
            <w:pPr>
              <w:spacing w:after="0"/>
              <w:rPr>
                <w:rFonts w:ascii="Century Gothic" w:hAnsi="Century Gothic"/>
                <w:sz w:val="17"/>
                <w:szCs w:val="17"/>
              </w:rPr>
            </w:pPr>
            <w:r w:rsidRPr="004A7B38">
              <w:rPr>
                <w:rFonts w:ascii="Century Gothic" w:hAnsi="Century Gothic"/>
                <w:sz w:val="17"/>
                <w:szCs w:val="17"/>
              </w:rPr>
              <w:t>Encuesta Nacional de Salud y Nutrición (ENSANUT) 2018</w:t>
            </w:r>
          </w:p>
        </w:tc>
        <w:tc>
          <w:tcPr>
            <w:tcW w:w="2851" w:type="dxa"/>
            <w:shd w:val="clear" w:color="auto" w:fill="FFFFFF" w:themeFill="background1"/>
            <w:noWrap/>
            <w:vAlign w:val="center"/>
            <w:hideMark/>
          </w:tcPr>
          <w:p w:rsidR="00D05750" w:rsidRPr="004A7B38" w:rsidRDefault="00D05750" w:rsidP="00BB6BE5">
            <w:pPr>
              <w:spacing w:after="0" w:line="240" w:lineRule="auto"/>
              <w:jc w:val="center"/>
              <w:rPr>
                <w:rFonts w:ascii="Century Gothic" w:eastAsia="Times New Roman" w:hAnsi="Century Gothic" w:cs="Calibri"/>
                <w:sz w:val="17"/>
                <w:szCs w:val="17"/>
                <w:lang w:eastAsia="es-MX"/>
              </w:rPr>
            </w:pPr>
            <w:r w:rsidRPr="004A7B38">
              <w:rPr>
                <w:rFonts w:ascii="Century Gothic" w:eastAsia="Times New Roman" w:hAnsi="Century Gothic" w:cs="Calibri"/>
                <w:sz w:val="17"/>
                <w:szCs w:val="17"/>
                <w:lang w:eastAsia="es-MX"/>
              </w:rPr>
              <w:t>09/12/2019</w:t>
            </w:r>
          </w:p>
        </w:tc>
      </w:tr>
      <w:tr w:rsidR="0069608A" w:rsidRPr="00D05750" w:rsidTr="00216A17">
        <w:trPr>
          <w:trHeight w:val="340"/>
        </w:trPr>
        <w:tc>
          <w:tcPr>
            <w:tcW w:w="7225" w:type="dxa"/>
            <w:shd w:val="clear" w:color="auto" w:fill="C5EAFF"/>
            <w:noWrap/>
            <w:vAlign w:val="center"/>
          </w:tcPr>
          <w:p w:rsidR="0069608A" w:rsidRPr="004A7B38" w:rsidRDefault="0069608A" w:rsidP="00BB6BE5">
            <w:pPr>
              <w:spacing w:after="0"/>
              <w:rPr>
                <w:rFonts w:ascii="Century Gothic" w:hAnsi="Century Gothic"/>
                <w:sz w:val="17"/>
                <w:szCs w:val="17"/>
              </w:rPr>
            </w:pPr>
            <w:r w:rsidRPr="004A7B38">
              <w:rPr>
                <w:rFonts w:ascii="Century Gothic" w:eastAsia="Times New Roman" w:hAnsi="Century Gothic" w:cs="Calibri"/>
                <w:color w:val="000000"/>
                <w:sz w:val="17"/>
                <w:szCs w:val="17"/>
                <w:lang w:val="es-ES" w:eastAsia="es-MX"/>
              </w:rPr>
              <w:t>Encuesta Nacional sobre Disponibilidad y Uso de Tecnologías de la Información en los Hogares (ENDUTIH). 2018</w:t>
            </w:r>
          </w:p>
        </w:tc>
        <w:tc>
          <w:tcPr>
            <w:tcW w:w="2851" w:type="dxa"/>
            <w:shd w:val="clear" w:color="auto" w:fill="C5EAFF"/>
            <w:noWrap/>
            <w:vAlign w:val="center"/>
          </w:tcPr>
          <w:p w:rsidR="0069608A" w:rsidRPr="004A7B38" w:rsidRDefault="0069608A" w:rsidP="00BB6BE5">
            <w:pPr>
              <w:spacing w:after="0" w:line="240" w:lineRule="auto"/>
              <w:jc w:val="center"/>
              <w:rPr>
                <w:rFonts w:ascii="Century Gothic" w:eastAsia="Times New Roman" w:hAnsi="Century Gothic" w:cs="Calibri"/>
                <w:sz w:val="17"/>
                <w:szCs w:val="17"/>
                <w:lang w:eastAsia="es-MX"/>
              </w:rPr>
            </w:pPr>
            <w:r w:rsidRPr="004A7B38">
              <w:rPr>
                <w:rFonts w:ascii="Century Gothic" w:eastAsia="Times New Roman" w:hAnsi="Century Gothic" w:cs="Calibri"/>
                <w:sz w:val="17"/>
                <w:szCs w:val="17"/>
                <w:lang w:eastAsia="es-MX"/>
              </w:rPr>
              <w:t>02/04/2019</w:t>
            </w:r>
          </w:p>
        </w:tc>
      </w:tr>
    </w:tbl>
    <w:p w:rsidR="00D05750" w:rsidRPr="00D05750" w:rsidRDefault="00D05750" w:rsidP="00D05750">
      <w:pPr>
        <w:spacing w:before="120"/>
        <w:jc w:val="both"/>
        <w:rPr>
          <w:rFonts w:ascii="Century Gothic" w:hAnsi="Century Gothic" w:cstheme="minorHAnsi"/>
          <w:sz w:val="19"/>
          <w:szCs w:val="19"/>
        </w:rPr>
      </w:pPr>
    </w:p>
    <w:p w:rsidR="00D05750" w:rsidRDefault="00D05750" w:rsidP="00D05750">
      <w:pPr>
        <w:spacing w:before="120"/>
        <w:jc w:val="both"/>
        <w:rPr>
          <w:rFonts w:ascii="Century Gothic" w:hAnsi="Century Gothic"/>
          <w:sz w:val="19"/>
          <w:szCs w:val="19"/>
        </w:rPr>
      </w:pPr>
      <w:r w:rsidRPr="00D05750">
        <w:rPr>
          <w:rFonts w:ascii="Century Gothic" w:hAnsi="Century Gothic" w:cstheme="minorHAnsi"/>
          <w:sz w:val="19"/>
          <w:szCs w:val="19"/>
        </w:rPr>
        <w:t>Con base en la fuente de información antes descrita, de los 49</w:t>
      </w:r>
      <w:r w:rsidR="00284DBC">
        <w:rPr>
          <w:rFonts w:ascii="Century Gothic" w:hAnsi="Century Gothic" w:cstheme="minorHAnsi"/>
          <w:sz w:val="19"/>
          <w:szCs w:val="19"/>
        </w:rPr>
        <w:t>2</w:t>
      </w:r>
      <w:r w:rsidRPr="00D05750">
        <w:rPr>
          <w:rFonts w:ascii="Century Gothic" w:hAnsi="Century Gothic" w:cstheme="minorHAnsi"/>
          <w:sz w:val="19"/>
          <w:szCs w:val="19"/>
        </w:rPr>
        <w:t xml:space="preserve"> productos de resultados de los programas de información estadística y geográfica publicados en 2019 que s</w:t>
      </w:r>
      <w:r w:rsidR="00D5464C">
        <w:rPr>
          <w:rFonts w:ascii="Century Gothic" w:hAnsi="Century Gothic" w:cstheme="minorHAnsi"/>
          <w:sz w:val="19"/>
          <w:szCs w:val="19"/>
        </w:rPr>
        <w:t>í</w:t>
      </w:r>
      <w:r w:rsidRPr="00D05750">
        <w:rPr>
          <w:rFonts w:ascii="Century Gothic" w:hAnsi="Century Gothic" w:cstheme="minorHAnsi"/>
          <w:sz w:val="19"/>
          <w:szCs w:val="19"/>
        </w:rPr>
        <w:t xml:space="preserve"> estuvieron registrados previamente en el Calendario de difusión, </w:t>
      </w:r>
      <w:r w:rsidRPr="00D05750">
        <w:rPr>
          <w:rFonts w:ascii="Century Gothic" w:hAnsi="Century Gothic"/>
          <w:sz w:val="19"/>
          <w:szCs w:val="19"/>
        </w:rPr>
        <w:t>sólo se tiene registrado</w:t>
      </w:r>
      <w:r w:rsidRPr="00AA1496">
        <w:rPr>
          <w:rFonts w:ascii="Century Gothic" w:hAnsi="Century Gothic"/>
          <w:sz w:val="19"/>
          <w:szCs w:val="19"/>
        </w:rPr>
        <w:t xml:space="preserve"> un caso en donde la publicación no se realizó en el horario establecido previamente en el Calendario de difusión, como puede observarse en el siguiente cuadro:</w:t>
      </w:r>
    </w:p>
    <w:p w:rsidR="005E72CC" w:rsidRPr="00AA1496" w:rsidRDefault="005E72CC" w:rsidP="00D05750">
      <w:pPr>
        <w:spacing w:before="120"/>
        <w:jc w:val="both"/>
        <w:rPr>
          <w:rFonts w:ascii="Century Gothic" w:hAnsi="Century Gothic"/>
          <w:sz w:val="19"/>
          <w:szCs w:val="19"/>
        </w:rPr>
      </w:pPr>
    </w:p>
    <w:p w:rsidR="00D05750" w:rsidRPr="00AA1496" w:rsidRDefault="00EE5A9B" w:rsidP="00D05750">
      <w:pPr>
        <w:jc w:val="center"/>
        <w:rPr>
          <w:rFonts w:ascii="Century Gothic" w:hAnsi="Century Gothic" w:cstheme="majorHAnsi"/>
          <w:b/>
          <w:sz w:val="19"/>
          <w:szCs w:val="19"/>
        </w:rPr>
      </w:pPr>
      <w:r>
        <w:rPr>
          <w:rFonts w:ascii="Century Gothic" w:hAnsi="Century Gothic" w:cstheme="majorHAnsi"/>
          <w:b/>
          <w:sz w:val="19"/>
          <w:szCs w:val="19"/>
        </w:rPr>
        <w:t>A.3</w:t>
      </w:r>
      <w:r w:rsidR="00D05750" w:rsidRPr="00AA1496">
        <w:rPr>
          <w:rFonts w:ascii="Century Gothic" w:hAnsi="Century Gothic" w:cstheme="majorHAnsi"/>
          <w:b/>
          <w:sz w:val="19"/>
          <w:szCs w:val="19"/>
        </w:rPr>
        <w:t>.</w:t>
      </w:r>
      <w:r w:rsidR="00D05750">
        <w:rPr>
          <w:rFonts w:ascii="Century Gothic" w:hAnsi="Century Gothic" w:cstheme="majorHAnsi"/>
          <w:b/>
          <w:sz w:val="19"/>
          <w:szCs w:val="19"/>
        </w:rPr>
        <w:t>3</w:t>
      </w:r>
      <w:r w:rsidR="00D05750" w:rsidRPr="00AA1496">
        <w:rPr>
          <w:rFonts w:ascii="Century Gothic" w:hAnsi="Century Gothic" w:cstheme="majorHAnsi"/>
          <w:b/>
          <w:sz w:val="19"/>
          <w:szCs w:val="19"/>
        </w:rPr>
        <w:t>. Entregas de resultados de los programas de información incluidos en el Calendario de difusión 2019</w:t>
      </w:r>
      <w:r w:rsidR="00D05750" w:rsidRPr="00AA1496">
        <w:rPr>
          <w:rFonts w:ascii="Century Gothic" w:hAnsi="Century Gothic" w:cstheme="majorHAnsi"/>
          <w:b/>
          <w:sz w:val="19"/>
          <w:szCs w:val="19"/>
        </w:rPr>
        <w:br/>
        <w:t>que se publicaron después del horario establecido</w:t>
      </w:r>
    </w:p>
    <w:tbl>
      <w:tblPr>
        <w:tblW w:w="101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1559"/>
        <w:gridCol w:w="1985"/>
        <w:gridCol w:w="3650"/>
      </w:tblGrid>
      <w:tr w:rsidR="00D05750" w:rsidRPr="00AA1496" w:rsidTr="002F3DF1">
        <w:trPr>
          <w:trHeight w:val="20"/>
        </w:trPr>
        <w:tc>
          <w:tcPr>
            <w:tcW w:w="2972" w:type="dxa"/>
            <w:shd w:val="clear" w:color="auto" w:fill="1F3864" w:themeFill="accent5" w:themeFillShade="80"/>
            <w:vAlign w:val="center"/>
          </w:tcPr>
          <w:p w:rsidR="00D05750" w:rsidRPr="004A7B38" w:rsidRDefault="00D05750" w:rsidP="00AE5B84">
            <w:pPr>
              <w:spacing w:after="0"/>
              <w:rPr>
                <w:rFonts w:ascii="Century Gothic" w:hAnsi="Century Gothic" w:cs="Arial"/>
                <w:sz w:val="17"/>
                <w:szCs w:val="17"/>
              </w:rPr>
            </w:pPr>
            <w:r w:rsidRPr="004A7B38">
              <w:rPr>
                <w:rFonts w:ascii="Century Gothic" w:hAnsi="Century Gothic" w:cs="Arial"/>
                <w:sz w:val="17"/>
                <w:szCs w:val="17"/>
              </w:rPr>
              <w:t>Programa de Información</w:t>
            </w:r>
          </w:p>
        </w:tc>
        <w:tc>
          <w:tcPr>
            <w:tcW w:w="1559" w:type="dxa"/>
            <w:shd w:val="clear" w:color="auto" w:fill="1F3864" w:themeFill="accent5" w:themeFillShade="80"/>
            <w:vAlign w:val="center"/>
          </w:tcPr>
          <w:p w:rsidR="00D05750" w:rsidRPr="004A7B38" w:rsidRDefault="00D05750" w:rsidP="00AE5B84">
            <w:pPr>
              <w:spacing w:after="0"/>
              <w:jc w:val="center"/>
              <w:rPr>
                <w:rFonts w:ascii="Century Gothic" w:hAnsi="Century Gothic" w:cs="Arial"/>
                <w:sz w:val="17"/>
                <w:szCs w:val="17"/>
              </w:rPr>
            </w:pPr>
            <w:r w:rsidRPr="004A7B38">
              <w:rPr>
                <w:rFonts w:ascii="Century Gothic" w:hAnsi="Century Gothic" w:cs="Arial"/>
                <w:sz w:val="17"/>
                <w:szCs w:val="17"/>
              </w:rPr>
              <w:t>Fecha de publicación</w:t>
            </w:r>
          </w:p>
        </w:tc>
        <w:tc>
          <w:tcPr>
            <w:tcW w:w="1985" w:type="dxa"/>
            <w:shd w:val="clear" w:color="auto" w:fill="1F3864" w:themeFill="accent5" w:themeFillShade="80"/>
            <w:vAlign w:val="center"/>
          </w:tcPr>
          <w:p w:rsidR="00D05750" w:rsidRPr="004A7B38" w:rsidRDefault="00D05750" w:rsidP="00AE5B84">
            <w:pPr>
              <w:spacing w:after="0"/>
              <w:jc w:val="center"/>
              <w:rPr>
                <w:rFonts w:ascii="Century Gothic" w:hAnsi="Century Gothic" w:cs="Arial"/>
                <w:sz w:val="17"/>
                <w:szCs w:val="17"/>
              </w:rPr>
            </w:pPr>
            <w:r w:rsidRPr="004A7B38">
              <w:rPr>
                <w:rFonts w:ascii="Century Gothic" w:hAnsi="Century Gothic" w:cs="Arial"/>
                <w:sz w:val="17"/>
                <w:szCs w:val="17"/>
              </w:rPr>
              <w:t>Situación presentada</w:t>
            </w:r>
          </w:p>
        </w:tc>
        <w:tc>
          <w:tcPr>
            <w:tcW w:w="3650" w:type="dxa"/>
            <w:shd w:val="clear" w:color="auto" w:fill="1F3864" w:themeFill="accent5" w:themeFillShade="80"/>
            <w:noWrap/>
            <w:vAlign w:val="center"/>
          </w:tcPr>
          <w:p w:rsidR="00D05750" w:rsidRPr="004A7B38" w:rsidRDefault="00D05750" w:rsidP="00AE5B84">
            <w:pPr>
              <w:spacing w:after="0"/>
              <w:jc w:val="center"/>
              <w:rPr>
                <w:rFonts w:ascii="Century Gothic" w:hAnsi="Century Gothic" w:cs="Arial"/>
                <w:sz w:val="17"/>
                <w:szCs w:val="17"/>
              </w:rPr>
            </w:pPr>
            <w:r w:rsidRPr="004A7B38">
              <w:rPr>
                <w:rFonts w:ascii="Century Gothic" w:hAnsi="Century Gothic" w:cs="Arial"/>
                <w:sz w:val="17"/>
                <w:szCs w:val="17"/>
              </w:rPr>
              <w:t>Causa del desvío</w:t>
            </w:r>
          </w:p>
        </w:tc>
      </w:tr>
      <w:tr w:rsidR="00D05750" w:rsidRPr="00AA1496" w:rsidTr="002F3DF1">
        <w:trPr>
          <w:trHeight w:val="715"/>
        </w:trPr>
        <w:tc>
          <w:tcPr>
            <w:tcW w:w="2972" w:type="dxa"/>
            <w:shd w:val="clear" w:color="auto" w:fill="C5EAFF"/>
            <w:vAlign w:val="center"/>
            <w:hideMark/>
          </w:tcPr>
          <w:p w:rsidR="00D05750" w:rsidRPr="004A7B38" w:rsidRDefault="00D05750" w:rsidP="00AE5B84">
            <w:pPr>
              <w:spacing w:after="0"/>
              <w:rPr>
                <w:rFonts w:ascii="Century Gothic" w:hAnsi="Century Gothic" w:cs="Arial"/>
                <w:sz w:val="17"/>
                <w:szCs w:val="17"/>
              </w:rPr>
            </w:pPr>
            <w:r w:rsidRPr="004A7B38">
              <w:rPr>
                <w:rFonts w:ascii="Century Gothic" w:hAnsi="Century Gothic" w:cs="Arial"/>
                <w:sz w:val="17"/>
                <w:szCs w:val="17"/>
              </w:rPr>
              <w:t>Productividad total de los factores – Modelo KLEMS, 2017. Revisada. Año base 2013</w:t>
            </w:r>
          </w:p>
        </w:tc>
        <w:tc>
          <w:tcPr>
            <w:tcW w:w="1559" w:type="dxa"/>
            <w:shd w:val="clear" w:color="auto" w:fill="C5EAFF"/>
            <w:vAlign w:val="center"/>
            <w:hideMark/>
          </w:tcPr>
          <w:p w:rsidR="00D05750" w:rsidRPr="004A7B38" w:rsidRDefault="00D05750" w:rsidP="00AE5B84">
            <w:pPr>
              <w:spacing w:after="0"/>
              <w:jc w:val="center"/>
              <w:rPr>
                <w:rFonts w:ascii="Century Gothic" w:hAnsi="Century Gothic" w:cs="Arial"/>
                <w:sz w:val="17"/>
                <w:szCs w:val="17"/>
              </w:rPr>
            </w:pPr>
            <w:r w:rsidRPr="004A7B38">
              <w:rPr>
                <w:rFonts w:ascii="Century Gothic" w:hAnsi="Century Gothic" w:cs="Arial"/>
                <w:sz w:val="17"/>
                <w:szCs w:val="17"/>
              </w:rPr>
              <w:t xml:space="preserve">23 de agosto </w:t>
            </w:r>
          </w:p>
        </w:tc>
        <w:tc>
          <w:tcPr>
            <w:tcW w:w="1985" w:type="dxa"/>
            <w:shd w:val="clear" w:color="auto" w:fill="C5EAFF"/>
            <w:vAlign w:val="center"/>
            <w:hideMark/>
          </w:tcPr>
          <w:p w:rsidR="00D05750" w:rsidRPr="004A7B38" w:rsidRDefault="00D05750" w:rsidP="00AE5B84">
            <w:pPr>
              <w:spacing w:after="0"/>
              <w:jc w:val="center"/>
              <w:rPr>
                <w:rFonts w:ascii="Century Gothic" w:hAnsi="Century Gothic" w:cs="Arial"/>
                <w:sz w:val="17"/>
                <w:szCs w:val="17"/>
              </w:rPr>
            </w:pPr>
            <w:r w:rsidRPr="004A7B38">
              <w:rPr>
                <w:rFonts w:ascii="Century Gothic" w:hAnsi="Century Gothic" w:cs="Arial"/>
                <w:sz w:val="17"/>
                <w:szCs w:val="17"/>
              </w:rPr>
              <w:t xml:space="preserve">Publicación parcial de resultados </w:t>
            </w:r>
          </w:p>
        </w:tc>
        <w:tc>
          <w:tcPr>
            <w:tcW w:w="3650" w:type="dxa"/>
            <w:shd w:val="clear" w:color="auto" w:fill="C5EAFF"/>
            <w:noWrap/>
            <w:vAlign w:val="center"/>
            <w:hideMark/>
          </w:tcPr>
          <w:p w:rsidR="00D05750" w:rsidRDefault="00D05750" w:rsidP="00AE5B84">
            <w:pPr>
              <w:spacing w:after="0"/>
              <w:rPr>
                <w:rFonts w:ascii="Century Gothic" w:hAnsi="Century Gothic" w:cs="Arial"/>
                <w:sz w:val="17"/>
                <w:szCs w:val="17"/>
              </w:rPr>
            </w:pPr>
            <w:r w:rsidRPr="004A7B38">
              <w:rPr>
                <w:rFonts w:ascii="Century Gothic" w:hAnsi="Century Gothic" w:cs="Arial"/>
                <w:sz w:val="17"/>
                <w:szCs w:val="17"/>
              </w:rPr>
              <w:t xml:space="preserve">Los datos abiertos se publicaron a tiempo (06:00 a.m.); sin embargo, por problemas </w:t>
            </w:r>
            <w:proofErr w:type="spellStart"/>
            <w:r w:rsidRPr="004A7B38">
              <w:rPr>
                <w:rFonts w:ascii="Century Gothic" w:hAnsi="Century Gothic" w:cs="Arial"/>
                <w:sz w:val="17"/>
                <w:szCs w:val="17"/>
              </w:rPr>
              <w:t>técnicos</w:t>
            </w:r>
            <w:r w:rsidR="001B4844" w:rsidRPr="001B4844">
              <w:rPr>
                <w:rFonts w:ascii="Century Gothic" w:hAnsi="Century Gothic" w:cs="Arial"/>
                <w:sz w:val="17"/>
                <w:szCs w:val="17"/>
                <w:vertAlign w:val="superscript"/>
              </w:rPr>
              <w:t>a</w:t>
            </w:r>
            <w:proofErr w:type="spellEnd"/>
            <w:r w:rsidR="001B4844" w:rsidRPr="001B4844">
              <w:rPr>
                <w:rFonts w:ascii="Century Gothic" w:hAnsi="Century Gothic" w:cs="Arial"/>
                <w:sz w:val="17"/>
                <w:szCs w:val="17"/>
                <w:vertAlign w:val="superscript"/>
              </w:rPr>
              <w:t>/</w:t>
            </w:r>
            <w:r w:rsidRPr="004A7B38">
              <w:rPr>
                <w:rFonts w:ascii="Century Gothic" w:hAnsi="Century Gothic" w:cs="Arial"/>
                <w:sz w:val="17"/>
                <w:szCs w:val="17"/>
              </w:rPr>
              <w:t xml:space="preserve"> los tabulados se publicaron a las 08:26 a.m.</w:t>
            </w:r>
          </w:p>
          <w:p w:rsidR="001B4844" w:rsidRDefault="001B4844" w:rsidP="00AE5B84">
            <w:pPr>
              <w:spacing w:after="0"/>
              <w:rPr>
                <w:rFonts w:ascii="Century Gothic" w:hAnsi="Century Gothic" w:cs="Arial"/>
                <w:sz w:val="17"/>
                <w:szCs w:val="17"/>
              </w:rPr>
            </w:pPr>
          </w:p>
          <w:p w:rsidR="001B4844" w:rsidRPr="001B4844" w:rsidRDefault="001B4844" w:rsidP="001B4844">
            <w:pPr>
              <w:spacing w:after="0"/>
              <w:jc w:val="both"/>
              <w:rPr>
                <w:rFonts w:ascii="Century Gothic" w:hAnsi="Century Gothic" w:cs="Arial"/>
                <w:sz w:val="14"/>
                <w:szCs w:val="14"/>
              </w:rPr>
            </w:pPr>
            <w:r w:rsidRPr="001B4844">
              <w:rPr>
                <w:rFonts w:ascii="Century Gothic" w:hAnsi="Century Gothic" w:cs="Arial"/>
                <w:sz w:val="14"/>
                <w:szCs w:val="14"/>
                <w:vertAlign w:val="superscript"/>
              </w:rPr>
              <w:t>a/</w:t>
            </w:r>
            <w:r w:rsidRPr="001B4844">
              <w:rPr>
                <w:rFonts w:ascii="Century Gothic" w:hAnsi="Century Gothic" w:cs="Arial"/>
                <w:sz w:val="14"/>
                <w:szCs w:val="14"/>
              </w:rPr>
              <w:t xml:space="preserve"> </w:t>
            </w:r>
            <w:r>
              <w:rPr>
                <w:rFonts w:ascii="Century Gothic" w:hAnsi="Century Gothic" w:cs="Arial"/>
                <w:sz w:val="14"/>
                <w:szCs w:val="14"/>
              </w:rPr>
              <w:t xml:space="preserve">Al momento de realizar la réplica en producción, se presentó un error por espacio insuficiente en el </w:t>
            </w:r>
            <w:proofErr w:type="spellStart"/>
            <w:r w:rsidRPr="001B4844">
              <w:rPr>
                <w:rFonts w:ascii="Century Gothic" w:hAnsi="Century Gothic" w:cs="Arial"/>
                <w:i/>
                <w:sz w:val="14"/>
                <w:szCs w:val="14"/>
              </w:rPr>
              <w:t>Tablespace</w:t>
            </w:r>
            <w:proofErr w:type="spellEnd"/>
            <w:r>
              <w:rPr>
                <w:rFonts w:ascii="Century Gothic" w:hAnsi="Century Gothic" w:cs="Arial"/>
                <w:sz w:val="14"/>
                <w:szCs w:val="14"/>
              </w:rPr>
              <w:t xml:space="preserve"> de la base de datos </w:t>
            </w:r>
            <w:r w:rsidRPr="001B4844">
              <w:rPr>
                <w:rFonts w:ascii="Century Gothic" w:hAnsi="Century Gothic" w:cs="Arial"/>
                <w:sz w:val="14"/>
                <w:szCs w:val="14"/>
              </w:rPr>
              <w:t>que aloja el recurso de los Tabulados</w:t>
            </w:r>
            <w:r>
              <w:rPr>
                <w:rFonts w:ascii="Century Gothic" w:hAnsi="Century Gothic" w:cs="Arial"/>
                <w:sz w:val="14"/>
                <w:szCs w:val="14"/>
              </w:rPr>
              <w:t>.</w:t>
            </w:r>
          </w:p>
        </w:tc>
      </w:tr>
    </w:tbl>
    <w:p w:rsidR="00D05750" w:rsidRPr="00AA1496" w:rsidRDefault="00D05750" w:rsidP="00D05750">
      <w:pPr>
        <w:spacing w:before="120"/>
        <w:jc w:val="both"/>
        <w:rPr>
          <w:rFonts w:ascii="Century Gothic" w:hAnsi="Century Gothic" w:cstheme="minorHAnsi"/>
          <w:sz w:val="19"/>
          <w:szCs w:val="19"/>
        </w:rPr>
      </w:pPr>
      <w:r w:rsidRPr="00AA1496">
        <w:rPr>
          <w:rFonts w:ascii="Century Gothic" w:hAnsi="Century Gothic"/>
          <w:sz w:val="19"/>
          <w:szCs w:val="19"/>
        </w:rPr>
        <w:t>El</w:t>
      </w:r>
      <w:r w:rsidRPr="00AA1496">
        <w:rPr>
          <w:rFonts w:ascii="Century Gothic" w:hAnsi="Century Gothic" w:cstheme="minorHAnsi"/>
          <w:sz w:val="19"/>
          <w:szCs w:val="19"/>
        </w:rPr>
        <w:t xml:space="preserve"> </w:t>
      </w:r>
      <w:r w:rsidRPr="00AA1496">
        <w:rPr>
          <w:rFonts w:ascii="Century Gothic" w:hAnsi="Century Gothic" w:cstheme="minorHAnsi"/>
          <w:i/>
          <w:sz w:val="19"/>
          <w:szCs w:val="19"/>
        </w:rPr>
        <w:t>Porcentaje de proyectos estadísticos y geográficos incluidos en el Calendario de difusión de información estadística y geográfica y de Interés Nacional del INEGI que fueron publicados puntualmente</w:t>
      </w:r>
      <w:r w:rsidRPr="00AA1496">
        <w:rPr>
          <w:rFonts w:ascii="Century Gothic" w:hAnsi="Century Gothic" w:cstheme="minorHAnsi"/>
          <w:sz w:val="19"/>
          <w:szCs w:val="19"/>
        </w:rPr>
        <w:t xml:space="preserve"> fue del 99.8 %.</w:t>
      </w:r>
    </w:p>
    <w:p w:rsidR="00D05750" w:rsidRPr="00AA1496" w:rsidRDefault="00D05750" w:rsidP="00D05750">
      <w:pPr>
        <w:spacing w:before="120"/>
        <w:jc w:val="both"/>
        <w:rPr>
          <w:rFonts w:ascii="Century Gothic" w:hAnsi="Century Gothic" w:cstheme="minorHAnsi"/>
          <w:sz w:val="19"/>
          <w:szCs w:val="19"/>
        </w:rPr>
      </w:pPr>
      <w:r w:rsidRPr="00AA1496">
        <w:rPr>
          <w:rFonts w:ascii="Century Gothic" w:hAnsi="Century Gothic" w:cstheme="minorHAnsi"/>
          <w:sz w:val="19"/>
          <w:szCs w:val="19"/>
        </w:rPr>
        <w:t xml:space="preserve">A pesar del buen resultado del Indicador calculado con los insumos disponibles, es importante señalar que aún no se cuenta con un registro automatizado </w:t>
      </w:r>
      <w:r w:rsidRPr="00AA1496">
        <w:rPr>
          <w:rFonts w:ascii="Century Gothic" w:hAnsi="Century Gothic"/>
          <w:sz w:val="19"/>
          <w:szCs w:val="19"/>
        </w:rPr>
        <w:t>de la fecha y hora con que se publican las diferentes entregas de resultados de los programas de información</w:t>
      </w:r>
      <w:r w:rsidRPr="00AA1496">
        <w:rPr>
          <w:rFonts w:ascii="Century Gothic" w:hAnsi="Century Gothic" w:cstheme="minorHAnsi"/>
          <w:sz w:val="19"/>
          <w:szCs w:val="19"/>
        </w:rPr>
        <w:t xml:space="preserve">. Por otro lado, no se tiene definido para cada programa o producto cuáles modalidades de presentación de resultados son las que están comprometidas en el calendario para su publicación en cada fecha registrada.  </w:t>
      </w:r>
    </w:p>
    <w:bookmarkEnd w:id="11"/>
    <w:p w:rsidR="00AA3FEC" w:rsidRDefault="00AA3FEC">
      <w:pPr>
        <w:rPr>
          <w:rFonts w:ascii="Century Gothic" w:hAnsi="Century Gothic"/>
        </w:rPr>
      </w:pPr>
    </w:p>
    <w:p w:rsidR="00AA3FEC" w:rsidRDefault="00AA3FEC">
      <w:pPr>
        <w:rPr>
          <w:rFonts w:ascii="Century Gothic" w:hAnsi="Century Gothic"/>
        </w:rPr>
      </w:pPr>
      <w:r>
        <w:rPr>
          <w:rFonts w:ascii="Century Gothic" w:hAnsi="Century Gothic"/>
        </w:rPr>
        <w:br w:type="page"/>
      </w:r>
    </w:p>
    <w:tbl>
      <w:tblPr>
        <w:tblW w:w="12333" w:type="dxa"/>
        <w:tblInd w:w="-1139" w:type="dxa"/>
        <w:tblLook w:val="04A0" w:firstRow="1" w:lastRow="0" w:firstColumn="1" w:lastColumn="0" w:noHBand="0" w:noVBand="1"/>
      </w:tblPr>
      <w:tblGrid>
        <w:gridCol w:w="4820"/>
        <w:gridCol w:w="7513"/>
      </w:tblGrid>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4"/>
                <w:szCs w:val="32"/>
              </w:rPr>
            </w:pPr>
          </w:p>
        </w:tc>
        <w:tc>
          <w:tcPr>
            <w:tcW w:w="7513" w:type="dxa"/>
            <w:shd w:val="clear" w:color="auto" w:fill="0079BF"/>
          </w:tcPr>
          <w:p w:rsidR="00B93248" w:rsidRPr="0022505B" w:rsidRDefault="00B93248" w:rsidP="008D0572">
            <w:pPr>
              <w:rPr>
                <w:rFonts w:cstheme="minorHAnsi"/>
                <w:color w:val="FFFFFF" w:themeColor="background1"/>
                <w:sz w:val="14"/>
                <w:szCs w:val="32"/>
              </w:rPr>
            </w:pPr>
          </w:p>
        </w:tc>
      </w:tr>
      <w:tr w:rsidR="00B93248" w:rsidRPr="0022505B" w:rsidTr="008D0572">
        <w:trPr>
          <w:trHeight w:val="201"/>
        </w:trPr>
        <w:tc>
          <w:tcPr>
            <w:tcW w:w="12333" w:type="dxa"/>
            <w:gridSpan w:val="2"/>
            <w:shd w:val="clear" w:color="auto" w:fill="auto"/>
          </w:tcPr>
          <w:p w:rsidR="00B93248" w:rsidRPr="00613C02" w:rsidRDefault="00B93248" w:rsidP="00882081">
            <w:pPr>
              <w:spacing w:after="0"/>
              <w:jc w:val="center"/>
              <w:rPr>
                <w:rFonts w:cstheme="minorHAnsi"/>
                <w:color w:val="000000" w:themeColor="text1"/>
                <w:sz w:val="32"/>
                <w:szCs w:val="32"/>
              </w:rPr>
            </w:pPr>
            <w:r>
              <w:rPr>
                <w:rFonts w:cstheme="minorHAnsi"/>
                <w:color w:val="000000" w:themeColor="text1"/>
                <w:sz w:val="32"/>
                <w:szCs w:val="32"/>
              </w:rPr>
              <w:t xml:space="preserve">ANEXO </w:t>
            </w:r>
            <w:r w:rsidR="00C26A59">
              <w:rPr>
                <w:rFonts w:cstheme="minorHAnsi"/>
                <w:color w:val="000000" w:themeColor="text1"/>
                <w:sz w:val="32"/>
                <w:szCs w:val="32"/>
              </w:rPr>
              <w:t>4</w:t>
            </w:r>
          </w:p>
        </w:tc>
      </w:tr>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2"/>
                <w:szCs w:val="32"/>
              </w:rPr>
            </w:pPr>
          </w:p>
        </w:tc>
        <w:tc>
          <w:tcPr>
            <w:tcW w:w="7513" w:type="dxa"/>
            <w:shd w:val="clear" w:color="auto" w:fill="0079BF"/>
          </w:tcPr>
          <w:p w:rsidR="00B93248" w:rsidRPr="0022505B" w:rsidRDefault="00B93248" w:rsidP="008D0572">
            <w:pPr>
              <w:rPr>
                <w:rFonts w:cstheme="minorHAnsi"/>
                <w:color w:val="FFFFFF" w:themeColor="background1"/>
                <w:sz w:val="12"/>
                <w:szCs w:val="32"/>
              </w:rPr>
            </w:pPr>
          </w:p>
        </w:tc>
      </w:tr>
    </w:tbl>
    <w:p w:rsidR="006E2A56" w:rsidRPr="00124E04" w:rsidRDefault="006E2A56" w:rsidP="000E4899">
      <w:pPr>
        <w:spacing w:after="0"/>
        <w:rPr>
          <w:rFonts w:ascii="Century Gothic" w:hAnsi="Century Gothic"/>
          <w:b/>
          <w:sz w:val="18"/>
        </w:rPr>
      </w:pPr>
    </w:p>
    <w:p w:rsidR="003704AF" w:rsidRPr="00252CA7" w:rsidRDefault="00252CA7" w:rsidP="00124E04">
      <w:pPr>
        <w:pStyle w:val="Ttulo1"/>
        <w:spacing w:before="0"/>
        <w:rPr>
          <w:rFonts w:ascii="Century Gothic" w:eastAsiaTheme="minorHAnsi" w:hAnsi="Century Gothic" w:cstheme="minorBidi"/>
          <w:b/>
          <w:color w:val="auto"/>
          <w:sz w:val="22"/>
          <w:szCs w:val="22"/>
        </w:rPr>
      </w:pPr>
      <w:bookmarkStart w:id="15" w:name="_Toc34310024"/>
      <w:r w:rsidRPr="00252CA7">
        <w:rPr>
          <w:rFonts w:ascii="Century Gothic" w:eastAsiaTheme="minorHAnsi" w:hAnsi="Century Gothic" w:cstheme="minorBidi"/>
          <w:b/>
          <w:color w:val="auto"/>
          <w:sz w:val="22"/>
          <w:szCs w:val="22"/>
        </w:rPr>
        <w:t xml:space="preserve">Anexo </w:t>
      </w:r>
      <w:r w:rsidR="00C26A59">
        <w:rPr>
          <w:rFonts w:ascii="Century Gothic" w:eastAsiaTheme="minorHAnsi" w:hAnsi="Century Gothic" w:cstheme="minorBidi"/>
          <w:b/>
          <w:color w:val="auto"/>
          <w:sz w:val="22"/>
          <w:szCs w:val="22"/>
        </w:rPr>
        <w:t>4</w:t>
      </w:r>
      <w:r w:rsidR="00A1780B" w:rsidRPr="00252CA7">
        <w:rPr>
          <w:rFonts w:ascii="Century Gothic" w:eastAsiaTheme="minorHAnsi" w:hAnsi="Century Gothic" w:cstheme="minorBidi"/>
          <w:b/>
          <w:color w:val="auto"/>
          <w:sz w:val="22"/>
          <w:szCs w:val="22"/>
        </w:rPr>
        <w:t xml:space="preserve">: </w:t>
      </w:r>
      <w:r w:rsidR="003704AF" w:rsidRPr="00252CA7">
        <w:rPr>
          <w:rFonts w:ascii="Century Gothic" w:eastAsiaTheme="minorHAnsi" w:hAnsi="Century Gothic" w:cstheme="minorBidi"/>
          <w:b/>
          <w:color w:val="auto"/>
          <w:sz w:val="22"/>
          <w:szCs w:val="22"/>
        </w:rPr>
        <w:t>Indicador de Accesibilidad</w:t>
      </w:r>
      <w:bookmarkEnd w:id="15"/>
    </w:p>
    <w:p w:rsidR="00C717D4" w:rsidRPr="00D10FAA" w:rsidRDefault="003704AF" w:rsidP="003704AF">
      <w:pPr>
        <w:spacing w:before="240"/>
        <w:jc w:val="both"/>
        <w:rPr>
          <w:rFonts w:ascii="Century Gothic" w:hAnsi="Century Gothic"/>
          <w:sz w:val="19"/>
          <w:szCs w:val="19"/>
        </w:rPr>
      </w:pPr>
      <w:r w:rsidRPr="00D10FAA">
        <w:rPr>
          <w:rFonts w:ascii="Century Gothic" w:hAnsi="Century Gothic"/>
          <w:sz w:val="19"/>
          <w:szCs w:val="19"/>
        </w:rPr>
        <w:t>Conforme con la Política de Calidad Institucional, la accesibilidad consiste en presentar la información en forma clara y comprensible, garantizando el acceso sin más límite que el que imponga el interés público y los principios de confidencialidad y reserva. Una de las directrices para este principio es facilitar el uso e interpretación de la información, a través de la publicación de los metadatos correspondientes. Actualmente, existen tres normas técnicas para la publicación de metadatos en el INEGI, todas ellas basadas en estándares internacionales.</w:t>
      </w:r>
    </w:p>
    <w:p w:rsidR="00E95F03" w:rsidRPr="00E7728F" w:rsidRDefault="00E95F03" w:rsidP="00E95F03">
      <w:pPr>
        <w:jc w:val="center"/>
        <w:rPr>
          <w:rFonts w:ascii="Century Gothic" w:hAnsi="Century Gothic" w:cstheme="majorHAnsi"/>
          <w:b/>
          <w:sz w:val="19"/>
          <w:szCs w:val="19"/>
        </w:rPr>
      </w:pPr>
      <w:r>
        <w:rPr>
          <w:rFonts w:ascii="Century Gothic" w:hAnsi="Century Gothic" w:cstheme="majorHAnsi"/>
          <w:b/>
          <w:sz w:val="19"/>
          <w:szCs w:val="19"/>
        </w:rPr>
        <w:t>A.</w:t>
      </w:r>
      <w:r w:rsidR="00C26A59">
        <w:rPr>
          <w:rFonts w:ascii="Century Gothic" w:hAnsi="Century Gothic" w:cstheme="majorHAnsi"/>
          <w:b/>
          <w:sz w:val="19"/>
          <w:szCs w:val="19"/>
        </w:rPr>
        <w:t>4</w:t>
      </w:r>
      <w:r>
        <w:rPr>
          <w:rFonts w:ascii="Century Gothic" w:hAnsi="Century Gothic" w:cstheme="majorHAnsi"/>
          <w:b/>
          <w:sz w:val="19"/>
          <w:szCs w:val="19"/>
        </w:rPr>
        <w:t>.1</w:t>
      </w:r>
      <w:r w:rsidRPr="00E7728F">
        <w:rPr>
          <w:rFonts w:ascii="Century Gothic" w:hAnsi="Century Gothic" w:cstheme="majorHAnsi"/>
          <w:b/>
          <w:sz w:val="19"/>
          <w:szCs w:val="19"/>
        </w:rPr>
        <w:t>. Estándares internacionales aplicados en el INEGI para la documentación de metadatos</w:t>
      </w:r>
    </w:p>
    <w:tbl>
      <w:tblPr>
        <w:tblW w:w="1006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823"/>
        <w:gridCol w:w="2268"/>
        <w:gridCol w:w="3975"/>
      </w:tblGrid>
      <w:tr w:rsidR="00E95F03" w:rsidRPr="001F0FED" w:rsidTr="005223D0">
        <w:trPr>
          <w:trHeight w:val="632"/>
        </w:trPr>
        <w:tc>
          <w:tcPr>
            <w:tcW w:w="3823" w:type="dxa"/>
            <w:shd w:val="clear" w:color="auto" w:fill="1F3864" w:themeFill="accent5" w:themeFillShade="80"/>
            <w:tcMar>
              <w:top w:w="15" w:type="dxa"/>
              <w:left w:w="54" w:type="dxa"/>
              <w:bottom w:w="0" w:type="dxa"/>
              <w:right w:w="54" w:type="dxa"/>
            </w:tcMar>
            <w:vAlign w:val="center"/>
            <w:hideMark/>
          </w:tcPr>
          <w:p w:rsidR="00E95F03" w:rsidRPr="004A7B38" w:rsidRDefault="00E95F03" w:rsidP="00E95F03">
            <w:pPr>
              <w:spacing w:before="240" w:line="252" w:lineRule="auto"/>
              <w:jc w:val="center"/>
              <w:rPr>
                <w:rFonts w:ascii="Century Gothic" w:eastAsia="Times New Roman" w:hAnsi="Century Gothic" w:cs="Arial"/>
                <w:sz w:val="17"/>
                <w:szCs w:val="17"/>
                <w:lang w:eastAsia="es-MX"/>
              </w:rPr>
            </w:pPr>
            <w:r w:rsidRPr="004A7B38">
              <w:rPr>
                <w:rFonts w:ascii="Century Gothic" w:eastAsia="Helvetica" w:hAnsi="Century Gothic" w:cs="Helvetica"/>
                <w:b/>
                <w:bCs/>
                <w:color w:val="F2F2F2" w:themeColor="background1" w:themeShade="F2"/>
                <w:position w:val="1"/>
                <w:sz w:val="17"/>
                <w:szCs w:val="17"/>
                <w:lang w:eastAsia="es-MX"/>
              </w:rPr>
              <w:t>Norma o especificación</w:t>
            </w:r>
          </w:p>
        </w:tc>
        <w:tc>
          <w:tcPr>
            <w:tcW w:w="2268" w:type="dxa"/>
            <w:shd w:val="clear" w:color="auto" w:fill="1F3864" w:themeFill="accent5" w:themeFillShade="80"/>
            <w:tcMar>
              <w:top w:w="15" w:type="dxa"/>
              <w:left w:w="54" w:type="dxa"/>
              <w:bottom w:w="0" w:type="dxa"/>
              <w:right w:w="54" w:type="dxa"/>
            </w:tcMar>
            <w:vAlign w:val="center"/>
            <w:hideMark/>
          </w:tcPr>
          <w:p w:rsidR="00E95F03" w:rsidRPr="004A7B38" w:rsidRDefault="00E95F03" w:rsidP="00E95F03">
            <w:pPr>
              <w:spacing w:before="240" w:line="252" w:lineRule="auto"/>
              <w:jc w:val="center"/>
              <w:rPr>
                <w:rFonts w:ascii="Century Gothic" w:eastAsia="Times New Roman" w:hAnsi="Century Gothic" w:cs="Arial"/>
                <w:sz w:val="17"/>
                <w:szCs w:val="17"/>
                <w:lang w:eastAsia="es-MX"/>
              </w:rPr>
            </w:pPr>
            <w:r w:rsidRPr="004A7B38">
              <w:rPr>
                <w:rFonts w:ascii="Century Gothic" w:eastAsia="Helvetica" w:hAnsi="Century Gothic" w:cs="Helvetica"/>
                <w:b/>
                <w:bCs/>
                <w:color w:val="F2F2F2" w:themeColor="background1" w:themeShade="F2"/>
                <w:position w:val="1"/>
                <w:sz w:val="17"/>
                <w:szCs w:val="17"/>
                <w:lang w:eastAsia="es-MX"/>
              </w:rPr>
              <w:t>Estándar internacional</w:t>
            </w:r>
          </w:p>
        </w:tc>
        <w:tc>
          <w:tcPr>
            <w:tcW w:w="3975" w:type="dxa"/>
            <w:shd w:val="clear" w:color="auto" w:fill="1F3864" w:themeFill="accent5" w:themeFillShade="80"/>
            <w:tcMar>
              <w:top w:w="15" w:type="dxa"/>
              <w:left w:w="54" w:type="dxa"/>
              <w:bottom w:w="0" w:type="dxa"/>
              <w:right w:w="54" w:type="dxa"/>
            </w:tcMar>
            <w:vAlign w:val="center"/>
            <w:hideMark/>
          </w:tcPr>
          <w:p w:rsidR="00E95F03" w:rsidRPr="004A7B38" w:rsidRDefault="00E95F03" w:rsidP="00E95F03">
            <w:pPr>
              <w:spacing w:before="240" w:line="252" w:lineRule="auto"/>
              <w:jc w:val="center"/>
              <w:rPr>
                <w:rFonts w:ascii="Century Gothic" w:eastAsia="Times New Roman" w:hAnsi="Century Gothic" w:cs="Arial"/>
                <w:sz w:val="17"/>
                <w:szCs w:val="17"/>
                <w:lang w:eastAsia="es-MX"/>
              </w:rPr>
            </w:pPr>
            <w:r w:rsidRPr="004A7B38">
              <w:rPr>
                <w:rFonts w:ascii="Century Gothic" w:eastAsia="Helvetica" w:hAnsi="Century Gothic" w:cs="Helvetica"/>
                <w:b/>
                <w:bCs/>
                <w:color w:val="F2F2F2" w:themeColor="background1" w:themeShade="F2"/>
                <w:position w:val="1"/>
                <w:sz w:val="17"/>
                <w:szCs w:val="17"/>
                <w:lang w:eastAsia="es-MX"/>
              </w:rPr>
              <w:t>Ámbito de aplicación / Tipo de metadatos</w:t>
            </w:r>
          </w:p>
        </w:tc>
      </w:tr>
      <w:tr w:rsidR="00E95F03" w:rsidRPr="001F0FED" w:rsidTr="005223D0">
        <w:trPr>
          <w:trHeight w:val="933"/>
        </w:trPr>
        <w:tc>
          <w:tcPr>
            <w:tcW w:w="3823" w:type="dxa"/>
            <w:shd w:val="clear" w:color="auto" w:fill="C5EAFF"/>
            <w:tcMar>
              <w:top w:w="15" w:type="dxa"/>
              <w:left w:w="54" w:type="dxa"/>
              <w:bottom w:w="0" w:type="dxa"/>
              <w:right w:w="54" w:type="dxa"/>
            </w:tcMar>
            <w:vAlign w:val="center"/>
            <w:hideMark/>
          </w:tcPr>
          <w:p w:rsidR="00E95F03" w:rsidRPr="004A7B38" w:rsidRDefault="00E95F03" w:rsidP="00D23647">
            <w:pPr>
              <w:spacing w:after="0"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Norma técnica para la elaboración de metadatos para proyectos de generación de información estadística básica y de los componentes estadísticos derivados de proyectos geográficos.</w:t>
            </w:r>
          </w:p>
        </w:tc>
        <w:tc>
          <w:tcPr>
            <w:tcW w:w="2268" w:type="dxa"/>
            <w:shd w:val="clear" w:color="auto" w:fill="C5EAFF"/>
            <w:tcMar>
              <w:top w:w="15" w:type="dxa"/>
              <w:left w:w="54" w:type="dxa"/>
              <w:bottom w:w="0" w:type="dxa"/>
              <w:right w:w="54" w:type="dxa"/>
            </w:tcMar>
            <w:vAlign w:val="center"/>
            <w:hideMark/>
          </w:tcPr>
          <w:p w:rsidR="00E95F03" w:rsidRPr="004A7B38" w:rsidRDefault="00E95F03" w:rsidP="00E95F03">
            <w:pPr>
              <w:spacing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Iniciativa de Documentación de Datos (DDI).</w:t>
            </w:r>
          </w:p>
        </w:tc>
        <w:tc>
          <w:tcPr>
            <w:tcW w:w="3975" w:type="dxa"/>
            <w:shd w:val="clear" w:color="auto" w:fill="C5EAFF"/>
            <w:tcMar>
              <w:top w:w="15" w:type="dxa"/>
              <w:left w:w="54" w:type="dxa"/>
              <w:bottom w:w="0" w:type="dxa"/>
              <w:right w:w="54" w:type="dxa"/>
            </w:tcMar>
            <w:vAlign w:val="center"/>
            <w:hideMark/>
          </w:tcPr>
          <w:p w:rsidR="00E95F03" w:rsidRPr="004A7B38" w:rsidRDefault="00E95F03" w:rsidP="00E8199C">
            <w:pPr>
              <w:spacing w:after="0"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Programas de información de encuestas, registros y censos.</w:t>
            </w:r>
          </w:p>
          <w:p w:rsidR="00E95F03" w:rsidRPr="004A7B38" w:rsidRDefault="00E95F03" w:rsidP="00E95F03">
            <w:pPr>
              <w:numPr>
                <w:ilvl w:val="0"/>
                <w:numId w:val="32"/>
              </w:numPr>
              <w:spacing w:line="252" w:lineRule="auto"/>
              <w:ind w:left="361" w:hanging="283"/>
              <w:contextualSpacing/>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Metadatos referenciales (programas)</w:t>
            </w:r>
          </w:p>
          <w:p w:rsidR="00E95F03" w:rsidRPr="004A7B38" w:rsidRDefault="00E95F03" w:rsidP="00E95F03">
            <w:pPr>
              <w:numPr>
                <w:ilvl w:val="0"/>
                <w:numId w:val="32"/>
              </w:numPr>
              <w:spacing w:line="252" w:lineRule="auto"/>
              <w:ind w:left="361" w:hanging="283"/>
              <w:contextualSpacing/>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Metadatos estructurales (microdatos)</w:t>
            </w:r>
          </w:p>
        </w:tc>
      </w:tr>
      <w:tr w:rsidR="00E95F03" w:rsidRPr="001F0FED" w:rsidTr="005223D0">
        <w:trPr>
          <w:trHeight w:val="1163"/>
        </w:trPr>
        <w:tc>
          <w:tcPr>
            <w:tcW w:w="3823" w:type="dxa"/>
            <w:shd w:val="clear" w:color="auto" w:fill="FFFFFF" w:themeFill="background1"/>
            <w:tcMar>
              <w:top w:w="15" w:type="dxa"/>
              <w:left w:w="54" w:type="dxa"/>
              <w:bottom w:w="0" w:type="dxa"/>
              <w:right w:w="54" w:type="dxa"/>
            </w:tcMar>
            <w:vAlign w:val="center"/>
            <w:hideMark/>
          </w:tcPr>
          <w:p w:rsidR="00E95F03" w:rsidRPr="004A7B38" w:rsidRDefault="00E95F03" w:rsidP="00E95F03">
            <w:pPr>
              <w:spacing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Norma técnica para la elaboración de metadatos geográficos.</w:t>
            </w:r>
          </w:p>
        </w:tc>
        <w:tc>
          <w:tcPr>
            <w:tcW w:w="2268" w:type="dxa"/>
            <w:shd w:val="clear" w:color="auto" w:fill="FFFFFF" w:themeFill="background1"/>
            <w:tcMar>
              <w:top w:w="15" w:type="dxa"/>
              <w:left w:w="54" w:type="dxa"/>
              <w:bottom w:w="0" w:type="dxa"/>
              <w:right w:w="54" w:type="dxa"/>
            </w:tcMar>
            <w:vAlign w:val="center"/>
            <w:hideMark/>
          </w:tcPr>
          <w:p w:rsidR="00E95F03" w:rsidRPr="004A7B38" w:rsidRDefault="00E95F03" w:rsidP="00E95F03">
            <w:pPr>
              <w:spacing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Sistema de referencia del estándar del FGDC-STD-001-1998;</w:t>
            </w:r>
          </w:p>
          <w:p w:rsidR="00E95F03" w:rsidRPr="004A7B38" w:rsidRDefault="00E95F03" w:rsidP="00E95F03">
            <w:pPr>
              <w:spacing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Estándar ISO 19115:2003.</w:t>
            </w:r>
          </w:p>
        </w:tc>
        <w:tc>
          <w:tcPr>
            <w:tcW w:w="3975" w:type="dxa"/>
            <w:shd w:val="clear" w:color="auto" w:fill="FFFFFF" w:themeFill="background1"/>
            <w:tcMar>
              <w:top w:w="15" w:type="dxa"/>
              <w:left w:w="54" w:type="dxa"/>
              <w:bottom w:w="0" w:type="dxa"/>
              <w:right w:w="54" w:type="dxa"/>
            </w:tcMar>
            <w:vAlign w:val="center"/>
            <w:hideMark/>
          </w:tcPr>
          <w:p w:rsidR="00E95F03" w:rsidRPr="004A7B38" w:rsidRDefault="00E95F03" w:rsidP="00E8199C">
            <w:pPr>
              <w:spacing w:after="0"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Grupos de datos geográficos.</w:t>
            </w:r>
          </w:p>
          <w:p w:rsidR="00E95F03" w:rsidRPr="004A7B38" w:rsidRDefault="00E95F03" w:rsidP="00E95F03">
            <w:pPr>
              <w:numPr>
                <w:ilvl w:val="0"/>
                <w:numId w:val="33"/>
              </w:numPr>
              <w:spacing w:line="252" w:lineRule="auto"/>
              <w:ind w:left="361" w:hanging="283"/>
              <w:contextualSpacing/>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Metadatos referenciales (programas)</w:t>
            </w:r>
          </w:p>
          <w:p w:rsidR="00E95F03" w:rsidRPr="004A7B38" w:rsidRDefault="00E95F03" w:rsidP="00E95F03">
            <w:pPr>
              <w:numPr>
                <w:ilvl w:val="0"/>
                <w:numId w:val="33"/>
              </w:numPr>
              <w:spacing w:line="252" w:lineRule="auto"/>
              <w:ind w:left="361" w:hanging="283"/>
              <w:contextualSpacing/>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Metadatos estructurales (Conjuntos de Datos Espaciales)</w:t>
            </w:r>
          </w:p>
        </w:tc>
      </w:tr>
      <w:tr w:rsidR="00E95F03" w:rsidRPr="001F0FED" w:rsidTr="005223D0">
        <w:trPr>
          <w:trHeight w:val="791"/>
        </w:trPr>
        <w:tc>
          <w:tcPr>
            <w:tcW w:w="3823" w:type="dxa"/>
            <w:shd w:val="clear" w:color="auto" w:fill="C5EAFF"/>
            <w:tcMar>
              <w:top w:w="15" w:type="dxa"/>
              <w:left w:w="54" w:type="dxa"/>
              <w:bottom w:w="0" w:type="dxa"/>
              <w:right w:w="54" w:type="dxa"/>
            </w:tcMar>
            <w:vAlign w:val="center"/>
            <w:hideMark/>
          </w:tcPr>
          <w:p w:rsidR="00E95F03" w:rsidRPr="004A7B38" w:rsidRDefault="00E95F03" w:rsidP="00D23647">
            <w:pPr>
              <w:spacing w:after="0"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 xml:space="preserve">Norma técnica para el acceso y publicación de datos abiertos de la información estadística y geográfica de </w:t>
            </w:r>
            <w:r w:rsidR="005223D0" w:rsidRPr="004A7B38">
              <w:rPr>
                <w:rFonts w:ascii="Century Gothic" w:eastAsia="Helvetica" w:hAnsi="Century Gothic" w:cs="Helvetica"/>
                <w:bCs/>
                <w:color w:val="000000" w:themeColor="text1"/>
                <w:position w:val="1"/>
                <w:sz w:val="17"/>
                <w:szCs w:val="17"/>
                <w:lang w:eastAsia="es-MX"/>
              </w:rPr>
              <w:t>Interés Nacional</w:t>
            </w:r>
            <w:r w:rsidRPr="004A7B38">
              <w:rPr>
                <w:rFonts w:ascii="Century Gothic" w:eastAsia="Helvetica" w:hAnsi="Century Gothic" w:cs="Helvetica"/>
                <w:bCs/>
                <w:color w:val="000000" w:themeColor="text1"/>
                <w:position w:val="1"/>
                <w:sz w:val="17"/>
                <w:szCs w:val="17"/>
                <w:lang w:eastAsia="es-MX"/>
              </w:rPr>
              <w:t>.</w:t>
            </w:r>
          </w:p>
        </w:tc>
        <w:tc>
          <w:tcPr>
            <w:tcW w:w="2268" w:type="dxa"/>
            <w:shd w:val="clear" w:color="auto" w:fill="C5EAFF"/>
            <w:tcMar>
              <w:top w:w="15" w:type="dxa"/>
              <w:left w:w="54" w:type="dxa"/>
              <w:bottom w:w="0" w:type="dxa"/>
              <w:right w:w="54" w:type="dxa"/>
            </w:tcMar>
            <w:vAlign w:val="center"/>
            <w:hideMark/>
          </w:tcPr>
          <w:p w:rsidR="00E95F03" w:rsidRPr="004A7B38" w:rsidRDefault="00E95F03" w:rsidP="00E95F03">
            <w:pPr>
              <w:spacing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 xml:space="preserve">Data </w:t>
            </w:r>
            <w:proofErr w:type="spellStart"/>
            <w:r w:rsidRPr="004A7B38">
              <w:rPr>
                <w:rFonts w:ascii="Century Gothic" w:eastAsia="Helvetica" w:hAnsi="Century Gothic" w:cs="Helvetica"/>
                <w:bCs/>
                <w:color w:val="000000" w:themeColor="text1"/>
                <w:position w:val="1"/>
                <w:sz w:val="17"/>
                <w:szCs w:val="17"/>
                <w:lang w:eastAsia="es-MX"/>
              </w:rPr>
              <w:t>Catalog</w:t>
            </w:r>
            <w:proofErr w:type="spellEnd"/>
            <w:r w:rsidRPr="004A7B38">
              <w:rPr>
                <w:rFonts w:ascii="Century Gothic" w:eastAsia="Helvetica" w:hAnsi="Century Gothic" w:cs="Helvetica"/>
                <w:bCs/>
                <w:color w:val="000000" w:themeColor="text1"/>
                <w:position w:val="1"/>
                <w:sz w:val="17"/>
                <w:szCs w:val="17"/>
                <w:lang w:eastAsia="es-MX"/>
              </w:rPr>
              <w:t xml:space="preserve"> </w:t>
            </w:r>
            <w:proofErr w:type="spellStart"/>
            <w:r w:rsidRPr="004A7B38">
              <w:rPr>
                <w:rFonts w:ascii="Century Gothic" w:eastAsia="Helvetica" w:hAnsi="Century Gothic" w:cs="Helvetica"/>
                <w:bCs/>
                <w:color w:val="000000" w:themeColor="text1"/>
                <w:position w:val="1"/>
                <w:sz w:val="17"/>
                <w:szCs w:val="17"/>
                <w:lang w:eastAsia="es-MX"/>
              </w:rPr>
              <w:t>Vocabulary</w:t>
            </w:r>
            <w:proofErr w:type="spellEnd"/>
            <w:r w:rsidRPr="004A7B38">
              <w:rPr>
                <w:rFonts w:ascii="Century Gothic" w:eastAsia="Helvetica" w:hAnsi="Century Gothic" w:cs="Helvetica"/>
                <w:bCs/>
                <w:color w:val="000000" w:themeColor="text1"/>
                <w:position w:val="1"/>
                <w:sz w:val="17"/>
                <w:szCs w:val="17"/>
                <w:lang w:eastAsia="es-MX"/>
              </w:rPr>
              <w:t xml:space="preserve"> (DCAT).</w:t>
            </w:r>
          </w:p>
        </w:tc>
        <w:tc>
          <w:tcPr>
            <w:tcW w:w="3975" w:type="dxa"/>
            <w:shd w:val="clear" w:color="auto" w:fill="C5EAFF"/>
            <w:tcMar>
              <w:top w:w="15" w:type="dxa"/>
              <w:left w:w="54" w:type="dxa"/>
              <w:bottom w:w="0" w:type="dxa"/>
              <w:right w:w="54" w:type="dxa"/>
            </w:tcMar>
            <w:vAlign w:val="center"/>
            <w:hideMark/>
          </w:tcPr>
          <w:p w:rsidR="00E95F03" w:rsidRPr="004A7B38" w:rsidRDefault="00E95F03" w:rsidP="00E8199C">
            <w:pPr>
              <w:spacing w:after="0" w:line="252" w:lineRule="auto"/>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Conjuntos de datos en formato de datos abiertos.</w:t>
            </w:r>
          </w:p>
          <w:p w:rsidR="00E95F03" w:rsidRPr="004A7B38" w:rsidRDefault="00E95F03" w:rsidP="00E95F03">
            <w:pPr>
              <w:numPr>
                <w:ilvl w:val="0"/>
                <w:numId w:val="34"/>
              </w:numPr>
              <w:spacing w:line="252" w:lineRule="auto"/>
              <w:ind w:left="220" w:hanging="142"/>
              <w:contextualSpacing/>
              <w:rPr>
                <w:rFonts w:ascii="Century Gothic" w:eastAsia="Times New Roman" w:hAnsi="Century Gothic" w:cs="Arial"/>
                <w:sz w:val="17"/>
                <w:szCs w:val="17"/>
                <w:lang w:eastAsia="es-MX"/>
              </w:rPr>
            </w:pPr>
            <w:r w:rsidRPr="004A7B38">
              <w:rPr>
                <w:rFonts w:ascii="Century Gothic" w:eastAsia="Helvetica" w:hAnsi="Century Gothic" w:cs="Helvetica"/>
                <w:bCs/>
                <w:color w:val="000000" w:themeColor="text1"/>
                <w:position w:val="1"/>
                <w:sz w:val="17"/>
                <w:szCs w:val="17"/>
                <w:lang w:eastAsia="es-MX"/>
              </w:rPr>
              <w:t> Metadatos referenciales (Conjunto de datos)</w:t>
            </w:r>
          </w:p>
        </w:tc>
      </w:tr>
    </w:tbl>
    <w:p w:rsidR="00C717D4" w:rsidRPr="00AA1496" w:rsidRDefault="00817951" w:rsidP="00817951">
      <w:pPr>
        <w:spacing w:before="240"/>
        <w:jc w:val="both"/>
        <w:rPr>
          <w:rFonts w:ascii="Century Gothic" w:hAnsi="Century Gothic"/>
          <w:sz w:val="19"/>
          <w:szCs w:val="19"/>
        </w:rPr>
      </w:pPr>
      <w:r w:rsidRPr="00817951">
        <w:rPr>
          <w:rFonts w:ascii="Century Gothic" w:hAnsi="Century Gothic"/>
          <w:sz w:val="19"/>
          <w:szCs w:val="19"/>
        </w:rPr>
        <w:t>Durante 2019 se publicaron 36</w:t>
      </w:r>
      <w:r w:rsidR="00EE5A9B">
        <w:rPr>
          <w:rFonts w:ascii="Century Gothic" w:hAnsi="Century Gothic"/>
          <w:sz w:val="19"/>
          <w:szCs w:val="19"/>
        </w:rPr>
        <w:t>7</w:t>
      </w:r>
      <w:r w:rsidRPr="00817951">
        <w:rPr>
          <w:rFonts w:ascii="Century Gothic" w:hAnsi="Century Gothic"/>
          <w:sz w:val="19"/>
          <w:szCs w:val="19"/>
        </w:rPr>
        <w:t xml:space="preserve"> entregas de resultados (excluyendo indicadores de coyuntura) de los ciclos programas de información estadística y geográfica</w:t>
      </w:r>
      <w:r w:rsidR="00D5464C">
        <w:rPr>
          <w:rFonts w:ascii="Century Gothic" w:hAnsi="Century Gothic"/>
          <w:sz w:val="19"/>
          <w:szCs w:val="19"/>
        </w:rPr>
        <w:t>. É</w:t>
      </w:r>
      <w:r w:rsidRPr="00817951">
        <w:rPr>
          <w:rFonts w:ascii="Century Gothic" w:hAnsi="Century Gothic"/>
          <w:sz w:val="19"/>
          <w:szCs w:val="19"/>
        </w:rPr>
        <w:t>ste es el universo para el cálculo del indicador de accesibilidad.</w:t>
      </w:r>
    </w:p>
    <w:p w:rsidR="00E95F03" w:rsidRDefault="007C4176" w:rsidP="00E95F03">
      <w:pPr>
        <w:spacing w:after="0"/>
        <w:rPr>
          <w:rFonts w:ascii="Century Gothic" w:hAnsi="Century Gothic" w:cstheme="majorHAnsi"/>
          <w:b/>
          <w:sz w:val="19"/>
          <w:szCs w:val="19"/>
        </w:rPr>
      </w:pPr>
      <w:r>
        <w:rPr>
          <w:rFonts w:ascii="Century Gothic" w:hAnsi="Century Gothic" w:cstheme="majorHAnsi"/>
          <w:b/>
          <w:sz w:val="19"/>
          <w:szCs w:val="19"/>
        </w:rPr>
        <w:t>A.</w:t>
      </w:r>
      <w:r w:rsidR="00C26A59">
        <w:rPr>
          <w:rFonts w:ascii="Century Gothic" w:hAnsi="Century Gothic" w:cstheme="majorHAnsi"/>
          <w:b/>
          <w:sz w:val="19"/>
          <w:szCs w:val="19"/>
        </w:rPr>
        <w:t>4</w:t>
      </w:r>
      <w:r w:rsidR="00E95F03">
        <w:rPr>
          <w:rFonts w:ascii="Century Gothic" w:hAnsi="Century Gothic" w:cstheme="majorHAnsi"/>
          <w:b/>
          <w:sz w:val="19"/>
          <w:szCs w:val="19"/>
        </w:rPr>
        <w:t>.2</w:t>
      </w:r>
      <w:r w:rsidR="00E95F03" w:rsidRPr="00E7728F">
        <w:rPr>
          <w:rFonts w:ascii="Century Gothic" w:hAnsi="Century Gothic" w:cstheme="majorHAnsi"/>
          <w:b/>
          <w:sz w:val="19"/>
          <w:szCs w:val="19"/>
        </w:rPr>
        <w:t xml:space="preserve">. </w:t>
      </w:r>
      <w:r w:rsidR="00E95F03">
        <w:rPr>
          <w:rFonts w:ascii="Century Gothic" w:hAnsi="Century Gothic" w:cstheme="majorHAnsi"/>
          <w:b/>
          <w:sz w:val="19"/>
          <w:szCs w:val="19"/>
        </w:rPr>
        <w:t>Ciclos de programa</w:t>
      </w:r>
      <w:r w:rsidR="00E95F03" w:rsidRPr="00E7728F">
        <w:rPr>
          <w:rFonts w:ascii="Century Gothic" w:hAnsi="Century Gothic" w:cstheme="majorHAnsi"/>
          <w:b/>
          <w:sz w:val="19"/>
          <w:szCs w:val="19"/>
        </w:rPr>
        <w:t xml:space="preserve"> que cuentan con metadatos </w:t>
      </w:r>
      <w:r w:rsidR="00E95F03">
        <w:rPr>
          <w:rFonts w:ascii="Century Gothic" w:hAnsi="Century Gothic" w:cstheme="majorHAnsi"/>
          <w:b/>
          <w:sz w:val="19"/>
          <w:szCs w:val="19"/>
        </w:rPr>
        <w:t>basados</w:t>
      </w:r>
      <w:r w:rsidR="00E95F03" w:rsidRPr="00E7728F">
        <w:rPr>
          <w:rFonts w:ascii="Century Gothic" w:hAnsi="Century Gothic" w:cstheme="majorHAnsi"/>
          <w:b/>
          <w:sz w:val="19"/>
          <w:szCs w:val="19"/>
        </w:rPr>
        <w:t xml:space="preserve"> en estándares internacionales</w:t>
      </w:r>
    </w:p>
    <w:tbl>
      <w:tblPr>
        <w:tblW w:w="10206" w:type="dxa"/>
        <w:tblCellMar>
          <w:left w:w="70" w:type="dxa"/>
          <w:right w:w="70" w:type="dxa"/>
        </w:tblCellMar>
        <w:tblLook w:val="04A0" w:firstRow="1" w:lastRow="0" w:firstColumn="1" w:lastColumn="0" w:noHBand="0" w:noVBand="1"/>
      </w:tblPr>
      <w:tblGrid>
        <w:gridCol w:w="8364"/>
        <w:gridCol w:w="992"/>
        <w:gridCol w:w="850"/>
      </w:tblGrid>
      <w:tr w:rsidR="00E95F03" w:rsidRPr="00D10FAA" w:rsidTr="0085290F">
        <w:trPr>
          <w:trHeight w:val="20"/>
        </w:trPr>
        <w:tc>
          <w:tcPr>
            <w:tcW w:w="8364" w:type="dxa"/>
            <w:vAlign w:val="center"/>
            <w:hideMark/>
          </w:tcPr>
          <w:p w:rsidR="00E95F03" w:rsidRPr="004A7B38" w:rsidRDefault="00E95F03" w:rsidP="00E95F03">
            <w:pPr>
              <w:spacing w:before="60" w:after="60"/>
              <w:rPr>
                <w:rFonts w:ascii="Century Gothic" w:hAnsi="Century Gothic"/>
                <w:sz w:val="17"/>
                <w:szCs w:val="17"/>
              </w:rPr>
            </w:pPr>
          </w:p>
        </w:tc>
        <w:tc>
          <w:tcPr>
            <w:tcW w:w="992" w:type="dxa"/>
            <w:shd w:val="clear" w:color="auto" w:fill="1F3864" w:themeFill="accent5" w:themeFillShade="80"/>
            <w:vAlign w:val="center"/>
            <w:hideMark/>
          </w:tcPr>
          <w:p w:rsidR="00E95F03" w:rsidRPr="004A7B38" w:rsidRDefault="00E95F03" w:rsidP="00E95F03">
            <w:pPr>
              <w:spacing w:before="60" w:after="60"/>
              <w:jc w:val="center"/>
              <w:rPr>
                <w:rFonts w:ascii="Century Gothic" w:hAnsi="Century Gothic"/>
                <w:bCs/>
                <w:sz w:val="17"/>
                <w:szCs w:val="17"/>
              </w:rPr>
            </w:pPr>
            <w:r w:rsidRPr="004A7B38">
              <w:rPr>
                <w:rFonts w:ascii="Century Gothic" w:hAnsi="Century Gothic"/>
                <w:bCs/>
                <w:sz w:val="17"/>
                <w:szCs w:val="17"/>
              </w:rPr>
              <w:t>#</w:t>
            </w:r>
          </w:p>
        </w:tc>
        <w:tc>
          <w:tcPr>
            <w:tcW w:w="850" w:type="dxa"/>
            <w:shd w:val="clear" w:color="auto" w:fill="1F3864" w:themeFill="accent5" w:themeFillShade="80"/>
            <w:vAlign w:val="center"/>
            <w:hideMark/>
          </w:tcPr>
          <w:p w:rsidR="00E95F03" w:rsidRPr="004A7B38" w:rsidRDefault="00E95F03" w:rsidP="00E95F03">
            <w:pPr>
              <w:spacing w:before="60" w:after="60"/>
              <w:jc w:val="center"/>
              <w:rPr>
                <w:rFonts w:ascii="Century Gothic" w:hAnsi="Century Gothic"/>
                <w:bCs/>
                <w:sz w:val="17"/>
                <w:szCs w:val="17"/>
              </w:rPr>
            </w:pPr>
            <w:r w:rsidRPr="004A7B38">
              <w:rPr>
                <w:rFonts w:ascii="Century Gothic" w:hAnsi="Century Gothic"/>
                <w:bCs/>
                <w:sz w:val="17"/>
                <w:szCs w:val="17"/>
              </w:rPr>
              <w:t>%</w:t>
            </w:r>
          </w:p>
        </w:tc>
      </w:tr>
      <w:tr w:rsidR="00E95F03" w:rsidRPr="00D10FAA" w:rsidTr="0085290F">
        <w:trPr>
          <w:trHeight w:val="20"/>
        </w:trPr>
        <w:tc>
          <w:tcPr>
            <w:tcW w:w="8364" w:type="dxa"/>
            <w:shd w:val="clear" w:color="auto" w:fill="C5EAFF"/>
            <w:vAlign w:val="center"/>
            <w:hideMark/>
          </w:tcPr>
          <w:p w:rsidR="00E95F03" w:rsidRPr="004A7B38" w:rsidRDefault="00E95F03" w:rsidP="00E95F03">
            <w:pPr>
              <w:spacing w:before="60" w:after="60"/>
              <w:ind w:left="73"/>
              <w:rPr>
                <w:rFonts w:ascii="Century Gothic" w:hAnsi="Century Gothic"/>
                <w:bCs/>
                <w:sz w:val="17"/>
                <w:szCs w:val="17"/>
              </w:rPr>
            </w:pPr>
            <w:r w:rsidRPr="004A7B38">
              <w:rPr>
                <w:rFonts w:ascii="Century Gothic" w:hAnsi="Century Gothic"/>
                <w:bCs/>
                <w:sz w:val="17"/>
                <w:szCs w:val="17"/>
              </w:rPr>
              <w:t>Total de entregas de resultados de los ciclos de Programas de Información que se publicaron durante 2019</w:t>
            </w:r>
          </w:p>
        </w:tc>
        <w:tc>
          <w:tcPr>
            <w:tcW w:w="992" w:type="dxa"/>
            <w:shd w:val="clear" w:color="auto" w:fill="C5EAFF"/>
            <w:vAlign w:val="center"/>
            <w:hideMark/>
          </w:tcPr>
          <w:p w:rsidR="00E95F03" w:rsidRPr="004A7B38" w:rsidRDefault="00E95F03" w:rsidP="00EE5A9B">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36</w:t>
            </w:r>
            <w:r w:rsidR="00EE5A9B" w:rsidRPr="004A7B38">
              <w:rPr>
                <w:rFonts w:ascii="Century Gothic" w:hAnsi="Century Gothic"/>
                <w:bCs/>
                <w:color w:val="000000" w:themeColor="text1"/>
                <w:sz w:val="17"/>
                <w:szCs w:val="17"/>
              </w:rPr>
              <w:t>7</w:t>
            </w:r>
          </w:p>
        </w:tc>
        <w:tc>
          <w:tcPr>
            <w:tcW w:w="850" w:type="dxa"/>
            <w:shd w:val="clear" w:color="auto" w:fill="C5EAFF"/>
            <w:noWrap/>
            <w:vAlign w:val="center"/>
            <w:hideMark/>
          </w:tcPr>
          <w:p w:rsidR="00E95F03" w:rsidRPr="004A7B38" w:rsidRDefault="00E95F03" w:rsidP="00E95F03">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 xml:space="preserve">100% </w:t>
            </w:r>
          </w:p>
        </w:tc>
      </w:tr>
      <w:tr w:rsidR="00817951" w:rsidRPr="00D10FAA" w:rsidTr="0085290F">
        <w:trPr>
          <w:trHeight w:val="20"/>
        </w:trPr>
        <w:tc>
          <w:tcPr>
            <w:tcW w:w="8364" w:type="dxa"/>
            <w:shd w:val="clear" w:color="auto" w:fill="auto"/>
            <w:vAlign w:val="center"/>
            <w:hideMark/>
          </w:tcPr>
          <w:p w:rsidR="00817951" w:rsidRPr="004A7B38" w:rsidRDefault="00817951" w:rsidP="00817951">
            <w:pPr>
              <w:spacing w:before="60" w:after="60"/>
              <w:ind w:left="73"/>
              <w:rPr>
                <w:rFonts w:ascii="Century Gothic" w:hAnsi="Century Gothic"/>
                <w:bCs/>
                <w:sz w:val="17"/>
                <w:szCs w:val="17"/>
              </w:rPr>
            </w:pPr>
            <w:r w:rsidRPr="004A7B38">
              <w:rPr>
                <w:rFonts w:ascii="Century Gothic" w:hAnsi="Century Gothic"/>
                <w:bCs/>
                <w:sz w:val="17"/>
                <w:szCs w:val="17"/>
              </w:rPr>
              <w:t>Numero de entregas de resultados de los ciclos de Programas de Información que acompañaron la publicación de dichos resultados con metadatos estandarizados</w:t>
            </w:r>
          </w:p>
        </w:tc>
        <w:tc>
          <w:tcPr>
            <w:tcW w:w="992" w:type="dxa"/>
            <w:shd w:val="clear" w:color="auto" w:fill="auto"/>
            <w:vAlign w:val="center"/>
            <w:hideMark/>
          </w:tcPr>
          <w:p w:rsidR="00817951" w:rsidRPr="004A7B38" w:rsidRDefault="00817951" w:rsidP="00817951">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338</w:t>
            </w:r>
          </w:p>
        </w:tc>
        <w:tc>
          <w:tcPr>
            <w:tcW w:w="850" w:type="dxa"/>
            <w:shd w:val="clear" w:color="auto" w:fill="auto"/>
            <w:vAlign w:val="center"/>
            <w:hideMark/>
          </w:tcPr>
          <w:p w:rsidR="00817951" w:rsidRPr="004A7B38" w:rsidRDefault="00817951" w:rsidP="00EE5A9B">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9</w:t>
            </w:r>
            <w:r w:rsidR="00EE5A9B" w:rsidRPr="004A7B38">
              <w:rPr>
                <w:rFonts w:ascii="Century Gothic" w:hAnsi="Century Gothic"/>
                <w:bCs/>
                <w:color w:val="000000" w:themeColor="text1"/>
                <w:sz w:val="17"/>
                <w:szCs w:val="17"/>
              </w:rPr>
              <w:t>2</w:t>
            </w:r>
            <w:r w:rsidRPr="004A7B38">
              <w:rPr>
                <w:rFonts w:ascii="Century Gothic" w:hAnsi="Century Gothic"/>
                <w:bCs/>
                <w:color w:val="000000" w:themeColor="text1"/>
                <w:sz w:val="17"/>
                <w:szCs w:val="17"/>
              </w:rPr>
              <w:t>.</w:t>
            </w:r>
            <w:r w:rsidR="00EE5A9B" w:rsidRPr="004A7B38">
              <w:rPr>
                <w:rFonts w:ascii="Century Gothic" w:hAnsi="Century Gothic"/>
                <w:bCs/>
                <w:color w:val="000000" w:themeColor="text1"/>
                <w:sz w:val="17"/>
                <w:szCs w:val="17"/>
              </w:rPr>
              <w:t>1</w:t>
            </w:r>
            <w:r w:rsidRPr="004A7B38">
              <w:rPr>
                <w:rFonts w:ascii="Century Gothic" w:hAnsi="Century Gothic"/>
                <w:bCs/>
                <w:color w:val="000000" w:themeColor="text1"/>
                <w:sz w:val="17"/>
                <w:szCs w:val="17"/>
              </w:rPr>
              <w:t>%</w:t>
            </w:r>
          </w:p>
        </w:tc>
      </w:tr>
      <w:tr w:rsidR="00817951" w:rsidRPr="00D10FAA" w:rsidTr="0085290F">
        <w:trPr>
          <w:trHeight w:val="20"/>
        </w:trPr>
        <w:tc>
          <w:tcPr>
            <w:tcW w:w="8364" w:type="dxa"/>
            <w:shd w:val="clear" w:color="auto" w:fill="C5EAFF"/>
            <w:vAlign w:val="center"/>
            <w:hideMark/>
          </w:tcPr>
          <w:p w:rsidR="00817951" w:rsidRPr="004A7B38" w:rsidRDefault="00817951" w:rsidP="00817951">
            <w:pPr>
              <w:spacing w:before="60" w:after="60"/>
              <w:ind w:left="73"/>
              <w:rPr>
                <w:rFonts w:ascii="Century Gothic" w:hAnsi="Century Gothic"/>
                <w:bCs/>
                <w:sz w:val="17"/>
                <w:szCs w:val="17"/>
              </w:rPr>
            </w:pPr>
            <w:r w:rsidRPr="004A7B38">
              <w:rPr>
                <w:rFonts w:ascii="Century Gothic" w:hAnsi="Century Gothic"/>
                <w:bCs/>
                <w:sz w:val="17"/>
                <w:szCs w:val="17"/>
              </w:rPr>
              <w:t>Ciclos de Programas de Información que no acompañaron la publicación de sus resultados, con metadatos documentados con base en un estándar internacional</w:t>
            </w:r>
          </w:p>
        </w:tc>
        <w:tc>
          <w:tcPr>
            <w:tcW w:w="992" w:type="dxa"/>
            <w:shd w:val="clear" w:color="auto" w:fill="C5EAFF"/>
            <w:vAlign w:val="center"/>
            <w:hideMark/>
          </w:tcPr>
          <w:p w:rsidR="00817951" w:rsidRPr="004A7B38" w:rsidRDefault="00EE5A9B" w:rsidP="00EE5A9B">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29</w:t>
            </w:r>
          </w:p>
        </w:tc>
        <w:tc>
          <w:tcPr>
            <w:tcW w:w="850" w:type="dxa"/>
            <w:shd w:val="clear" w:color="auto" w:fill="C5EAFF"/>
            <w:vAlign w:val="center"/>
            <w:hideMark/>
          </w:tcPr>
          <w:p w:rsidR="00817951" w:rsidRPr="004A7B38" w:rsidRDefault="00EE5A9B" w:rsidP="00817951">
            <w:pPr>
              <w:spacing w:after="0"/>
              <w:jc w:val="center"/>
              <w:rPr>
                <w:rFonts w:ascii="Century Gothic" w:hAnsi="Century Gothic"/>
                <w:bCs/>
                <w:color w:val="000000" w:themeColor="text1"/>
                <w:sz w:val="17"/>
                <w:szCs w:val="17"/>
              </w:rPr>
            </w:pPr>
            <w:r w:rsidRPr="004A7B38">
              <w:rPr>
                <w:rFonts w:ascii="Century Gothic" w:hAnsi="Century Gothic"/>
                <w:bCs/>
                <w:color w:val="000000" w:themeColor="text1"/>
                <w:sz w:val="17"/>
                <w:szCs w:val="17"/>
              </w:rPr>
              <w:t>7.9</w:t>
            </w:r>
            <w:r w:rsidR="00817951" w:rsidRPr="004A7B38">
              <w:rPr>
                <w:rFonts w:ascii="Century Gothic" w:hAnsi="Century Gothic"/>
                <w:bCs/>
                <w:color w:val="000000" w:themeColor="text1"/>
                <w:sz w:val="17"/>
                <w:szCs w:val="17"/>
              </w:rPr>
              <w:t>%</w:t>
            </w:r>
          </w:p>
        </w:tc>
      </w:tr>
    </w:tbl>
    <w:p w:rsidR="001503D3" w:rsidRDefault="00817951" w:rsidP="00817951">
      <w:pPr>
        <w:spacing w:before="240"/>
        <w:jc w:val="both"/>
        <w:rPr>
          <w:rFonts w:ascii="Century Gothic" w:hAnsi="Century Gothic"/>
          <w:sz w:val="19"/>
          <w:szCs w:val="19"/>
        </w:rPr>
      </w:pPr>
      <w:r w:rsidRPr="00817951">
        <w:rPr>
          <w:rFonts w:ascii="Century Gothic" w:hAnsi="Century Gothic"/>
          <w:sz w:val="19"/>
          <w:szCs w:val="19"/>
        </w:rPr>
        <w:t xml:space="preserve">En 2019, el 92% de los programas de información estadística y geográfica publicados en el sitio del INEGI en Internet, publicaron resultados acompañados con metadatos documentados con base en estándares internacionales. En </w:t>
      </w:r>
      <w:bookmarkStart w:id="16" w:name="_Hlk31026606"/>
      <w:r w:rsidRPr="00817951">
        <w:rPr>
          <w:rFonts w:ascii="Century Gothic" w:hAnsi="Century Gothic"/>
          <w:sz w:val="19"/>
          <w:szCs w:val="19"/>
        </w:rPr>
        <w:t xml:space="preserve">el 8% restante corresponde a </w:t>
      </w:r>
      <w:r w:rsidR="00EE5A9B">
        <w:rPr>
          <w:rFonts w:ascii="Century Gothic" w:hAnsi="Century Gothic"/>
          <w:sz w:val="19"/>
          <w:szCs w:val="19"/>
        </w:rPr>
        <w:t>29</w:t>
      </w:r>
      <w:r w:rsidRPr="00817951">
        <w:rPr>
          <w:rFonts w:ascii="Century Gothic" w:hAnsi="Century Gothic"/>
          <w:sz w:val="19"/>
          <w:szCs w:val="19"/>
        </w:rPr>
        <w:t xml:space="preserve"> ciclos de</w:t>
      </w:r>
      <w:r w:rsidR="008847A4">
        <w:rPr>
          <w:rFonts w:ascii="Century Gothic" w:hAnsi="Century Gothic"/>
          <w:sz w:val="19"/>
          <w:szCs w:val="19"/>
        </w:rPr>
        <w:t xml:space="preserve"> 18</w:t>
      </w:r>
      <w:r w:rsidRPr="00817951">
        <w:rPr>
          <w:rFonts w:ascii="Century Gothic" w:hAnsi="Century Gothic"/>
          <w:sz w:val="19"/>
          <w:szCs w:val="19"/>
        </w:rPr>
        <w:t xml:space="preserve"> Programas de Información que no acompañaron la publicación de sus resultados con metadatos documentados con base en alguno de los estándares internacionales que actualmente se han adoptado en el INEG</w:t>
      </w:r>
      <w:bookmarkEnd w:id="16"/>
      <w:r w:rsidRPr="00817951">
        <w:rPr>
          <w:rFonts w:ascii="Century Gothic" w:hAnsi="Century Gothic"/>
          <w:sz w:val="19"/>
          <w:szCs w:val="19"/>
        </w:rPr>
        <w:t>I, como puede observarse en el siguiente cuadro:</w:t>
      </w:r>
    </w:p>
    <w:p w:rsidR="00C06035" w:rsidRPr="00AA1496" w:rsidRDefault="00C06035" w:rsidP="00817951">
      <w:pPr>
        <w:spacing w:before="240"/>
        <w:jc w:val="both"/>
        <w:rPr>
          <w:rFonts w:ascii="Century Gothic" w:hAnsi="Century Gothic"/>
          <w:sz w:val="19"/>
          <w:szCs w:val="19"/>
        </w:rPr>
      </w:pPr>
    </w:p>
    <w:p w:rsidR="00E95F03" w:rsidRDefault="007C4176" w:rsidP="00E95F03">
      <w:pPr>
        <w:jc w:val="center"/>
        <w:rPr>
          <w:rFonts w:ascii="Century Gothic" w:hAnsi="Century Gothic" w:cstheme="majorHAnsi"/>
          <w:b/>
          <w:sz w:val="19"/>
          <w:szCs w:val="19"/>
        </w:rPr>
      </w:pPr>
      <w:r>
        <w:rPr>
          <w:rFonts w:ascii="Century Gothic" w:hAnsi="Century Gothic" w:cstheme="majorHAnsi"/>
          <w:b/>
          <w:sz w:val="19"/>
          <w:szCs w:val="19"/>
        </w:rPr>
        <w:lastRenderedPageBreak/>
        <w:t>A.</w:t>
      </w:r>
      <w:r w:rsidR="00C26A59">
        <w:rPr>
          <w:rFonts w:ascii="Century Gothic" w:hAnsi="Century Gothic" w:cstheme="majorHAnsi"/>
          <w:b/>
          <w:sz w:val="19"/>
          <w:szCs w:val="19"/>
        </w:rPr>
        <w:t>4</w:t>
      </w:r>
      <w:r w:rsidR="00E95F03">
        <w:rPr>
          <w:rFonts w:ascii="Century Gothic" w:hAnsi="Century Gothic" w:cstheme="majorHAnsi"/>
          <w:b/>
          <w:sz w:val="19"/>
          <w:szCs w:val="19"/>
        </w:rPr>
        <w:t>.3. Programas de información</w:t>
      </w:r>
      <w:r w:rsidR="00E95F03" w:rsidRPr="00E7728F">
        <w:rPr>
          <w:rFonts w:ascii="Century Gothic" w:hAnsi="Century Gothic" w:cstheme="majorHAnsi"/>
          <w:b/>
          <w:sz w:val="19"/>
          <w:szCs w:val="19"/>
        </w:rPr>
        <w:t xml:space="preserve"> que no publicaron o actualizaron metadatos en 201</w:t>
      </w:r>
      <w:r w:rsidR="00E95F03">
        <w:rPr>
          <w:rFonts w:ascii="Century Gothic" w:hAnsi="Century Gothic" w:cstheme="majorHAnsi"/>
          <w:b/>
          <w:sz w:val="19"/>
          <w:szCs w:val="19"/>
        </w:rPr>
        <w:t>9</w:t>
      </w:r>
    </w:p>
    <w:tbl>
      <w:tblPr>
        <w:tblW w:w="10774" w:type="dxa"/>
        <w:jc w:val="center"/>
        <w:tblCellMar>
          <w:left w:w="70" w:type="dxa"/>
          <w:right w:w="70" w:type="dxa"/>
        </w:tblCellMar>
        <w:tblLook w:val="04A0" w:firstRow="1" w:lastRow="0" w:firstColumn="1" w:lastColumn="0" w:noHBand="0" w:noVBand="1"/>
      </w:tblPr>
      <w:tblGrid>
        <w:gridCol w:w="6238"/>
        <w:gridCol w:w="992"/>
        <w:gridCol w:w="2268"/>
        <w:gridCol w:w="1276"/>
      </w:tblGrid>
      <w:tr w:rsidR="00817951" w:rsidRPr="00AA1496" w:rsidTr="005223D0">
        <w:trPr>
          <w:trHeight w:val="539"/>
          <w:jc w:val="center"/>
        </w:trPr>
        <w:tc>
          <w:tcPr>
            <w:tcW w:w="6238" w:type="dxa"/>
            <w:tcBorders>
              <w:top w:val="single" w:sz="4" w:space="0" w:color="auto"/>
              <w:left w:val="single" w:sz="4" w:space="0" w:color="auto"/>
              <w:bottom w:val="nil"/>
              <w:right w:val="single" w:sz="4" w:space="0" w:color="auto"/>
            </w:tcBorders>
            <w:shd w:val="clear" w:color="auto" w:fill="1F3864" w:themeFill="accent5" w:themeFillShade="80"/>
            <w:vAlign w:val="center"/>
            <w:hideMark/>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r w:rsidRPr="00C06035">
              <w:rPr>
                <w:rFonts w:ascii="Century Gothic" w:eastAsia="Times New Roman" w:hAnsi="Century Gothic" w:cs="Calibri"/>
                <w:b/>
                <w:bCs/>
                <w:color w:val="FFFFFF"/>
                <w:sz w:val="17"/>
                <w:szCs w:val="17"/>
                <w:lang w:eastAsia="es-MX"/>
              </w:rPr>
              <w:t xml:space="preserve">Programa de Información </w:t>
            </w:r>
          </w:p>
        </w:tc>
        <w:tc>
          <w:tcPr>
            <w:tcW w:w="992" w:type="dxa"/>
            <w:tcBorders>
              <w:top w:val="single" w:sz="4" w:space="0" w:color="auto"/>
              <w:left w:val="nil"/>
              <w:bottom w:val="nil"/>
              <w:right w:val="single" w:sz="4" w:space="0" w:color="auto"/>
            </w:tcBorders>
            <w:shd w:val="clear" w:color="auto" w:fill="1F3864" w:themeFill="accent5" w:themeFillShade="80"/>
            <w:vAlign w:val="center"/>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proofErr w:type="spellStart"/>
            <w:r w:rsidRPr="00C06035">
              <w:rPr>
                <w:rFonts w:ascii="Century Gothic" w:eastAsia="Times New Roman" w:hAnsi="Century Gothic" w:cs="Calibri"/>
                <w:b/>
                <w:bCs/>
                <w:color w:val="FFFFFF"/>
                <w:sz w:val="17"/>
                <w:szCs w:val="17"/>
                <w:lang w:eastAsia="es-MX"/>
              </w:rPr>
              <w:t>Núm</w:t>
            </w:r>
            <w:proofErr w:type="spellEnd"/>
            <w:r w:rsidRPr="00C06035">
              <w:rPr>
                <w:rFonts w:ascii="Century Gothic" w:eastAsia="Times New Roman" w:hAnsi="Century Gothic" w:cs="Calibri"/>
                <w:b/>
                <w:bCs/>
                <w:color w:val="FFFFFF"/>
                <w:sz w:val="17"/>
                <w:szCs w:val="17"/>
                <w:lang w:eastAsia="es-MX"/>
              </w:rPr>
              <w:t xml:space="preserve"> de ciclos </w:t>
            </w:r>
          </w:p>
        </w:tc>
        <w:tc>
          <w:tcPr>
            <w:tcW w:w="2268" w:type="dxa"/>
            <w:tcBorders>
              <w:top w:val="single" w:sz="4" w:space="0" w:color="auto"/>
              <w:left w:val="nil"/>
              <w:bottom w:val="nil"/>
              <w:right w:val="single" w:sz="4" w:space="0" w:color="auto"/>
            </w:tcBorders>
            <w:shd w:val="clear" w:color="auto" w:fill="1F3864" w:themeFill="accent5" w:themeFillShade="80"/>
            <w:noWrap/>
            <w:vAlign w:val="center"/>
            <w:hideMark/>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r w:rsidRPr="00C06035">
              <w:rPr>
                <w:rFonts w:ascii="Century Gothic" w:eastAsia="Times New Roman" w:hAnsi="Century Gothic" w:cs="Calibri"/>
                <w:b/>
                <w:bCs/>
                <w:color w:val="FFFFFF"/>
                <w:sz w:val="17"/>
                <w:szCs w:val="17"/>
                <w:lang w:eastAsia="es-MX"/>
              </w:rPr>
              <w:t>Tipo de Programa</w:t>
            </w:r>
          </w:p>
        </w:tc>
        <w:tc>
          <w:tcPr>
            <w:tcW w:w="1276" w:type="dxa"/>
            <w:tcBorders>
              <w:top w:val="single" w:sz="4" w:space="0" w:color="auto"/>
              <w:left w:val="nil"/>
              <w:bottom w:val="nil"/>
              <w:right w:val="single" w:sz="4" w:space="0" w:color="auto"/>
            </w:tcBorders>
            <w:shd w:val="clear" w:color="auto" w:fill="1F3864" w:themeFill="accent5" w:themeFillShade="80"/>
            <w:noWrap/>
            <w:vAlign w:val="center"/>
            <w:hideMark/>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r w:rsidRPr="00C06035">
              <w:rPr>
                <w:rFonts w:ascii="Century Gothic" w:eastAsia="Times New Roman" w:hAnsi="Century Gothic" w:cs="Calibri"/>
                <w:b/>
                <w:bCs/>
                <w:color w:val="FFFFFF"/>
                <w:sz w:val="17"/>
                <w:szCs w:val="17"/>
                <w:lang w:eastAsia="es-MX"/>
              </w:rPr>
              <w:t>Periodicidad</w:t>
            </w:r>
          </w:p>
        </w:tc>
      </w:tr>
      <w:tr w:rsidR="00817951" w:rsidRPr="00AA1496" w:rsidTr="00EE5A9B">
        <w:trPr>
          <w:trHeight w:val="340"/>
          <w:jc w:val="center"/>
        </w:trPr>
        <w:tc>
          <w:tcPr>
            <w:tcW w:w="6238" w:type="dxa"/>
            <w:tcBorders>
              <w:top w:val="single" w:sz="4" w:space="0" w:color="757171"/>
              <w:left w:val="single" w:sz="4" w:space="0" w:color="757171"/>
              <w:bottom w:val="single" w:sz="4" w:space="0" w:color="757171"/>
              <w:right w:val="single" w:sz="4" w:space="0" w:color="757171"/>
            </w:tcBorders>
            <w:shd w:val="clear" w:color="auto" w:fill="C5EAFF"/>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 xml:space="preserve">Módulo Bienestar </w:t>
            </w:r>
            <w:proofErr w:type="spellStart"/>
            <w:r w:rsidRPr="00C06035">
              <w:rPr>
                <w:rFonts w:ascii="Century Gothic" w:eastAsia="Times New Roman" w:hAnsi="Century Gothic" w:cs="Calibri"/>
                <w:sz w:val="17"/>
                <w:szCs w:val="17"/>
                <w:lang w:eastAsia="es-MX"/>
              </w:rPr>
              <w:t>Autorreportado</w:t>
            </w:r>
            <w:proofErr w:type="spellEnd"/>
            <w:r w:rsidRPr="00C06035">
              <w:rPr>
                <w:rFonts w:ascii="Century Gothic" w:eastAsia="Times New Roman" w:hAnsi="Century Gothic" w:cs="Calibri"/>
                <w:sz w:val="17"/>
                <w:szCs w:val="17"/>
                <w:lang w:eastAsia="es-MX"/>
              </w:rPr>
              <w:t xml:space="preserve"> de la Población Urbana 2019</w:t>
            </w:r>
          </w:p>
        </w:tc>
        <w:tc>
          <w:tcPr>
            <w:tcW w:w="992" w:type="dxa"/>
            <w:tcBorders>
              <w:top w:val="single" w:sz="4" w:space="0" w:color="757171"/>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2</w:t>
            </w:r>
          </w:p>
        </w:tc>
        <w:tc>
          <w:tcPr>
            <w:tcW w:w="2268" w:type="dxa"/>
            <w:tcBorders>
              <w:top w:val="single" w:sz="4" w:space="0" w:color="757171"/>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Encuesta por muestreo</w:t>
            </w:r>
          </w:p>
        </w:tc>
        <w:tc>
          <w:tcPr>
            <w:tcW w:w="1276" w:type="dxa"/>
            <w:tcBorders>
              <w:top w:val="single" w:sz="4" w:space="0" w:color="757171"/>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Semestral</w:t>
            </w:r>
          </w:p>
        </w:tc>
      </w:tr>
      <w:tr w:rsidR="00817951" w:rsidRPr="00AA1496" w:rsidTr="00EE5A9B">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Encuesta Nacional de la Dinámica Demográfica 2018</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Encuesta por muestreo</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3511B6" w:rsidP="00817951">
            <w:pPr>
              <w:spacing w:after="0" w:line="240" w:lineRule="auto"/>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Quinquenal</w:t>
            </w:r>
          </w:p>
        </w:tc>
      </w:tr>
      <w:tr w:rsidR="00817951" w:rsidRPr="00AA1496" w:rsidTr="00EE5A9B">
        <w:trPr>
          <w:trHeight w:val="340"/>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Encuesta Nacional de Salud y Nutrición (ENSANUT) 2018</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Encuesta por muestreo</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C95E05" w:rsidP="00817951">
            <w:pPr>
              <w:spacing w:after="0" w:line="240" w:lineRule="auto"/>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Irregular</w:t>
            </w:r>
          </w:p>
        </w:tc>
      </w:tr>
      <w:tr w:rsidR="00817951" w:rsidRPr="00AA1496" w:rsidTr="00EE5A9B">
        <w:trPr>
          <w:trHeight w:val="421"/>
          <w:jc w:val="center"/>
        </w:trPr>
        <w:tc>
          <w:tcPr>
            <w:tcW w:w="6238" w:type="dxa"/>
            <w:tcBorders>
              <w:top w:val="nil"/>
              <w:left w:val="single" w:sz="4" w:space="0" w:color="757171"/>
              <w:bottom w:val="single" w:sz="4" w:space="0" w:color="757171"/>
              <w:right w:val="single" w:sz="4" w:space="0" w:color="757171"/>
            </w:tcBorders>
            <w:shd w:val="clear" w:color="auto" w:fill="auto"/>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Registro administrativo de la industria automotriz de vehículos ligeros 2019</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12</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Información geográfica</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Mensual</w:t>
            </w:r>
          </w:p>
        </w:tc>
      </w:tr>
      <w:tr w:rsidR="00817951" w:rsidRPr="00AA1496" w:rsidTr="00EE5A9B">
        <w:trPr>
          <w:trHeight w:val="413"/>
          <w:jc w:val="center"/>
        </w:trPr>
        <w:tc>
          <w:tcPr>
            <w:tcW w:w="6238" w:type="dxa"/>
            <w:tcBorders>
              <w:top w:val="nil"/>
              <w:left w:val="single" w:sz="4" w:space="0" w:color="757171"/>
              <w:bottom w:val="single" w:sz="4" w:space="0" w:color="757171"/>
              <w:right w:val="single" w:sz="4" w:space="0" w:color="757171"/>
            </w:tcBorders>
            <w:shd w:val="clear" w:color="auto" w:fill="C5EAFF"/>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Gobierno, Seguridad Pública y Sistema Penitenciario Estatales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EE5A9B">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Procuración de Justicia Estatal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EE5A9B">
        <w:trPr>
          <w:trHeight w:val="340"/>
          <w:jc w:val="center"/>
        </w:trPr>
        <w:tc>
          <w:tcPr>
            <w:tcW w:w="6238" w:type="dxa"/>
            <w:tcBorders>
              <w:top w:val="nil"/>
              <w:left w:val="single" w:sz="4" w:space="0" w:color="757171"/>
              <w:bottom w:val="single" w:sz="4" w:space="0" w:color="757171"/>
              <w:right w:val="single" w:sz="4" w:space="0" w:color="757171"/>
            </w:tcBorders>
            <w:shd w:val="clear" w:color="auto" w:fill="C5EAFF"/>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Impartición de Justicia Estatal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Impartición de Justicia Estatal (CNIJE)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Poderes Legislativos Estatales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Derechos Humanos Estatal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413"/>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Transparencia y Protección de Datos Personales Estatal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Gobierno Federal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Seguridad Pública Federal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Procuración de Justicia Federal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Sistema Penitenciario Federal 2019 a/</w:t>
            </w:r>
          </w:p>
        </w:tc>
        <w:tc>
          <w:tcPr>
            <w:tcW w:w="992" w:type="dxa"/>
            <w:tcBorders>
              <w:top w:val="nil"/>
              <w:left w:val="nil"/>
              <w:bottom w:val="single" w:sz="4" w:space="0" w:color="757171"/>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nil"/>
              <w:left w:val="single" w:sz="4" w:space="0" w:color="757171"/>
              <w:bottom w:val="single" w:sz="4" w:space="0" w:color="757171"/>
              <w:right w:val="single" w:sz="4" w:space="0" w:color="757171"/>
            </w:tcBorders>
            <w:shd w:val="clear" w:color="auto" w:fill="auto"/>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Derechos Humanos Federal 2019 a/</w:t>
            </w:r>
          </w:p>
        </w:tc>
        <w:tc>
          <w:tcPr>
            <w:tcW w:w="992" w:type="dxa"/>
            <w:tcBorders>
              <w:top w:val="nil"/>
              <w:left w:val="nil"/>
              <w:bottom w:val="single" w:sz="4" w:space="0" w:color="757171"/>
              <w:right w:val="single" w:sz="4" w:space="0" w:color="757171"/>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nil"/>
              <w:left w:val="nil"/>
              <w:bottom w:val="single" w:sz="4" w:space="0" w:color="757171"/>
              <w:right w:val="single" w:sz="4" w:space="0" w:color="757171"/>
            </w:tcBorders>
            <w:shd w:val="clear" w:color="auto" w:fill="auto"/>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420"/>
          <w:jc w:val="center"/>
        </w:trPr>
        <w:tc>
          <w:tcPr>
            <w:tcW w:w="6238" w:type="dxa"/>
            <w:tcBorders>
              <w:top w:val="nil"/>
              <w:left w:val="single" w:sz="4" w:space="0" w:color="757171"/>
              <w:bottom w:val="single" w:sz="4" w:space="0" w:color="757171"/>
              <w:right w:val="single" w:sz="4" w:space="0" w:color="757171"/>
            </w:tcBorders>
            <w:shd w:val="clear" w:color="auto" w:fill="C5EAFF"/>
            <w:noWrap/>
            <w:vAlign w:val="center"/>
            <w:hideMark/>
          </w:tcPr>
          <w:p w:rsidR="00817951" w:rsidRPr="00C06035" w:rsidRDefault="00817951" w:rsidP="004E4EB2">
            <w:pPr>
              <w:pStyle w:val="Prrafodelista"/>
              <w:numPr>
                <w:ilvl w:val="0"/>
                <w:numId w:val="37"/>
              </w:numPr>
              <w:spacing w:after="0" w:line="240" w:lineRule="auto"/>
              <w:ind w:left="359" w:hanging="284"/>
              <w:rPr>
                <w:rFonts w:ascii="Century Gothic" w:eastAsia="Times New Roman" w:hAnsi="Century Gothic" w:cs="Calibri"/>
                <w:sz w:val="17"/>
                <w:szCs w:val="17"/>
                <w:lang w:eastAsia="es-MX"/>
              </w:rPr>
            </w:pPr>
            <w:r w:rsidRPr="00C06035">
              <w:rPr>
                <w:rFonts w:ascii="Century Gothic" w:eastAsia="Times New Roman" w:hAnsi="Century Gothic" w:cs="Calibri"/>
                <w:sz w:val="17"/>
                <w:szCs w:val="17"/>
                <w:lang w:eastAsia="es-MX"/>
              </w:rPr>
              <w:t>Censo Nacional de Transparencia y Protección de Datos Personales Federal 2019 a/</w:t>
            </w:r>
          </w:p>
        </w:tc>
        <w:tc>
          <w:tcPr>
            <w:tcW w:w="992" w:type="dxa"/>
            <w:tcBorders>
              <w:top w:val="single" w:sz="4" w:space="0" w:color="757171"/>
              <w:left w:val="nil"/>
              <w:bottom w:val="single" w:sz="4" w:space="0" w:color="7F7F7F" w:themeColor="text1" w:themeTint="80"/>
              <w:right w:val="single" w:sz="4" w:space="0" w:color="757171"/>
            </w:tcBorders>
            <w:shd w:val="clear" w:color="auto" w:fill="C5EAFF"/>
            <w:vAlign w:val="center"/>
          </w:tcPr>
          <w:p w:rsidR="00817951" w:rsidRPr="00C06035" w:rsidRDefault="00817951" w:rsidP="00817951">
            <w:pPr>
              <w:spacing w:after="0" w:line="240" w:lineRule="auto"/>
              <w:jc w:val="center"/>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1</w:t>
            </w:r>
          </w:p>
        </w:tc>
        <w:tc>
          <w:tcPr>
            <w:tcW w:w="2268" w:type="dxa"/>
            <w:tcBorders>
              <w:top w:val="single" w:sz="4" w:space="0" w:color="757171"/>
              <w:left w:val="nil"/>
              <w:bottom w:val="single" w:sz="4" w:space="0" w:color="7F7F7F" w:themeColor="text1" w:themeTint="80"/>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Censos Nacionales</w:t>
            </w:r>
          </w:p>
        </w:tc>
        <w:tc>
          <w:tcPr>
            <w:tcW w:w="1276" w:type="dxa"/>
            <w:tcBorders>
              <w:top w:val="single" w:sz="4" w:space="0" w:color="757171"/>
              <w:left w:val="nil"/>
              <w:bottom w:val="single" w:sz="4" w:space="0" w:color="7F7F7F" w:themeColor="text1" w:themeTint="80"/>
              <w:right w:val="single" w:sz="4" w:space="0" w:color="757171"/>
            </w:tcBorders>
            <w:shd w:val="clear" w:color="auto" w:fill="C5EAFF"/>
            <w:noWrap/>
            <w:vAlign w:val="center"/>
            <w:hideMark/>
          </w:tcPr>
          <w:p w:rsidR="00817951" w:rsidRPr="00C06035" w:rsidRDefault="00817951" w:rsidP="00817951">
            <w:pPr>
              <w:spacing w:after="0" w:line="240" w:lineRule="auto"/>
              <w:rPr>
                <w:rFonts w:ascii="Century Gothic" w:eastAsia="Times New Roman" w:hAnsi="Century Gothic" w:cs="Calibri"/>
                <w:color w:val="000000"/>
                <w:sz w:val="17"/>
                <w:szCs w:val="17"/>
                <w:lang w:eastAsia="es-MX"/>
              </w:rPr>
            </w:pPr>
            <w:r w:rsidRPr="00C06035">
              <w:rPr>
                <w:rFonts w:ascii="Century Gothic" w:eastAsia="Times New Roman" w:hAnsi="Century Gothic" w:cs="Calibri"/>
                <w:color w:val="000000"/>
                <w:sz w:val="17"/>
                <w:szCs w:val="17"/>
                <w:lang w:eastAsia="es-MX"/>
              </w:rPr>
              <w:t>Anual</w:t>
            </w:r>
          </w:p>
        </w:tc>
      </w:tr>
      <w:tr w:rsidR="00817951" w:rsidRPr="00AA1496" w:rsidTr="005223D0">
        <w:trPr>
          <w:trHeight w:val="340"/>
          <w:jc w:val="center"/>
        </w:trPr>
        <w:tc>
          <w:tcPr>
            <w:tcW w:w="6238" w:type="dxa"/>
            <w:tcBorders>
              <w:top w:val="single" w:sz="4" w:space="0" w:color="757171"/>
              <w:left w:val="single" w:sz="4" w:space="0" w:color="757171"/>
              <w:bottom w:val="single" w:sz="4" w:space="0" w:color="757171"/>
              <w:right w:val="single" w:sz="4" w:space="0" w:color="757171"/>
            </w:tcBorders>
            <w:shd w:val="clear" w:color="auto" w:fill="1F3864" w:themeFill="accent5" w:themeFillShade="80"/>
            <w:vAlign w:val="center"/>
          </w:tcPr>
          <w:p w:rsidR="00817951" w:rsidRPr="00C06035" w:rsidRDefault="00817951" w:rsidP="00DE258E">
            <w:pPr>
              <w:spacing w:after="0" w:line="240" w:lineRule="auto"/>
              <w:jc w:val="center"/>
              <w:rPr>
                <w:rFonts w:ascii="Century Gothic" w:eastAsia="Times New Roman" w:hAnsi="Century Gothic" w:cs="Calibri"/>
                <w:b/>
                <w:bCs/>
                <w:color w:val="FFFFFF"/>
                <w:sz w:val="17"/>
                <w:szCs w:val="17"/>
                <w:lang w:eastAsia="es-MX"/>
              </w:rPr>
            </w:pPr>
            <w:r w:rsidRPr="00C06035">
              <w:rPr>
                <w:rFonts w:ascii="Century Gothic" w:eastAsia="Times New Roman" w:hAnsi="Century Gothic" w:cs="Calibri"/>
                <w:b/>
                <w:bCs/>
                <w:color w:val="FFFFFF"/>
                <w:sz w:val="17"/>
                <w:szCs w:val="17"/>
                <w:lang w:eastAsia="es-MX"/>
              </w:rPr>
              <w:t>Total</w:t>
            </w:r>
          </w:p>
        </w:tc>
        <w:tc>
          <w:tcPr>
            <w:tcW w:w="992" w:type="dxa"/>
            <w:tcBorders>
              <w:top w:val="single" w:sz="4" w:space="0" w:color="7F7F7F" w:themeColor="text1" w:themeTint="80"/>
              <w:left w:val="single" w:sz="4" w:space="0" w:color="757171"/>
              <w:bottom w:val="single" w:sz="4" w:space="0" w:color="757171"/>
            </w:tcBorders>
            <w:shd w:val="clear" w:color="auto" w:fill="1F3864" w:themeFill="accent5" w:themeFillShade="80"/>
            <w:vAlign w:val="center"/>
          </w:tcPr>
          <w:p w:rsidR="00817951" w:rsidRPr="00C06035" w:rsidRDefault="004B4E9D" w:rsidP="00817951">
            <w:pPr>
              <w:spacing w:after="0" w:line="240" w:lineRule="auto"/>
              <w:jc w:val="center"/>
              <w:rPr>
                <w:rFonts w:ascii="Century Gothic" w:eastAsia="Times New Roman" w:hAnsi="Century Gothic" w:cs="Calibri"/>
                <w:b/>
                <w:bCs/>
                <w:color w:val="FFFFFF"/>
                <w:sz w:val="17"/>
                <w:szCs w:val="17"/>
                <w:lang w:eastAsia="es-MX"/>
              </w:rPr>
            </w:pPr>
            <w:r w:rsidRPr="00C06035">
              <w:rPr>
                <w:rFonts w:ascii="Century Gothic" w:eastAsia="Times New Roman" w:hAnsi="Century Gothic" w:cs="Calibri"/>
                <w:b/>
                <w:bCs/>
                <w:color w:val="FFFFFF"/>
                <w:sz w:val="17"/>
                <w:szCs w:val="17"/>
                <w:lang w:eastAsia="es-MX"/>
              </w:rPr>
              <w:t>29</w:t>
            </w:r>
          </w:p>
        </w:tc>
        <w:tc>
          <w:tcPr>
            <w:tcW w:w="2268" w:type="dxa"/>
            <w:tcBorders>
              <w:top w:val="single" w:sz="4" w:space="0" w:color="7F7F7F" w:themeColor="text1" w:themeTint="80"/>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p>
        </w:tc>
        <w:tc>
          <w:tcPr>
            <w:tcW w:w="1276" w:type="dxa"/>
            <w:tcBorders>
              <w:top w:val="single" w:sz="4" w:space="0" w:color="7F7F7F" w:themeColor="text1" w:themeTint="80"/>
            </w:tcBorders>
            <w:shd w:val="clear" w:color="auto" w:fill="auto"/>
            <w:vAlign w:val="center"/>
          </w:tcPr>
          <w:p w:rsidR="00817951" w:rsidRPr="00C06035" w:rsidRDefault="00817951" w:rsidP="00817951">
            <w:pPr>
              <w:spacing w:after="0" w:line="240" w:lineRule="auto"/>
              <w:jc w:val="center"/>
              <w:rPr>
                <w:rFonts w:ascii="Century Gothic" w:eastAsia="Times New Roman" w:hAnsi="Century Gothic" w:cs="Calibri"/>
                <w:b/>
                <w:bCs/>
                <w:color w:val="FFFFFF"/>
                <w:sz w:val="17"/>
                <w:szCs w:val="17"/>
                <w:lang w:eastAsia="es-MX"/>
              </w:rPr>
            </w:pPr>
          </w:p>
        </w:tc>
      </w:tr>
    </w:tbl>
    <w:p w:rsidR="00817951" w:rsidRPr="004A7B38" w:rsidRDefault="00817951" w:rsidP="00334962">
      <w:pPr>
        <w:spacing w:after="0" w:line="240" w:lineRule="auto"/>
        <w:ind w:left="-84" w:right="-262" w:hanging="58"/>
        <w:jc w:val="both"/>
        <w:rPr>
          <w:rFonts w:ascii="Century Gothic" w:hAnsi="Century Gothic"/>
          <w:bCs/>
          <w:i/>
          <w:sz w:val="15"/>
          <w:szCs w:val="15"/>
        </w:rPr>
      </w:pPr>
      <w:r w:rsidRPr="004A7B38">
        <w:rPr>
          <w:rFonts w:ascii="Century Gothic" w:eastAsia="Times New Roman" w:hAnsi="Century Gothic" w:cs="Calibri"/>
          <w:sz w:val="15"/>
          <w:szCs w:val="15"/>
          <w:vertAlign w:val="superscript"/>
          <w:lang w:eastAsia="es-MX"/>
        </w:rPr>
        <w:t xml:space="preserve">a/ </w:t>
      </w:r>
      <w:r w:rsidRPr="004A7B38">
        <w:rPr>
          <w:rFonts w:ascii="Century Gothic" w:hAnsi="Century Gothic"/>
          <w:sz w:val="15"/>
          <w:szCs w:val="15"/>
        </w:rPr>
        <w:t>Actualmente, los metadatos de los Censos Nacionales de Gobierno se documentan hasta</w:t>
      </w:r>
      <w:r w:rsidRPr="004A7B38">
        <w:rPr>
          <w:rFonts w:ascii="Century Gothic" w:eastAsia="Times New Roman" w:hAnsi="Century Gothic" w:cs="Calibri"/>
          <w:sz w:val="15"/>
          <w:szCs w:val="15"/>
          <w:vertAlign w:val="superscript"/>
          <w:lang w:eastAsia="es-MX"/>
        </w:rPr>
        <w:t xml:space="preserve"> </w:t>
      </w:r>
      <w:r w:rsidRPr="004A7B38">
        <w:rPr>
          <w:rFonts w:ascii="Century Gothic" w:hAnsi="Century Gothic"/>
          <w:bCs/>
          <w:i/>
          <w:sz w:val="15"/>
          <w:szCs w:val="15"/>
        </w:rPr>
        <w:t>que no se publican los microdatos de los Programas de Información en el sitio del INEGI en Internet. La DGEGSPJ ha comprometido la documentación de los metadatos de estos ciclos de programa, para el primer trimestre de 2020.</w:t>
      </w:r>
    </w:p>
    <w:p w:rsidR="00817951" w:rsidRPr="00334962" w:rsidRDefault="00817951" w:rsidP="00334962">
      <w:pPr>
        <w:spacing w:after="0" w:line="240" w:lineRule="auto"/>
        <w:ind w:left="-84" w:right="-262" w:hanging="58"/>
        <w:jc w:val="both"/>
        <w:rPr>
          <w:rFonts w:ascii="Century Gothic" w:hAnsi="Century Gothic"/>
          <w:bCs/>
          <w:i/>
          <w:sz w:val="14"/>
          <w:szCs w:val="12"/>
        </w:rPr>
      </w:pPr>
    </w:p>
    <w:p w:rsidR="00817951" w:rsidRPr="00817951" w:rsidRDefault="006C7D50" w:rsidP="00817951">
      <w:pPr>
        <w:spacing w:after="0" w:line="240" w:lineRule="auto"/>
        <w:ind w:left="-284"/>
        <w:jc w:val="center"/>
        <w:rPr>
          <w:rFonts w:ascii="Century Gothic" w:hAnsi="Century Gothic" w:cstheme="majorHAnsi"/>
          <w:b/>
          <w:sz w:val="19"/>
          <w:szCs w:val="19"/>
        </w:rPr>
      </w:pPr>
      <w:r>
        <w:rPr>
          <w:rFonts w:ascii="Century Gothic" w:hAnsi="Century Gothic" w:cstheme="majorHAnsi"/>
          <w:b/>
          <w:sz w:val="19"/>
          <w:szCs w:val="19"/>
        </w:rPr>
        <w:t>A.4</w:t>
      </w:r>
      <w:r w:rsidR="00817951" w:rsidRPr="00817951">
        <w:rPr>
          <w:rFonts w:ascii="Century Gothic" w:hAnsi="Century Gothic" w:cstheme="majorHAnsi"/>
          <w:b/>
          <w:sz w:val="19"/>
          <w:szCs w:val="19"/>
        </w:rPr>
        <w:t xml:space="preserve">.4 Porcentaje de programas de información que publicaron metadatos documentados </w:t>
      </w:r>
      <w:r w:rsidR="00817951" w:rsidRPr="00817951">
        <w:rPr>
          <w:rFonts w:ascii="Century Gothic" w:hAnsi="Century Gothic" w:cstheme="majorHAnsi"/>
          <w:b/>
          <w:sz w:val="19"/>
          <w:szCs w:val="19"/>
        </w:rPr>
        <w:br/>
        <w:t>con base en un estándar internacional, 2017-2019</w:t>
      </w:r>
    </w:p>
    <w:p w:rsidR="00817951" w:rsidRPr="00817951" w:rsidRDefault="00817951" w:rsidP="00817951">
      <w:pPr>
        <w:spacing w:after="0" w:line="240" w:lineRule="auto"/>
        <w:ind w:left="-284"/>
        <w:jc w:val="center"/>
        <w:rPr>
          <w:rFonts w:ascii="Century Gothic" w:hAnsi="Century Gothic"/>
          <w:bCs/>
          <w:i/>
          <w:sz w:val="16"/>
          <w:szCs w:val="19"/>
        </w:rPr>
      </w:pPr>
    </w:p>
    <w:p w:rsidR="00817951" w:rsidRPr="00817951" w:rsidRDefault="00817951" w:rsidP="00817951">
      <w:pPr>
        <w:spacing w:after="0" w:line="240" w:lineRule="auto"/>
        <w:ind w:left="-284"/>
        <w:jc w:val="center"/>
        <w:rPr>
          <w:rFonts w:ascii="Century Gothic" w:hAnsi="Century Gothic"/>
          <w:bCs/>
          <w:i/>
          <w:sz w:val="16"/>
          <w:szCs w:val="19"/>
        </w:rPr>
      </w:pPr>
      <w:r w:rsidRPr="00817951">
        <w:rPr>
          <w:rFonts w:ascii="Century Gothic" w:hAnsi="Century Gothic"/>
          <w:noProof/>
          <w:lang w:val="en-US"/>
        </w:rPr>
        <w:drawing>
          <wp:inline distT="0" distB="0" distL="0" distR="0" wp14:anchorId="49C9791B" wp14:editId="5137DBD9">
            <wp:extent cx="3243943" cy="1306285"/>
            <wp:effectExtent l="0" t="0" r="0" b="8255"/>
            <wp:docPr id="1"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04AF" w:rsidRDefault="00817951" w:rsidP="003704AF">
      <w:pPr>
        <w:spacing w:before="240"/>
        <w:jc w:val="both"/>
        <w:rPr>
          <w:rFonts w:ascii="Century Gothic" w:eastAsia="Calibri" w:hAnsi="Century Gothic"/>
          <w:b/>
          <w:color w:val="002060"/>
          <w:spacing w:val="-1"/>
        </w:rPr>
      </w:pPr>
      <w:r w:rsidRPr="00817951">
        <w:rPr>
          <w:rFonts w:ascii="Century Gothic" w:hAnsi="Century Gothic"/>
          <w:bCs/>
          <w:sz w:val="20"/>
          <w:szCs w:val="20"/>
        </w:rPr>
        <w:t xml:space="preserve">Como puede observarse, se han alcanzado avances </w:t>
      </w:r>
      <w:r w:rsidR="000E01C2">
        <w:rPr>
          <w:rFonts w:ascii="Century Gothic" w:hAnsi="Century Gothic"/>
          <w:bCs/>
          <w:sz w:val="20"/>
          <w:szCs w:val="20"/>
        </w:rPr>
        <w:t>relevantes</w:t>
      </w:r>
      <w:r w:rsidRPr="00817951">
        <w:rPr>
          <w:rFonts w:ascii="Century Gothic" w:hAnsi="Century Gothic"/>
          <w:bCs/>
          <w:sz w:val="20"/>
          <w:szCs w:val="20"/>
        </w:rPr>
        <w:t xml:space="preserve"> en la publicación de metadatos estandarizados. Sin embargo, queda pendiente la implementación de la plantilla institucional de metadatos de referencia que se definió durante 2019 y que permitirá integrar de manera sistemática, homogénea y estructurada los contenidos, metodologías y principios de calidad asociados a cualquier tipo de programas de información estadística y geográfica. Adicionalmente, duran</w:t>
      </w:r>
      <w:r w:rsidR="00627F32">
        <w:rPr>
          <w:rFonts w:ascii="Century Gothic" w:hAnsi="Century Gothic"/>
          <w:bCs/>
          <w:sz w:val="20"/>
          <w:szCs w:val="20"/>
        </w:rPr>
        <w:t>te</w:t>
      </w:r>
      <w:r w:rsidRPr="00817951">
        <w:rPr>
          <w:rFonts w:ascii="Century Gothic" w:hAnsi="Century Gothic"/>
          <w:bCs/>
          <w:sz w:val="20"/>
          <w:szCs w:val="20"/>
        </w:rPr>
        <w:t xml:space="preserve"> 2020 se tiene programada la definición de la especificación básica de metadatos estructurales</w:t>
      </w:r>
      <w:r w:rsidR="003B192E">
        <w:rPr>
          <w:rFonts w:ascii="Century Gothic" w:hAnsi="Century Gothic"/>
          <w:bCs/>
          <w:sz w:val="20"/>
          <w:szCs w:val="20"/>
        </w:rPr>
        <w:t>.</w:t>
      </w:r>
      <w:r w:rsidR="003704AF" w:rsidRPr="00D10FAA">
        <w:rPr>
          <w:rFonts w:ascii="Century Gothic" w:eastAsia="Calibri" w:hAnsi="Century Gothic"/>
          <w:b/>
          <w:color w:val="002060"/>
          <w:spacing w:val="-1"/>
        </w:rPr>
        <w:br w:type="page"/>
      </w:r>
    </w:p>
    <w:tbl>
      <w:tblPr>
        <w:tblW w:w="12333" w:type="dxa"/>
        <w:tblInd w:w="-1139" w:type="dxa"/>
        <w:tblLook w:val="04A0" w:firstRow="1" w:lastRow="0" w:firstColumn="1" w:lastColumn="0" w:noHBand="0" w:noVBand="1"/>
      </w:tblPr>
      <w:tblGrid>
        <w:gridCol w:w="4820"/>
        <w:gridCol w:w="7513"/>
      </w:tblGrid>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4"/>
                <w:szCs w:val="32"/>
              </w:rPr>
            </w:pPr>
          </w:p>
        </w:tc>
        <w:tc>
          <w:tcPr>
            <w:tcW w:w="7513" w:type="dxa"/>
            <w:shd w:val="clear" w:color="auto" w:fill="0079BF"/>
          </w:tcPr>
          <w:p w:rsidR="00B93248" w:rsidRPr="0022505B" w:rsidRDefault="00B93248" w:rsidP="008D0572">
            <w:pPr>
              <w:rPr>
                <w:rFonts w:cstheme="minorHAnsi"/>
                <w:color w:val="FFFFFF" w:themeColor="background1"/>
                <w:sz w:val="14"/>
                <w:szCs w:val="32"/>
              </w:rPr>
            </w:pPr>
          </w:p>
        </w:tc>
      </w:tr>
      <w:tr w:rsidR="00B93248" w:rsidRPr="0022505B" w:rsidTr="008D0572">
        <w:trPr>
          <w:trHeight w:val="201"/>
        </w:trPr>
        <w:tc>
          <w:tcPr>
            <w:tcW w:w="12333" w:type="dxa"/>
            <w:gridSpan w:val="2"/>
            <w:shd w:val="clear" w:color="auto" w:fill="auto"/>
          </w:tcPr>
          <w:p w:rsidR="00B93248" w:rsidRPr="00613C02" w:rsidRDefault="00B93248" w:rsidP="00882081">
            <w:pPr>
              <w:spacing w:after="0"/>
              <w:jc w:val="center"/>
              <w:rPr>
                <w:rFonts w:cstheme="minorHAnsi"/>
                <w:color w:val="000000" w:themeColor="text1"/>
                <w:sz w:val="32"/>
                <w:szCs w:val="32"/>
              </w:rPr>
            </w:pPr>
            <w:r>
              <w:rPr>
                <w:rFonts w:cstheme="minorHAnsi"/>
                <w:color w:val="000000" w:themeColor="text1"/>
                <w:sz w:val="32"/>
                <w:szCs w:val="32"/>
              </w:rPr>
              <w:t xml:space="preserve">ANEXO </w:t>
            </w:r>
            <w:r w:rsidR="00657B06">
              <w:rPr>
                <w:rFonts w:cstheme="minorHAnsi"/>
                <w:color w:val="000000" w:themeColor="text1"/>
                <w:sz w:val="32"/>
                <w:szCs w:val="32"/>
              </w:rPr>
              <w:t>5</w:t>
            </w:r>
          </w:p>
        </w:tc>
      </w:tr>
      <w:tr w:rsidR="00B93248" w:rsidRPr="0022505B" w:rsidTr="008D0572">
        <w:trPr>
          <w:trHeight w:val="201"/>
        </w:trPr>
        <w:tc>
          <w:tcPr>
            <w:tcW w:w="4820" w:type="dxa"/>
            <w:shd w:val="clear" w:color="auto" w:fill="1F3864" w:themeFill="accent5" w:themeFillShade="80"/>
          </w:tcPr>
          <w:p w:rsidR="00B93248" w:rsidRPr="0022505B" w:rsidRDefault="00B93248" w:rsidP="008D0572">
            <w:pPr>
              <w:rPr>
                <w:rFonts w:cstheme="minorHAnsi"/>
                <w:color w:val="FFFFFF" w:themeColor="background1"/>
                <w:sz w:val="12"/>
                <w:szCs w:val="32"/>
              </w:rPr>
            </w:pPr>
          </w:p>
        </w:tc>
        <w:tc>
          <w:tcPr>
            <w:tcW w:w="7513" w:type="dxa"/>
            <w:shd w:val="clear" w:color="auto" w:fill="0079BF"/>
          </w:tcPr>
          <w:p w:rsidR="00B93248" w:rsidRPr="0022505B" w:rsidRDefault="00B93248" w:rsidP="008D0572">
            <w:pPr>
              <w:rPr>
                <w:rFonts w:cstheme="minorHAnsi"/>
                <w:color w:val="FFFFFF" w:themeColor="background1"/>
                <w:sz w:val="12"/>
                <w:szCs w:val="32"/>
              </w:rPr>
            </w:pPr>
          </w:p>
        </w:tc>
      </w:tr>
    </w:tbl>
    <w:p w:rsidR="00B93248" w:rsidRPr="00D10FAA" w:rsidRDefault="00B93248" w:rsidP="00B93248">
      <w:pPr>
        <w:spacing w:after="120"/>
        <w:rPr>
          <w:rFonts w:ascii="Century Gothic" w:hAnsi="Century Gothic"/>
          <w:b/>
          <w:sz w:val="18"/>
        </w:rPr>
      </w:pPr>
    </w:p>
    <w:p w:rsidR="001962C5" w:rsidRPr="00A830A0" w:rsidRDefault="001962C5" w:rsidP="001962C5">
      <w:pPr>
        <w:keepNext/>
        <w:keepLines/>
        <w:spacing w:before="240" w:after="0"/>
        <w:jc w:val="both"/>
        <w:outlineLvl w:val="0"/>
        <w:rPr>
          <w:rFonts w:ascii="Century Gothic" w:hAnsi="Century Gothic"/>
          <w:b/>
        </w:rPr>
      </w:pPr>
      <w:bookmarkStart w:id="17" w:name="_Toc34310025"/>
      <w:r w:rsidRPr="00A830A0">
        <w:rPr>
          <w:rFonts w:ascii="Century Gothic" w:hAnsi="Century Gothic"/>
          <w:b/>
        </w:rPr>
        <w:t xml:space="preserve">Anexo 5: Indicadores de Precisión y confiabilidad </w:t>
      </w:r>
      <w:r w:rsidR="00B603E7">
        <w:rPr>
          <w:rFonts w:ascii="Century Gothic" w:hAnsi="Century Gothic"/>
          <w:b/>
        </w:rPr>
        <w:t xml:space="preserve">para </w:t>
      </w:r>
      <w:r w:rsidRPr="00A830A0">
        <w:rPr>
          <w:rFonts w:ascii="Century Gothic" w:hAnsi="Century Gothic"/>
          <w:b/>
        </w:rPr>
        <w:t>programa</w:t>
      </w:r>
      <w:r w:rsidR="00B603E7">
        <w:rPr>
          <w:rFonts w:ascii="Century Gothic" w:hAnsi="Century Gothic"/>
          <w:b/>
        </w:rPr>
        <w:t>s de información</w:t>
      </w:r>
      <w:r w:rsidRPr="00A830A0">
        <w:rPr>
          <w:rFonts w:ascii="Century Gothic" w:hAnsi="Century Gothic"/>
          <w:b/>
        </w:rPr>
        <w:t xml:space="preserve"> cuyo único insumo son registros administrativos</w:t>
      </w:r>
      <w:bookmarkEnd w:id="17"/>
    </w:p>
    <w:p w:rsidR="001962C5" w:rsidRPr="00A830A0" w:rsidRDefault="001962C5" w:rsidP="001962C5">
      <w:pPr>
        <w:spacing w:after="120"/>
        <w:rPr>
          <w:rFonts w:ascii="Century Gothic" w:hAnsi="Century Gothic"/>
          <w:sz w:val="19"/>
          <w:szCs w:val="19"/>
        </w:rPr>
      </w:pPr>
    </w:p>
    <w:p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En 2019</w:t>
      </w:r>
      <w:r w:rsidR="00B603E7">
        <w:rPr>
          <w:rFonts w:ascii="Century Gothic" w:hAnsi="Century Gothic"/>
          <w:sz w:val="19"/>
          <w:szCs w:val="19"/>
        </w:rPr>
        <w:t>, el Comité de Aseguramiento de la Calidad (</w:t>
      </w:r>
      <w:proofErr w:type="spellStart"/>
      <w:r w:rsidR="00B603E7">
        <w:rPr>
          <w:rFonts w:ascii="Century Gothic" w:hAnsi="Century Gothic"/>
          <w:sz w:val="19"/>
          <w:szCs w:val="19"/>
        </w:rPr>
        <w:t>CoAC</w:t>
      </w:r>
      <w:proofErr w:type="spellEnd"/>
      <w:r w:rsidR="00B603E7">
        <w:rPr>
          <w:rFonts w:ascii="Century Gothic" w:hAnsi="Century Gothic"/>
          <w:sz w:val="19"/>
          <w:szCs w:val="19"/>
        </w:rPr>
        <w:t>)</w:t>
      </w:r>
      <w:r w:rsidRPr="00A830A0">
        <w:rPr>
          <w:rFonts w:ascii="Century Gothic" w:hAnsi="Century Gothic"/>
          <w:sz w:val="19"/>
          <w:szCs w:val="19"/>
        </w:rPr>
        <w:t xml:space="preserve"> aprob</w:t>
      </w:r>
      <w:r w:rsidR="00B603E7">
        <w:rPr>
          <w:rFonts w:ascii="Century Gothic" w:hAnsi="Century Gothic"/>
          <w:sz w:val="19"/>
          <w:szCs w:val="19"/>
        </w:rPr>
        <w:t>ó</w:t>
      </w:r>
      <w:r w:rsidRPr="00A830A0">
        <w:rPr>
          <w:rFonts w:ascii="Century Gothic" w:hAnsi="Century Gothic"/>
          <w:sz w:val="19"/>
          <w:szCs w:val="19"/>
        </w:rPr>
        <w:t xml:space="preserve"> tres indicadores de precisión para los programas de información cuyo insumo son registros administrativos. Para entender la conceptualización de estos indicadores conviene revisar algunos conceptos generales: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71"/>
      </w:tblGrid>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Registro administrativo</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Conjunto de Datos que fueron generados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 (Norma MPEG).</w:t>
            </w:r>
          </w:p>
        </w:tc>
      </w:tr>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Proveedor de información</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Individuo o institución pública o privada que proporciona datos de un conjunto de unidades (por ejemplo, registros administrativos) a través de un Protocolo de Intercambio</w:t>
            </w:r>
            <w:r>
              <w:rPr>
                <w:rFonts w:ascii="Century Gothic" w:hAnsi="Century Gothic"/>
                <w:sz w:val="19"/>
                <w:szCs w:val="19"/>
              </w:rPr>
              <w:t xml:space="preserve">. </w:t>
            </w:r>
            <w:r w:rsidRPr="00A830A0">
              <w:rPr>
                <w:rFonts w:ascii="Century Gothic" w:hAnsi="Century Gothic"/>
                <w:sz w:val="19"/>
                <w:szCs w:val="19"/>
              </w:rPr>
              <w:t>Para algunos programas de información, el proveedor de información es una instancia concentradora de varios registros administrativos y, en otros casos los proveedores son varias instancias que recopilan directamente la información de las unidades.</w:t>
            </w:r>
          </w:p>
        </w:tc>
      </w:tr>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Conjunto de unidades pertenecientes a un grupo de personas, empresas, establecimientos, viviendas, o cualquier otro tipo de objetos, acciones o eventos, con base en ciertas características bien definidas, incluyendo límites sobre tiempo y espacio. (Norma MPEG).</w:t>
            </w:r>
          </w:p>
        </w:tc>
      </w:tr>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 objetivo</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Población para la cual se requiere realizar mediciones o representaciones de los conceptos; este conjunto contiene a todos los dominios de estudio.  Es decir, es la de interés estadístico, según el fenómeno que se quiere medir.</w:t>
            </w:r>
          </w:p>
        </w:tc>
      </w:tr>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 de los registros administrativos</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Población de la cual existe información en forma nominativa o individualizada en los registros administrativos.  Es decir, es la población posible de captar mediante el registro administrativo</w:t>
            </w:r>
            <w:r>
              <w:rPr>
                <w:rFonts w:ascii="Century Gothic" w:hAnsi="Century Gothic"/>
                <w:sz w:val="19"/>
                <w:szCs w:val="19"/>
              </w:rPr>
              <w:t>.</w:t>
            </w:r>
          </w:p>
        </w:tc>
      </w:tr>
      <w:tr w:rsidR="003B192E" w:rsidTr="003B192E">
        <w:tc>
          <w:tcPr>
            <w:tcW w:w="2552" w:type="dxa"/>
          </w:tcPr>
          <w:p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Dominio de estudio</w:t>
            </w:r>
            <w:r w:rsidRPr="00A830A0">
              <w:rPr>
                <w:rFonts w:ascii="Century Gothic" w:hAnsi="Century Gothic"/>
                <w:sz w:val="19"/>
                <w:szCs w:val="19"/>
              </w:rPr>
              <w:t>:</w:t>
            </w:r>
          </w:p>
        </w:tc>
        <w:tc>
          <w:tcPr>
            <w:tcW w:w="7671" w:type="dxa"/>
          </w:tcPr>
          <w:p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 xml:space="preserve">Subconjunto de la población objetivo para el cual se requiere realizar mediciones o representaciones de los conceptos de forma separada (Norma MPEG). Una vez definida la población objetivo, un dominio de estudio corresponde a un subconjunto que </w:t>
            </w:r>
            <w:r>
              <w:rPr>
                <w:rFonts w:ascii="Century Gothic" w:hAnsi="Century Gothic"/>
                <w:sz w:val="19"/>
                <w:szCs w:val="19"/>
              </w:rPr>
              <w:t>e</w:t>
            </w:r>
            <w:r w:rsidRPr="00A830A0">
              <w:rPr>
                <w:rFonts w:ascii="Century Gothic" w:hAnsi="Century Gothic"/>
                <w:sz w:val="19"/>
                <w:szCs w:val="19"/>
              </w:rPr>
              <w:t>st</w:t>
            </w:r>
            <w:r>
              <w:rPr>
                <w:rFonts w:ascii="Century Gothic" w:hAnsi="Century Gothic"/>
                <w:sz w:val="19"/>
                <w:szCs w:val="19"/>
              </w:rPr>
              <w:t>á</w:t>
            </w:r>
            <w:r w:rsidRPr="00A830A0">
              <w:rPr>
                <w:rFonts w:ascii="Century Gothic" w:hAnsi="Century Gothic"/>
                <w:sz w:val="19"/>
                <w:szCs w:val="19"/>
              </w:rPr>
              <w:t xml:space="preserve">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rsidR="001962C5" w:rsidRPr="00A830A0" w:rsidRDefault="001962C5" w:rsidP="001962C5">
      <w:pPr>
        <w:spacing w:after="120"/>
        <w:jc w:val="both"/>
        <w:rPr>
          <w:rFonts w:ascii="Century Gothic" w:hAnsi="Century Gothic"/>
          <w:sz w:val="19"/>
          <w:szCs w:val="19"/>
        </w:rPr>
      </w:pPr>
    </w:p>
    <w:p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 xml:space="preserve">Cuando a la población del registro le falta parte de la población objetivo se habla de que existe </w:t>
      </w:r>
      <w:proofErr w:type="spellStart"/>
      <w:r w:rsidRPr="00A830A0">
        <w:rPr>
          <w:rFonts w:ascii="Century Gothic" w:hAnsi="Century Gothic"/>
          <w:sz w:val="19"/>
          <w:szCs w:val="19"/>
        </w:rPr>
        <w:t>subcobertura</w:t>
      </w:r>
      <w:proofErr w:type="spellEnd"/>
      <w:r w:rsidRPr="00A830A0">
        <w:rPr>
          <w:rFonts w:ascii="Century Gothic" w:hAnsi="Century Gothic"/>
          <w:sz w:val="19"/>
          <w:szCs w:val="19"/>
        </w:rPr>
        <w:t xml:space="preserve">. Para conocer esta diferencia se requieren análisis especiales, por lo que no es posible definir un indicador único, sin embargo, es un análisis fundamental para determinar la pertinencia del programa.  Los indicadores que se aprobaron en el Comité de Aseguramiento de la Calidad no incluyen la </w:t>
      </w:r>
      <w:proofErr w:type="spellStart"/>
      <w:r w:rsidRPr="00A830A0">
        <w:rPr>
          <w:rFonts w:ascii="Century Gothic" w:hAnsi="Century Gothic"/>
          <w:sz w:val="19"/>
          <w:szCs w:val="19"/>
        </w:rPr>
        <w:t>subcobertura</w:t>
      </w:r>
      <w:proofErr w:type="spellEnd"/>
      <w:r w:rsidRPr="00A830A0">
        <w:rPr>
          <w:rFonts w:ascii="Century Gothic" w:hAnsi="Century Gothic"/>
          <w:sz w:val="19"/>
          <w:szCs w:val="19"/>
        </w:rPr>
        <w:t>, sino que se enfocan a medir la calidad a partir de la población del programa de registros administrativos.</w:t>
      </w:r>
    </w:p>
    <w:p w:rsidR="001962C5" w:rsidRPr="00A830A0" w:rsidRDefault="001962C5" w:rsidP="001962C5">
      <w:pPr>
        <w:spacing w:after="120"/>
        <w:jc w:val="both"/>
        <w:rPr>
          <w:rFonts w:ascii="Century Gothic" w:hAnsi="Century Gothic"/>
          <w:b/>
          <w:sz w:val="19"/>
          <w:szCs w:val="19"/>
        </w:rPr>
      </w:pPr>
      <w:r w:rsidRPr="00A830A0">
        <w:rPr>
          <w:rFonts w:ascii="Century Gothic" w:hAnsi="Century Gothic"/>
          <w:sz w:val="19"/>
          <w:szCs w:val="19"/>
        </w:rPr>
        <w:lastRenderedPageBreak/>
        <w:t>A continuación</w:t>
      </w:r>
      <w:r w:rsidR="00A86ED7">
        <w:rPr>
          <w:rFonts w:ascii="Century Gothic" w:hAnsi="Century Gothic"/>
          <w:sz w:val="19"/>
          <w:szCs w:val="19"/>
        </w:rPr>
        <w:t>,</w:t>
      </w:r>
      <w:r w:rsidRPr="00A830A0">
        <w:rPr>
          <w:rFonts w:ascii="Century Gothic" w:hAnsi="Century Gothic"/>
          <w:sz w:val="19"/>
          <w:szCs w:val="19"/>
        </w:rPr>
        <w:t xml:space="preserve"> se describen los tres indicadores aprobados por el Comité de Aseguramiento de la Calidad en 2019.</w:t>
      </w:r>
    </w:p>
    <w:p w:rsidR="001962C5" w:rsidRPr="00A830A0" w:rsidRDefault="001962C5" w:rsidP="001962C5">
      <w:pPr>
        <w:spacing w:after="120"/>
        <w:rPr>
          <w:rFonts w:ascii="Century Gothic" w:hAnsi="Century Gothic"/>
          <w:b/>
          <w:sz w:val="19"/>
          <w:szCs w:val="19"/>
        </w:rPr>
      </w:pPr>
    </w:p>
    <w:p w:rsidR="001962C5" w:rsidRPr="00A830A0" w:rsidRDefault="001962C5" w:rsidP="001962C5">
      <w:pPr>
        <w:numPr>
          <w:ilvl w:val="0"/>
          <w:numId w:val="36"/>
        </w:numPr>
        <w:spacing w:after="120"/>
        <w:ind w:left="284" w:hanging="284"/>
        <w:contextualSpacing/>
        <w:jc w:val="both"/>
        <w:rPr>
          <w:rFonts w:ascii="Century Gothic" w:hAnsi="Century Gothic"/>
          <w:b/>
          <w:sz w:val="19"/>
          <w:szCs w:val="19"/>
        </w:rPr>
      </w:pPr>
      <w:r w:rsidRPr="00A830A0">
        <w:rPr>
          <w:noProof/>
          <w:lang w:val="en-US"/>
        </w:rPr>
        <w:drawing>
          <wp:anchor distT="0" distB="0" distL="114300" distR="114300" simplePos="0" relativeHeight="251734016" behindDoc="0" locked="0" layoutInCell="1" allowOverlap="1" wp14:anchorId="66F9E1E8" wp14:editId="1B5C6577">
            <wp:simplePos x="0" y="0"/>
            <wp:positionH relativeFrom="margin">
              <wp:align>center</wp:align>
            </wp:positionH>
            <wp:positionV relativeFrom="paragraph">
              <wp:posOffset>297815</wp:posOffset>
            </wp:positionV>
            <wp:extent cx="6850040" cy="107632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0040" cy="1076325"/>
                    </a:xfrm>
                    <a:prstGeom prst="rect">
                      <a:avLst/>
                    </a:prstGeom>
                    <a:noFill/>
                    <a:ln>
                      <a:noFill/>
                    </a:ln>
                  </pic:spPr>
                </pic:pic>
              </a:graphicData>
            </a:graphic>
          </wp:anchor>
        </w:drawing>
      </w:r>
      <w:r w:rsidRPr="00A830A0">
        <w:rPr>
          <w:rFonts w:ascii="Century Gothic" w:hAnsi="Century Gothic"/>
          <w:b/>
          <w:sz w:val="19"/>
          <w:szCs w:val="19"/>
        </w:rPr>
        <w:t xml:space="preserve">Tasa de </w:t>
      </w:r>
      <w:proofErr w:type="spellStart"/>
      <w:r w:rsidRPr="00A830A0">
        <w:rPr>
          <w:rFonts w:ascii="Century Gothic" w:hAnsi="Century Gothic"/>
          <w:b/>
          <w:sz w:val="19"/>
          <w:szCs w:val="19"/>
        </w:rPr>
        <w:t>sobrecobertura</w:t>
      </w:r>
      <w:proofErr w:type="spellEnd"/>
    </w:p>
    <w:p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Esta tasa permite conocer qué tanto el registro administrativo que entregan los proveedores de información se apega a la población objetivo del programa. Para el cálculo de este indicador resulta útil responder la pregunta del siguiente diagrama:</w:t>
      </w:r>
    </w:p>
    <w:p w:rsidR="001962C5" w:rsidRPr="00A830A0" w:rsidRDefault="001962C5" w:rsidP="001962C5">
      <w:pPr>
        <w:spacing w:after="120"/>
        <w:jc w:val="center"/>
        <w:rPr>
          <w:rFonts w:ascii="Century Gothic" w:hAnsi="Century Gothic"/>
          <w:b/>
          <w:sz w:val="19"/>
          <w:szCs w:val="19"/>
        </w:rPr>
      </w:pPr>
      <w:r w:rsidRPr="00A830A0">
        <w:rPr>
          <w:rFonts w:ascii="Century Gothic" w:hAnsi="Century Gothic"/>
          <w:b/>
          <w:sz w:val="19"/>
          <w:szCs w:val="19"/>
        </w:rPr>
        <w:t xml:space="preserve">A.5.1.  Pregunta relevante para la tasa de </w:t>
      </w:r>
      <w:proofErr w:type="spellStart"/>
      <w:r w:rsidRPr="00A830A0">
        <w:rPr>
          <w:rFonts w:ascii="Century Gothic" w:hAnsi="Century Gothic"/>
          <w:b/>
          <w:sz w:val="19"/>
          <w:szCs w:val="19"/>
        </w:rPr>
        <w:t>sobrecobertura</w:t>
      </w:r>
      <w:proofErr w:type="spellEnd"/>
    </w:p>
    <w:p w:rsidR="001962C5" w:rsidRPr="00A830A0" w:rsidRDefault="001962C5" w:rsidP="001962C5">
      <w:pPr>
        <w:spacing w:after="120"/>
        <w:jc w:val="center"/>
        <w:rPr>
          <w:rFonts w:ascii="Century Gothic" w:hAnsi="Century Gothic"/>
          <w:sz w:val="19"/>
          <w:szCs w:val="19"/>
        </w:rPr>
      </w:pPr>
      <w:r w:rsidRPr="00A830A0">
        <w:rPr>
          <w:noProof/>
          <w:lang w:val="en-US"/>
        </w:rPr>
        <w:drawing>
          <wp:inline distT="0" distB="0" distL="0" distR="0" wp14:anchorId="42AD3416" wp14:editId="09B41021">
            <wp:extent cx="3775710" cy="1586054"/>
            <wp:effectExtent l="19050" t="19050" r="1524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056" cy="1597541"/>
                    </a:xfrm>
                    <a:prstGeom prst="rect">
                      <a:avLst/>
                    </a:prstGeom>
                    <a:noFill/>
                    <a:ln w="12700">
                      <a:solidFill>
                        <a:srgbClr val="0079BF"/>
                      </a:solidFill>
                    </a:ln>
                  </pic:spPr>
                </pic:pic>
              </a:graphicData>
            </a:graphic>
          </wp:inline>
        </w:drawing>
      </w:r>
    </w:p>
    <w:p w:rsidR="001962C5" w:rsidRPr="00A830A0" w:rsidRDefault="001962C5" w:rsidP="001962C5">
      <w:pPr>
        <w:jc w:val="both"/>
        <w:rPr>
          <w:rFonts w:ascii="Century Gothic" w:hAnsi="Century Gothic"/>
          <w:sz w:val="19"/>
          <w:szCs w:val="19"/>
        </w:rPr>
      </w:pPr>
      <w:r w:rsidRPr="00A830A0">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rsidR="001962C5" w:rsidRPr="00A830A0" w:rsidRDefault="001962C5" w:rsidP="001962C5">
      <w:pPr>
        <w:spacing w:after="120"/>
        <w:jc w:val="both"/>
        <w:rPr>
          <w:rFonts w:ascii="Century Gothic" w:hAnsi="Century Gothic"/>
          <w:sz w:val="19"/>
          <w:szCs w:val="19"/>
        </w:rPr>
      </w:pPr>
    </w:p>
    <w:p w:rsidR="001962C5" w:rsidRPr="00A830A0" w:rsidRDefault="001962C5" w:rsidP="001962C5">
      <w:pPr>
        <w:numPr>
          <w:ilvl w:val="0"/>
          <w:numId w:val="36"/>
        </w:numPr>
        <w:spacing w:after="120"/>
        <w:ind w:left="284" w:hanging="284"/>
        <w:contextualSpacing/>
        <w:jc w:val="both"/>
        <w:rPr>
          <w:rFonts w:ascii="Century Gothic" w:hAnsi="Century Gothic"/>
          <w:b/>
          <w:sz w:val="19"/>
          <w:szCs w:val="19"/>
        </w:rPr>
      </w:pPr>
      <w:r w:rsidRPr="00A830A0">
        <w:rPr>
          <w:noProof/>
          <w:lang w:val="en-US"/>
        </w:rPr>
        <w:drawing>
          <wp:anchor distT="0" distB="0" distL="114300" distR="114300" simplePos="0" relativeHeight="251735040" behindDoc="0" locked="0" layoutInCell="1" allowOverlap="1" wp14:anchorId="5BDB7730" wp14:editId="0D7844EE">
            <wp:simplePos x="0" y="0"/>
            <wp:positionH relativeFrom="margin">
              <wp:align>center</wp:align>
            </wp:positionH>
            <wp:positionV relativeFrom="paragraph">
              <wp:posOffset>274955</wp:posOffset>
            </wp:positionV>
            <wp:extent cx="6223572" cy="2658897"/>
            <wp:effectExtent l="0" t="0" r="635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572" cy="2658897"/>
                    </a:xfrm>
                    <a:prstGeom prst="rect">
                      <a:avLst/>
                    </a:prstGeom>
                    <a:noFill/>
                    <a:ln>
                      <a:noFill/>
                    </a:ln>
                  </pic:spPr>
                </pic:pic>
              </a:graphicData>
            </a:graphic>
          </wp:anchor>
        </w:drawing>
      </w:r>
      <w:r w:rsidRPr="00A830A0">
        <w:rPr>
          <w:rFonts w:ascii="Century Gothic" w:hAnsi="Century Gothic"/>
          <w:b/>
          <w:sz w:val="19"/>
          <w:szCs w:val="19"/>
        </w:rPr>
        <w:t>Tasa de no respuesta a nivel unidad</w:t>
      </w:r>
    </w:p>
    <w:p w:rsidR="001962C5" w:rsidRPr="00A830A0" w:rsidRDefault="001962C5" w:rsidP="001962C5">
      <w:pPr>
        <w:jc w:val="both"/>
        <w:rPr>
          <w:rFonts w:ascii="Century Gothic" w:hAnsi="Century Gothic"/>
          <w:sz w:val="19"/>
          <w:szCs w:val="19"/>
        </w:rPr>
      </w:pPr>
      <w:r w:rsidRPr="00A830A0">
        <w:rPr>
          <w:rFonts w:ascii="Century Gothic" w:hAnsi="Century Gothic"/>
          <w:sz w:val="19"/>
          <w:szCs w:val="19"/>
        </w:rPr>
        <w:t xml:space="preserve">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y el registro recibido </w:t>
      </w:r>
      <w:r w:rsidRPr="00A830A0">
        <w:rPr>
          <w:rFonts w:ascii="Century Gothic" w:hAnsi="Century Gothic"/>
          <w:sz w:val="19"/>
          <w:szCs w:val="19"/>
        </w:rPr>
        <w:lastRenderedPageBreak/>
        <w:t xml:space="preserve">está incompleto. En el siguiente diagrama se explica las distintas opciones que deben tomarse en cuenta para identificar la no respuesta a nivel de unidad. </w:t>
      </w:r>
    </w:p>
    <w:p w:rsidR="001962C5" w:rsidRPr="00A830A0" w:rsidRDefault="001962C5" w:rsidP="001962C5">
      <w:pPr>
        <w:jc w:val="center"/>
        <w:rPr>
          <w:rFonts w:ascii="Century Gothic" w:hAnsi="Century Gothic"/>
          <w:b/>
          <w:sz w:val="19"/>
          <w:szCs w:val="19"/>
        </w:rPr>
      </w:pPr>
      <w:r w:rsidRPr="00A830A0">
        <w:rPr>
          <w:rFonts w:ascii="Century Gothic" w:hAnsi="Century Gothic"/>
          <w:b/>
          <w:sz w:val="19"/>
          <w:szCs w:val="19"/>
        </w:rPr>
        <w:t>A.5.2. Componentes de la no respuesta a nivel unidad</w:t>
      </w:r>
    </w:p>
    <w:p w:rsidR="001962C5" w:rsidRPr="00A830A0" w:rsidRDefault="001962C5" w:rsidP="001962C5">
      <w:pPr>
        <w:jc w:val="center"/>
        <w:rPr>
          <w:rFonts w:ascii="Century Gothic" w:hAnsi="Century Gothic"/>
          <w:sz w:val="19"/>
          <w:szCs w:val="19"/>
        </w:rPr>
      </w:pPr>
      <w:r w:rsidRPr="00A830A0">
        <w:rPr>
          <w:noProof/>
          <w:lang w:val="en-US"/>
        </w:rPr>
        <w:drawing>
          <wp:inline distT="0" distB="0" distL="0" distR="0" wp14:anchorId="59F925CB" wp14:editId="462BB397">
            <wp:extent cx="5840577" cy="3488941"/>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9789" cy="3494444"/>
                    </a:xfrm>
                    <a:prstGeom prst="rect">
                      <a:avLst/>
                    </a:prstGeom>
                    <a:noFill/>
                    <a:ln>
                      <a:noFill/>
                    </a:ln>
                  </pic:spPr>
                </pic:pic>
              </a:graphicData>
            </a:graphic>
          </wp:inline>
        </w:drawing>
      </w:r>
    </w:p>
    <w:p w:rsidR="001962C5" w:rsidRPr="00A830A0" w:rsidRDefault="001962C5" w:rsidP="001962C5">
      <w:pPr>
        <w:jc w:val="both"/>
        <w:rPr>
          <w:rFonts w:ascii="Century Gothic" w:hAnsi="Century Gothic"/>
          <w:sz w:val="19"/>
          <w:szCs w:val="19"/>
        </w:rPr>
      </w:pPr>
    </w:p>
    <w:p w:rsidR="001962C5" w:rsidRPr="00A830A0" w:rsidRDefault="001962C5" w:rsidP="001962C5">
      <w:pPr>
        <w:jc w:val="center"/>
        <w:rPr>
          <w:rFonts w:ascii="Century Gothic" w:hAnsi="Century Gothic"/>
          <w:sz w:val="19"/>
          <w:szCs w:val="19"/>
        </w:rPr>
      </w:pPr>
      <w:r w:rsidRPr="00A830A0">
        <w:rPr>
          <w:rFonts w:ascii="Century Gothic" w:hAnsi="Century Gothic"/>
          <w:b/>
          <w:sz w:val="19"/>
          <w:szCs w:val="19"/>
        </w:rPr>
        <w:t>A.5.3. Significado de cada componente de la no respuesta a nivel unidad</w:t>
      </w:r>
    </w:p>
    <w:p w:rsidR="001962C5" w:rsidRPr="00A830A0" w:rsidRDefault="001962C5" w:rsidP="001962C5">
      <w:pPr>
        <w:jc w:val="center"/>
        <w:rPr>
          <w:rFonts w:ascii="Century Gothic" w:hAnsi="Century Gothic"/>
          <w:sz w:val="19"/>
          <w:szCs w:val="19"/>
        </w:rPr>
      </w:pPr>
      <w:r w:rsidRPr="00A830A0">
        <w:rPr>
          <w:noProof/>
          <w:lang w:val="en-US"/>
        </w:rPr>
        <w:drawing>
          <wp:inline distT="0" distB="0" distL="0" distR="0" wp14:anchorId="15956F57" wp14:editId="20DD1B06">
            <wp:extent cx="5812620" cy="3491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4599" cy="3510407"/>
                    </a:xfrm>
                    <a:prstGeom prst="rect">
                      <a:avLst/>
                    </a:prstGeom>
                    <a:noFill/>
                    <a:ln>
                      <a:noFill/>
                    </a:ln>
                  </pic:spPr>
                </pic:pic>
              </a:graphicData>
            </a:graphic>
          </wp:inline>
        </w:drawing>
      </w:r>
    </w:p>
    <w:p w:rsidR="001962C5" w:rsidRPr="00A830A0" w:rsidRDefault="001962C5" w:rsidP="001962C5">
      <w:pPr>
        <w:rPr>
          <w:rFonts w:ascii="Century Gothic" w:hAnsi="Century Gothic"/>
          <w:sz w:val="19"/>
          <w:szCs w:val="19"/>
        </w:rPr>
      </w:pPr>
    </w:p>
    <w:p w:rsidR="001962C5" w:rsidRPr="00A830A0" w:rsidRDefault="001962C5" w:rsidP="001962C5">
      <w:pPr>
        <w:rPr>
          <w:rFonts w:ascii="Century Gothic" w:hAnsi="Century Gothic"/>
          <w:sz w:val="19"/>
          <w:szCs w:val="19"/>
        </w:rPr>
      </w:pPr>
    </w:p>
    <w:p w:rsidR="001962C5" w:rsidRPr="00A830A0" w:rsidRDefault="001962C5" w:rsidP="001962C5">
      <w:pPr>
        <w:numPr>
          <w:ilvl w:val="0"/>
          <w:numId w:val="36"/>
        </w:numPr>
        <w:spacing w:after="120"/>
        <w:ind w:left="284" w:hanging="284"/>
        <w:contextualSpacing/>
        <w:jc w:val="both"/>
        <w:rPr>
          <w:rFonts w:ascii="Century Gothic" w:hAnsi="Century Gothic"/>
          <w:b/>
          <w:sz w:val="19"/>
          <w:szCs w:val="19"/>
        </w:rPr>
      </w:pPr>
      <w:r w:rsidRPr="00A830A0">
        <w:rPr>
          <w:noProof/>
          <w:lang w:val="en-US"/>
        </w:rPr>
        <w:drawing>
          <wp:anchor distT="0" distB="0" distL="114300" distR="114300" simplePos="0" relativeHeight="251736064" behindDoc="0" locked="0" layoutInCell="1" allowOverlap="1" wp14:anchorId="5D62746B" wp14:editId="25191267">
            <wp:simplePos x="0" y="0"/>
            <wp:positionH relativeFrom="column">
              <wp:posOffset>3480</wp:posOffset>
            </wp:positionH>
            <wp:positionV relativeFrom="paragraph">
              <wp:posOffset>261239</wp:posOffset>
            </wp:positionV>
            <wp:extent cx="5450840" cy="2117725"/>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0840" cy="2117725"/>
                    </a:xfrm>
                    <a:prstGeom prst="rect">
                      <a:avLst/>
                    </a:prstGeom>
                    <a:noFill/>
                    <a:ln>
                      <a:noFill/>
                    </a:ln>
                  </pic:spPr>
                </pic:pic>
              </a:graphicData>
            </a:graphic>
          </wp:anchor>
        </w:drawing>
      </w:r>
      <w:r w:rsidRPr="00A830A0">
        <w:rPr>
          <w:rFonts w:ascii="Century Gothic" w:hAnsi="Century Gothic"/>
          <w:b/>
          <w:sz w:val="19"/>
          <w:szCs w:val="19"/>
        </w:rPr>
        <w:t>Tasa de no respuesta a nivel variable</w:t>
      </w:r>
    </w:p>
    <w:p w:rsidR="001962C5" w:rsidRPr="00A830A0" w:rsidRDefault="001962C5" w:rsidP="00E70D96">
      <w:pPr>
        <w:spacing w:after="120"/>
        <w:jc w:val="both"/>
        <w:rPr>
          <w:rFonts w:ascii="Century Gothic" w:hAnsi="Century Gothic"/>
          <w:sz w:val="19"/>
          <w:szCs w:val="19"/>
        </w:rPr>
      </w:pPr>
      <w:r w:rsidRPr="00A830A0">
        <w:rPr>
          <w:rFonts w:ascii="Century Gothic" w:hAnsi="Century Gothic"/>
          <w:sz w:val="19"/>
          <w:szCs w:val="19"/>
        </w:rPr>
        <w:t>Para realizar el cálculo de la tasa de no respuesta a nivel variable, no se consideran los duplicados, la información que se identificó como fuera de la población objetivo y las unidades con información no admisible, es decir, solo se incluye la información admisible.</w:t>
      </w:r>
    </w:p>
    <w:p w:rsidR="001962C5" w:rsidRPr="00A830A0" w:rsidRDefault="001962C5" w:rsidP="00E70D96">
      <w:pPr>
        <w:spacing w:after="120"/>
        <w:jc w:val="both"/>
        <w:rPr>
          <w:rFonts w:ascii="Century Gothic" w:hAnsi="Century Gothic"/>
          <w:sz w:val="19"/>
          <w:szCs w:val="19"/>
        </w:rPr>
      </w:pPr>
      <w:r w:rsidRPr="00A830A0">
        <w:rPr>
          <w:rFonts w:ascii="Century Gothic" w:hAnsi="Century Gothic"/>
          <w:sz w:val="19"/>
          <w:szCs w:val="19"/>
        </w:rPr>
        <w:t>Con lo anterior, se busca determinar si a nivel variable falta información del fenómeno a medir en la base de datos final. La pregunta relevante para este caso debe realizarse para cada una de las variables:</w:t>
      </w:r>
    </w:p>
    <w:p w:rsidR="001962C5" w:rsidRPr="00A830A0" w:rsidRDefault="001962C5" w:rsidP="001962C5">
      <w:pPr>
        <w:jc w:val="center"/>
        <w:rPr>
          <w:rFonts w:ascii="Century Gothic" w:hAnsi="Century Gothic"/>
          <w:b/>
          <w:sz w:val="19"/>
          <w:szCs w:val="19"/>
        </w:rPr>
      </w:pPr>
    </w:p>
    <w:p w:rsidR="001962C5" w:rsidRPr="00A830A0" w:rsidRDefault="001962C5" w:rsidP="001962C5">
      <w:pPr>
        <w:jc w:val="center"/>
        <w:rPr>
          <w:rFonts w:ascii="Century Gothic" w:hAnsi="Century Gothic"/>
          <w:sz w:val="19"/>
          <w:szCs w:val="19"/>
        </w:rPr>
      </w:pPr>
      <w:r w:rsidRPr="00A830A0">
        <w:rPr>
          <w:rFonts w:ascii="Century Gothic" w:hAnsi="Century Gothic"/>
          <w:b/>
          <w:sz w:val="19"/>
          <w:szCs w:val="19"/>
        </w:rPr>
        <w:t>A.5.3. Pregunta relevante para la tasa de no respuesta a nivel variable</w:t>
      </w:r>
    </w:p>
    <w:p w:rsidR="001962C5" w:rsidRPr="00A830A0" w:rsidRDefault="001962C5" w:rsidP="001962C5">
      <w:pPr>
        <w:spacing w:after="120"/>
        <w:jc w:val="center"/>
        <w:rPr>
          <w:rFonts w:ascii="Century Gothic" w:hAnsi="Century Gothic"/>
          <w:sz w:val="19"/>
          <w:szCs w:val="19"/>
        </w:rPr>
      </w:pPr>
      <w:r w:rsidRPr="00A830A0">
        <w:rPr>
          <w:noProof/>
          <w:lang w:val="en-US"/>
        </w:rPr>
        <w:drawing>
          <wp:inline distT="0" distB="0" distL="0" distR="0" wp14:anchorId="4DE3B19D" wp14:editId="3321B6B8">
            <wp:extent cx="5254450" cy="20288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66" cy="2035048"/>
                    </a:xfrm>
                    <a:prstGeom prst="rect">
                      <a:avLst/>
                    </a:prstGeom>
                    <a:noFill/>
                    <a:ln>
                      <a:noFill/>
                    </a:ln>
                  </pic:spPr>
                </pic:pic>
              </a:graphicData>
            </a:graphic>
          </wp:inline>
        </w:drawing>
      </w:r>
    </w:p>
    <w:p w:rsidR="001962C5" w:rsidRPr="00A830A0" w:rsidRDefault="001962C5" w:rsidP="001962C5">
      <w:pPr>
        <w:spacing w:after="100"/>
        <w:jc w:val="both"/>
        <w:rPr>
          <w:rFonts w:ascii="Century Gothic" w:hAnsi="Century Gothic"/>
          <w:sz w:val="19"/>
          <w:szCs w:val="19"/>
        </w:rPr>
      </w:pPr>
      <w:r w:rsidRPr="00A830A0">
        <w:rPr>
          <w:rFonts w:ascii="Century Gothic" w:hAnsi="Century Gothic"/>
          <w:sz w:val="19"/>
          <w:szCs w:val="19"/>
        </w:rPr>
        <w:t xml:space="preserve">En la segunda sesión 2019 del </w:t>
      </w:r>
      <w:proofErr w:type="spellStart"/>
      <w:r w:rsidRPr="00A830A0">
        <w:rPr>
          <w:rFonts w:ascii="Century Gothic" w:hAnsi="Century Gothic"/>
          <w:sz w:val="19"/>
          <w:szCs w:val="19"/>
        </w:rPr>
        <w:t>C</w:t>
      </w:r>
      <w:r w:rsidR="009E5FB8">
        <w:rPr>
          <w:rFonts w:ascii="Century Gothic" w:hAnsi="Century Gothic"/>
          <w:sz w:val="19"/>
          <w:szCs w:val="19"/>
        </w:rPr>
        <w:t>o</w:t>
      </w:r>
      <w:r w:rsidRPr="00A830A0">
        <w:rPr>
          <w:rFonts w:ascii="Century Gothic" w:hAnsi="Century Gothic"/>
          <w:sz w:val="19"/>
          <w:szCs w:val="19"/>
        </w:rPr>
        <w:t>AC</w:t>
      </w:r>
      <w:proofErr w:type="spellEnd"/>
      <w:r w:rsidRPr="00A830A0">
        <w:rPr>
          <w:rFonts w:ascii="Century Gothic" w:hAnsi="Century Gothic"/>
          <w:sz w:val="19"/>
          <w:szCs w:val="19"/>
        </w:rPr>
        <w:t>, mediante el acuerdo</w:t>
      </w:r>
      <w:r w:rsidRPr="00A830A0">
        <w:rPr>
          <w:sz w:val="19"/>
          <w:szCs w:val="19"/>
        </w:rPr>
        <w:t xml:space="preserve"> </w:t>
      </w:r>
      <w:r w:rsidRPr="00A830A0">
        <w:rPr>
          <w:rFonts w:ascii="Century Gothic" w:hAnsi="Century Gothic"/>
          <w:sz w:val="19"/>
          <w:szCs w:val="19"/>
        </w:rPr>
        <w:t>CAC-004/02/2019, se aprobaron tres indicadores de uso interno, para ser reportados en los metadatos por los responsables de programas de registros administrativos a partir del segundo semestre de 2019</w:t>
      </w:r>
      <w:r w:rsidR="00E70D96">
        <w:rPr>
          <w:rFonts w:ascii="Century Gothic" w:hAnsi="Century Gothic"/>
          <w:sz w:val="19"/>
          <w:szCs w:val="19"/>
        </w:rPr>
        <w:t>,</w:t>
      </w:r>
      <w:r w:rsidRPr="00A830A0">
        <w:rPr>
          <w:rFonts w:ascii="Century Gothic" w:hAnsi="Century Gothic"/>
          <w:sz w:val="19"/>
          <w:szCs w:val="19"/>
        </w:rPr>
        <w:t xml:space="preserve"> considerando los siguientes puntos:</w:t>
      </w:r>
    </w:p>
    <w:p w:rsidR="001962C5" w:rsidRPr="00A830A0" w:rsidRDefault="001962C5" w:rsidP="001962C5">
      <w:pPr>
        <w:numPr>
          <w:ilvl w:val="0"/>
          <w:numId w:val="40"/>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el reporte se debe realizar a más tardar a los 30 días naturales contados a partir de la publicación de la información del Programa;</w:t>
      </w:r>
    </w:p>
    <w:p w:rsidR="001962C5" w:rsidRPr="00A830A0" w:rsidRDefault="001962C5" w:rsidP="001962C5">
      <w:pPr>
        <w:numPr>
          <w:ilvl w:val="0"/>
          <w:numId w:val="40"/>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se debe usar el formato definido en el Grupo de Trabajo;</w:t>
      </w:r>
    </w:p>
    <w:p w:rsidR="001962C5" w:rsidRDefault="001962C5" w:rsidP="001962C5">
      <w:pPr>
        <w:numPr>
          <w:ilvl w:val="0"/>
          <w:numId w:val="40"/>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en el caso de la Tasa de No Respuesta a Nivel Unidad, para cada programa se incluye en la sección de metadatos una nota técnica explicando el algoritmo específico usado para su cálculo.</w:t>
      </w:r>
    </w:p>
    <w:p w:rsidR="001962C5" w:rsidRPr="00A830A0" w:rsidRDefault="001962C5" w:rsidP="009E5FB8">
      <w:pPr>
        <w:spacing w:after="100"/>
        <w:ind w:left="567"/>
        <w:contextualSpacing/>
        <w:jc w:val="both"/>
        <w:rPr>
          <w:rFonts w:ascii="Century Gothic" w:hAnsi="Century Gothic"/>
          <w:sz w:val="19"/>
          <w:szCs w:val="19"/>
        </w:rPr>
      </w:pPr>
    </w:p>
    <w:p w:rsidR="001962C5" w:rsidRPr="00A830A0" w:rsidRDefault="001962C5" w:rsidP="001962C5">
      <w:pPr>
        <w:spacing w:after="100"/>
        <w:jc w:val="both"/>
        <w:rPr>
          <w:rFonts w:ascii="Century Gothic" w:hAnsi="Century Gothic"/>
          <w:sz w:val="19"/>
          <w:szCs w:val="19"/>
        </w:rPr>
      </w:pPr>
      <w:r w:rsidRPr="00A830A0">
        <w:rPr>
          <w:rFonts w:ascii="Century Gothic" w:hAnsi="Century Gothic"/>
          <w:sz w:val="19"/>
          <w:szCs w:val="19"/>
        </w:rPr>
        <w:t xml:space="preserve">Al 31 de diciembre de 2019, </w:t>
      </w:r>
      <w:r w:rsidR="009E5FB8">
        <w:rPr>
          <w:rFonts w:ascii="Century Gothic" w:hAnsi="Century Gothic"/>
          <w:sz w:val="19"/>
          <w:szCs w:val="19"/>
        </w:rPr>
        <w:t>13</w:t>
      </w:r>
      <w:r w:rsidR="009E5FB8" w:rsidRPr="00A830A0">
        <w:rPr>
          <w:rFonts w:ascii="Century Gothic" w:hAnsi="Century Gothic"/>
          <w:sz w:val="19"/>
          <w:szCs w:val="19"/>
        </w:rPr>
        <w:t xml:space="preserve"> </w:t>
      </w:r>
      <w:r w:rsidRPr="00A830A0">
        <w:rPr>
          <w:rFonts w:ascii="Century Gothic" w:hAnsi="Century Gothic"/>
          <w:sz w:val="19"/>
          <w:szCs w:val="19"/>
        </w:rPr>
        <w:t xml:space="preserve">ciclos de Programas de Información cuyas fuentes son solo Registros Administrativos, han publicado resultados; de éstos, el 90% reportaron en sus metadatos los Indicadores de Precisión y Confiabilidad de uso interno aprobados por el </w:t>
      </w:r>
      <w:proofErr w:type="spellStart"/>
      <w:r w:rsidRPr="00A830A0">
        <w:rPr>
          <w:rFonts w:ascii="Century Gothic" w:hAnsi="Century Gothic"/>
          <w:sz w:val="19"/>
          <w:szCs w:val="19"/>
        </w:rPr>
        <w:t>C</w:t>
      </w:r>
      <w:r w:rsidR="00461009">
        <w:rPr>
          <w:rFonts w:ascii="Century Gothic" w:hAnsi="Century Gothic"/>
          <w:sz w:val="19"/>
          <w:szCs w:val="19"/>
        </w:rPr>
        <w:t>o</w:t>
      </w:r>
      <w:r w:rsidRPr="00A830A0">
        <w:rPr>
          <w:rFonts w:ascii="Century Gothic" w:hAnsi="Century Gothic"/>
          <w:sz w:val="19"/>
          <w:szCs w:val="19"/>
        </w:rPr>
        <w:t>AC</w:t>
      </w:r>
      <w:proofErr w:type="spellEnd"/>
      <w:r w:rsidRPr="00A830A0">
        <w:rPr>
          <w:rFonts w:ascii="Century Gothic" w:hAnsi="Century Gothic"/>
          <w:sz w:val="19"/>
          <w:szCs w:val="19"/>
        </w:rPr>
        <w:t>. El 10% restante corresponde a los siguientes ciclos de programa</w:t>
      </w:r>
      <w:r w:rsidR="00461009">
        <w:rPr>
          <w:rFonts w:ascii="Century Gothic" w:hAnsi="Century Gothic"/>
          <w:sz w:val="19"/>
          <w:szCs w:val="19"/>
        </w:rPr>
        <w:t>s</w:t>
      </w:r>
      <w:r w:rsidRPr="00A830A0">
        <w:rPr>
          <w:rFonts w:ascii="Century Gothic" w:hAnsi="Century Gothic"/>
          <w:sz w:val="19"/>
          <w:szCs w:val="19"/>
        </w:rPr>
        <w:t>:</w:t>
      </w:r>
    </w:p>
    <w:p w:rsidR="001962C5" w:rsidRPr="00A830A0" w:rsidRDefault="001962C5" w:rsidP="001962C5">
      <w:pPr>
        <w:numPr>
          <w:ilvl w:val="0"/>
          <w:numId w:val="39"/>
        </w:numPr>
        <w:spacing w:after="100"/>
        <w:contextualSpacing/>
        <w:jc w:val="both"/>
        <w:rPr>
          <w:rFonts w:ascii="Century Gothic" w:hAnsi="Century Gothic"/>
          <w:sz w:val="19"/>
          <w:szCs w:val="19"/>
        </w:rPr>
      </w:pPr>
      <w:r w:rsidRPr="00A830A0">
        <w:rPr>
          <w:rFonts w:ascii="Century Gothic" w:hAnsi="Century Gothic"/>
          <w:sz w:val="19"/>
          <w:szCs w:val="19"/>
        </w:rPr>
        <w:t>Vehículos de Motor Registrados en Circulación 2018, Información anual (DGEE)</w:t>
      </w:r>
    </w:p>
    <w:p w:rsidR="001962C5" w:rsidRPr="00A830A0" w:rsidRDefault="001962C5" w:rsidP="001962C5">
      <w:pPr>
        <w:numPr>
          <w:ilvl w:val="0"/>
          <w:numId w:val="39"/>
        </w:numPr>
        <w:spacing w:after="100"/>
        <w:contextualSpacing/>
        <w:jc w:val="both"/>
        <w:rPr>
          <w:rFonts w:ascii="Century Gothic" w:hAnsi="Century Gothic"/>
          <w:sz w:val="19"/>
          <w:szCs w:val="19"/>
        </w:rPr>
      </w:pPr>
      <w:r w:rsidRPr="00A830A0">
        <w:rPr>
          <w:rFonts w:ascii="Century Gothic" w:hAnsi="Century Gothic"/>
          <w:sz w:val="19"/>
          <w:szCs w:val="19"/>
        </w:rPr>
        <w:lastRenderedPageBreak/>
        <w:t>Registro de Impartición de Justicia en Materia Penal (DGEGSPJ)</w:t>
      </w:r>
    </w:p>
    <w:p w:rsidR="001962C5" w:rsidRPr="00A830A0" w:rsidRDefault="001962C5" w:rsidP="001962C5">
      <w:pPr>
        <w:numPr>
          <w:ilvl w:val="0"/>
          <w:numId w:val="39"/>
        </w:numPr>
        <w:spacing w:after="100"/>
        <w:contextualSpacing/>
        <w:jc w:val="both"/>
        <w:rPr>
          <w:rFonts w:ascii="Century Gothic" w:hAnsi="Century Gothic"/>
          <w:sz w:val="19"/>
          <w:szCs w:val="19"/>
        </w:rPr>
      </w:pPr>
      <w:r w:rsidRPr="00A830A0">
        <w:rPr>
          <w:rFonts w:ascii="Century Gothic" w:hAnsi="Century Gothic"/>
          <w:sz w:val="19"/>
          <w:szCs w:val="19"/>
        </w:rPr>
        <w:t>Cédula de Operación Anual (DGGMA)</w:t>
      </w:r>
    </w:p>
    <w:p w:rsidR="001962C5" w:rsidRPr="00A830A0" w:rsidRDefault="001962C5" w:rsidP="001962C5">
      <w:pPr>
        <w:spacing w:after="100"/>
        <w:jc w:val="both"/>
        <w:rPr>
          <w:rFonts w:ascii="Century Gothic" w:hAnsi="Century Gothic"/>
          <w:sz w:val="19"/>
          <w:szCs w:val="19"/>
        </w:rPr>
      </w:pPr>
    </w:p>
    <w:p w:rsidR="001962C5" w:rsidRPr="00A830A0" w:rsidRDefault="001962C5" w:rsidP="001962C5">
      <w:pPr>
        <w:spacing w:after="100"/>
        <w:ind w:left="284"/>
        <w:jc w:val="both"/>
        <w:rPr>
          <w:rFonts w:ascii="Century Gothic" w:hAnsi="Century Gothic"/>
          <w:sz w:val="20"/>
          <w:szCs w:val="20"/>
        </w:rPr>
      </w:pPr>
      <w:r w:rsidRPr="00A830A0">
        <w:rPr>
          <w:rFonts w:ascii="Century Gothic" w:hAnsi="Century Gothic"/>
          <w:b/>
          <w:bCs/>
          <w:sz w:val="20"/>
          <w:szCs w:val="20"/>
        </w:rPr>
        <w:t>A.5.4. Ciclos de Programa</w:t>
      </w:r>
      <w:r w:rsidR="00461009">
        <w:rPr>
          <w:rFonts w:ascii="Century Gothic" w:hAnsi="Century Gothic"/>
          <w:b/>
          <w:bCs/>
          <w:sz w:val="20"/>
          <w:szCs w:val="20"/>
        </w:rPr>
        <w:t>s</w:t>
      </w:r>
      <w:r w:rsidRPr="00A830A0">
        <w:rPr>
          <w:rFonts w:ascii="Century Gothic" w:hAnsi="Century Gothic"/>
          <w:b/>
          <w:bCs/>
          <w:sz w:val="20"/>
          <w:szCs w:val="20"/>
        </w:rPr>
        <w:t xml:space="preserve"> de información cuyo </w:t>
      </w:r>
      <w:r w:rsidR="00461009">
        <w:rPr>
          <w:rFonts w:ascii="Century Gothic" w:hAnsi="Century Gothic"/>
          <w:b/>
          <w:bCs/>
          <w:sz w:val="20"/>
          <w:szCs w:val="20"/>
        </w:rPr>
        <w:t xml:space="preserve">único </w:t>
      </w:r>
      <w:r w:rsidRPr="00A830A0">
        <w:rPr>
          <w:rFonts w:ascii="Century Gothic" w:hAnsi="Century Gothic"/>
          <w:b/>
          <w:bCs/>
          <w:sz w:val="20"/>
          <w:szCs w:val="20"/>
        </w:rPr>
        <w:t>insumo son sólo Registros Administrativos</w:t>
      </w:r>
      <w:r w:rsidRPr="00A830A0">
        <w:rPr>
          <w:rFonts w:ascii="Century Gothic" w:hAnsi="Century Gothic"/>
          <w:b/>
          <w:bCs/>
          <w:sz w:val="20"/>
          <w:szCs w:val="20"/>
        </w:rPr>
        <w:br/>
        <w:t xml:space="preserve">que están obligados a reportar indicadores de calidad a partir del </w:t>
      </w:r>
      <w:r w:rsidR="00461009">
        <w:rPr>
          <w:rFonts w:ascii="Century Gothic" w:hAnsi="Century Gothic"/>
          <w:b/>
          <w:bCs/>
          <w:sz w:val="20"/>
          <w:szCs w:val="20"/>
        </w:rPr>
        <w:t>segundo semestre</w:t>
      </w:r>
      <w:r w:rsidRPr="00A830A0">
        <w:rPr>
          <w:rFonts w:ascii="Century Gothic" w:hAnsi="Century Gothic"/>
          <w:b/>
          <w:bCs/>
          <w:sz w:val="20"/>
          <w:szCs w:val="20"/>
        </w:rPr>
        <w:t xml:space="preserve"> de 2019 </w:t>
      </w:r>
    </w:p>
    <w:tbl>
      <w:tblPr>
        <w:tblW w:w="1008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1000"/>
        <w:gridCol w:w="4489"/>
        <w:gridCol w:w="1336"/>
        <w:gridCol w:w="2046"/>
        <w:gridCol w:w="1210"/>
      </w:tblGrid>
      <w:tr w:rsidR="001962C5" w:rsidRPr="009B77CE" w:rsidTr="00C06035">
        <w:trPr>
          <w:trHeight w:val="20"/>
          <w:tblHeader/>
        </w:trPr>
        <w:tc>
          <w:tcPr>
            <w:tcW w:w="1004" w:type="dxa"/>
            <w:shd w:val="clear" w:color="auto" w:fill="1F3864" w:themeFill="accent5" w:themeFillShade="80"/>
            <w:vAlign w:val="center"/>
          </w:tcPr>
          <w:p w:rsidR="001962C5" w:rsidRPr="00C06035" w:rsidRDefault="001962C5" w:rsidP="00036138">
            <w:pPr>
              <w:spacing w:after="0" w:line="240" w:lineRule="auto"/>
              <w:jc w:val="center"/>
              <w:rPr>
                <w:rFonts w:ascii="Century Gothic" w:hAnsi="Century Gothic"/>
                <w:b/>
                <w:bCs/>
                <w:sz w:val="17"/>
                <w:szCs w:val="17"/>
              </w:rPr>
            </w:pPr>
            <w:r w:rsidRPr="00C06035">
              <w:rPr>
                <w:rFonts w:ascii="Century Gothic" w:hAnsi="Century Gothic"/>
                <w:b/>
                <w:bCs/>
                <w:sz w:val="17"/>
                <w:szCs w:val="17"/>
              </w:rPr>
              <w:t xml:space="preserve">UA </w:t>
            </w:r>
          </w:p>
        </w:tc>
        <w:tc>
          <w:tcPr>
            <w:tcW w:w="4528" w:type="dxa"/>
            <w:shd w:val="clear" w:color="auto" w:fill="1F3864" w:themeFill="accent5" w:themeFillShade="80"/>
            <w:tcMar>
              <w:top w:w="72" w:type="dxa"/>
              <w:left w:w="144" w:type="dxa"/>
              <w:bottom w:w="72" w:type="dxa"/>
              <w:right w:w="144" w:type="dxa"/>
            </w:tcMar>
            <w:vAlign w:val="center"/>
            <w:hideMark/>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b/>
                <w:bCs/>
                <w:sz w:val="17"/>
                <w:szCs w:val="17"/>
              </w:rPr>
              <w:t>Programas de información cuyo único insumo son registros administrativos</w:t>
            </w:r>
          </w:p>
        </w:tc>
        <w:tc>
          <w:tcPr>
            <w:tcW w:w="1276" w:type="dxa"/>
            <w:shd w:val="clear" w:color="auto" w:fill="1F3864" w:themeFill="accent5" w:themeFillShade="80"/>
            <w:tcMar>
              <w:top w:w="72" w:type="dxa"/>
              <w:left w:w="144" w:type="dxa"/>
              <w:bottom w:w="72" w:type="dxa"/>
              <w:right w:w="144" w:type="dxa"/>
            </w:tcMar>
            <w:vAlign w:val="center"/>
            <w:hideMark/>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b/>
                <w:bCs/>
                <w:sz w:val="17"/>
                <w:szCs w:val="17"/>
              </w:rPr>
              <w:t>Periodicidad</w:t>
            </w:r>
          </w:p>
        </w:tc>
        <w:tc>
          <w:tcPr>
            <w:tcW w:w="2061" w:type="dxa"/>
            <w:shd w:val="clear" w:color="auto" w:fill="1F3864" w:themeFill="accent5" w:themeFillShade="80"/>
            <w:vAlign w:val="center"/>
          </w:tcPr>
          <w:p w:rsidR="001962C5" w:rsidRPr="00C06035" w:rsidRDefault="001962C5" w:rsidP="00461009">
            <w:pPr>
              <w:spacing w:after="0" w:line="240" w:lineRule="auto"/>
              <w:ind w:left="1"/>
              <w:jc w:val="center"/>
              <w:rPr>
                <w:rFonts w:ascii="Century Gothic" w:hAnsi="Century Gothic"/>
                <w:b/>
                <w:bCs/>
                <w:sz w:val="17"/>
                <w:szCs w:val="17"/>
              </w:rPr>
            </w:pPr>
            <w:r w:rsidRPr="00C06035">
              <w:rPr>
                <w:rFonts w:ascii="Century Gothic" w:hAnsi="Century Gothic"/>
                <w:b/>
                <w:bCs/>
                <w:sz w:val="17"/>
                <w:szCs w:val="17"/>
              </w:rPr>
              <w:t xml:space="preserve">Número de ciclos </w:t>
            </w:r>
            <w:r w:rsidR="00461009" w:rsidRPr="00C06035">
              <w:rPr>
                <w:rFonts w:ascii="Century Gothic" w:hAnsi="Century Gothic"/>
                <w:b/>
                <w:bCs/>
                <w:sz w:val="17"/>
                <w:szCs w:val="17"/>
              </w:rPr>
              <w:t>publicados</w:t>
            </w:r>
            <w:r w:rsidRPr="00C06035">
              <w:rPr>
                <w:rFonts w:ascii="Century Gothic" w:hAnsi="Century Gothic"/>
                <w:b/>
                <w:bCs/>
                <w:sz w:val="17"/>
                <w:szCs w:val="17"/>
              </w:rPr>
              <w:t xml:space="preserve"> en el segundo semestre de 2019</w:t>
            </w:r>
          </w:p>
        </w:tc>
        <w:tc>
          <w:tcPr>
            <w:tcW w:w="1212" w:type="dxa"/>
            <w:shd w:val="clear" w:color="auto" w:fill="1F3864" w:themeFill="accent5" w:themeFillShade="80"/>
            <w:vAlign w:val="center"/>
          </w:tcPr>
          <w:p w:rsidR="001962C5" w:rsidRPr="00C06035" w:rsidRDefault="001962C5" w:rsidP="00036138">
            <w:pPr>
              <w:spacing w:after="0" w:line="240" w:lineRule="auto"/>
              <w:ind w:left="66"/>
              <w:jc w:val="center"/>
              <w:rPr>
                <w:rFonts w:ascii="Century Gothic" w:hAnsi="Century Gothic"/>
                <w:b/>
                <w:bCs/>
                <w:sz w:val="17"/>
                <w:szCs w:val="17"/>
              </w:rPr>
            </w:pPr>
            <w:r w:rsidRPr="00C06035">
              <w:rPr>
                <w:rFonts w:ascii="Century Gothic" w:hAnsi="Century Gothic"/>
                <w:b/>
                <w:bCs/>
                <w:sz w:val="17"/>
                <w:szCs w:val="17"/>
              </w:rPr>
              <w:t>Número de ciclos con indicadores</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 de Finanzas Públicas Estatales y Municipales 2018 a/</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4242CA"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4</w:t>
            </w:r>
          </w:p>
        </w:tc>
        <w:tc>
          <w:tcPr>
            <w:tcW w:w="1212" w:type="dxa"/>
            <w:shd w:val="clear" w:color="auto" w:fill="auto"/>
            <w:vAlign w:val="center"/>
          </w:tcPr>
          <w:p w:rsidR="001962C5" w:rsidRPr="00C06035" w:rsidRDefault="004242CA"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 xml:space="preserve">Estadística de Accidentes de Tránsito Terrestre en Zonas Urbanas y Suburbanas, 2018 </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 de Transporte Urbano de Pasajeros 2019</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Mensual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6</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6</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 xml:space="preserve">Vehículos de Motor Registrados en Circulación 2019 </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Mensual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6</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6</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Vehículos de Motor Registrados en Circulación 2018</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DGEE</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 de Sacrificio de Ganado en Rastros Municipales 2019</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Mensual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6</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6</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Estadísticas Vitales. Defunciones Registradas 2018</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Estadísticas Vitales. Defunciones Fetales 2018</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Estadísticas Vitales. Natalidad 2018</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 xml:space="preserve">Estadísticas Vitales. Matrimonios 2018 </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Estadísticas Vitales. Divorcios 2018</w:t>
            </w:r>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DGES</w:t>
            </w:r>
          </w:p>
        </w:tc>
        <w:tc>
          <w:tcPr>
            <w:tcW w:w="4528" w:type="dxa"/>
            <w:shd w:val="clear" w:color="auto" w:fill="C5EAFF"/>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Estadísticas de Salud en Establecimientos Particulares</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1962C5" w:rsidRPr="00A830A0" w:rsidTr="00C06035">
        <w:trPr>
          <w:trHeight w:val="20"/>
        </w:trPr>
        <w:tc>
          <w:tcPr>
            <w:tcW w:w="1004" w:type="dxa"/>
            <w:shd w:val="clear" w:color="auto" w:fill="auto"/>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DGEGSPJ</w:t>
            </w:r>
          </w:p>
        </w:tc>
        <w:tc>
          <w:tcPr>
            <w:tcW w:w="4528" w:type="dxa"/>
            <w:shd w:val="clear" w:color="auto" w:fill="auto"/>
            <w:tcMar>
              <w:top w:w="72" w:type="dxa"/>
              <w:left w:w="144" w:type="dxa"/>
              <w:bottom w:w="72" w:type="dxa"/>
              <w:right w:w="144" w:type="dxa"/>
            </w:tcMar>
            <w:vAlign w:val="center"/>
            <w:hideMark/>
          </w:tcPr>
          <w:p w:rsidR="001962C5" w:rsidRPr="00C06035" w:rsidRDefault="001962C5" w:rsidP="00036138">
            <w:pPr>
              <w:spacing w:after="0" w:line="240" w:lineRule="auto"/>
              <w:rPr>
                <w:rFonts w:ascii="Century Gothic" w:hAnsi="Century Gothic"/>
                <w:sz w:val="17"/>
                <w:szCs w:val="17"/>
              </w:rPr>
            </w:pPr>
            <w:r w:rsidRPr="00C06035">
              <w:rPr>
                <w:rFonts w:ascii="Century Gothic" w:hAnsi="Century Gothic"/>
                <w:color w:val="000000"/>
                <w:sz w:val="17"/>
                <w:szCs w:val="17"/>
              </w:rPr>
              <w:t xml:space="preserve">Impartición de Justicia en Materia Penal 2018 </w:t>
            </w:r>
            <w:proofErr w:type="spellStart"/>
            <w:r w:rsidRPr="00C06035">
              <w:rPr>
                <w:rFonts w:ascii="Century Gothic" w:hAnsi="Century Gothic"/>
                <w:color w:val="000000"/>
                <w:sz w:val="17"/>
                <w:szCs w:val="17"/>
              </w:rPr>
              <w:t>b</w:t>
            </w:r>
            <w:r w:rsidRPr="00C06035">
              <w:rPr>
                <w:rFonts w:ascii="Century Gothic" w:hAnsi="Century Gothic"/>
                <w:color w:val="000000"/>
                <w:sz w:val="17"/>
                <w:szCs w:val="17"/>
                <w:vertAlign w:val="superscript"/>
              </w:rPr>
              <w:t>/</w:t>
            </w:r>
            <w:proofErr w:type="spellEnd"/>
          </w:p>
        </w:tc>
        <w:tc>
          <w:tcPr>
            <w:tcW w:w="1276" w:type="dxa"/>
            <w:shd w:val="clear" w:color="auto" w:fill="auto"/>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sz w:val="17"/>
                <w:szCs w:val="17"/>
              </w:rPr>
            </w:pPr>
            <w:r w:rsidRPr="00C06035">
              <w:rPr>
                <w:rFonts w:ascii="Century Gothic" w:hAnsi="Century Gothic"/>
                <w:color w:val="000000"/>
                <w:sz w:val="17"/>
                <w:szCs w:val="17"/>
              </w:rPr>
              <w:t>Anual</w:t>
            </w:r>
          </w:p>
        </w:tc>
        <w:tc>
          <w:tcPr>
            <w:tcW w:w="2061" w:type="dxa"/>
            <w:shd w:val="clear" w:color="auto" w:fill="auto"/>
            <w:vAlign w:val="center"/>
          </w:tcPr>
          <w:p w:rsidR="001962C5" w:rsidRPr="00C06035" w:rsidRDefault="001962C5"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1212" w:type="dxa"/>
            <w:shd w:val="clear" w:color="auto" w:fill="auto"/>
            <w:vAlign w:val="center"/>
          </w:tcPr>
          <w:p w:rsidR="001962C5" w:rsidRPr="00C06035" w:rsidRDefault="001962C5" w:rsidP="00036138">
            <w:pPr>
              <w:spacing w:after="0" w:line="240" w:lineRule="auto"/>
              <w:ind w:left="66"/>
              <w:jc w:val="center"/>
              <w:rPr>
                <w:rFonts w:ascii="Century Gothic" w:hAnsi="Century Gothic"/>
                <w:color w:val="FF0000"/>
                <w:sz w:val="17"/>
                <w:szCs w:val="17"/>
              </w:rPr>
            </w:pPr>
            <w:r w:rsidRPr="00C06035">
              <w:rPr>
                <w:rFonts w:ascii="Century Gothic" w:hAnsi="Century Gothic"/>
                <w:color w:val="FF0000"/>
                <w:sz w:val="17"/>
                <w:szCs w:val="17"/>
              </w:rPr>
              <w:t>-</w:t>
            </w:r>
          </w:p>
        </w:tc>
      </w:tr>
      <w:tr w:rsidR="001962C5" w:rsidRPr="00A830A0" w:rsidTr="00C06035">
        <w:trPr>
          <w:trHeight w:val="20"/>
        </w:trPr>
        <w:tc>
          <w:tcPr>
            <w:tcW w:w="1004" w:type="dxa"/>
            <w:shd w:val="clear" w:color="auto" w:fill="C5EAFF"/>
            <w:vAlign w:val="center"/>
          </w:tcPr>
          <w:p w:rsidR="001962C5" w:rsidRPr="00C06035" w:rsidRDefault="001962C5" w:rsidP="00036138">
            <w:pPr>
              <w:spacing w:after="0" w:line="240" w:lineRule="auto"/>
              <w:jc w:val="center"/>
              <w:rPr>
                <w:rFonts w:ascii="Century Gothic" w:hAnsi="Century Gothic"/>
                <w:color w:val="000000"/>
                <w:sz w:val="17"/>
                <w:szCs w:val="17"/>
              </w:rPr>
            </w:pPr>
            <w:r w:rsidRPr="00C06035">
              <w:rPr>
                <w:rFonts w:ascii="Century Gothic" w:hAnsi="Century Gothic"/>
                <w:color w:val="000000"/>
                <w:sz w:val="17"/>
                <w:szCs w:val="17"/>
              </w:rPr>
              <w:t>DGGMA</w:t>
            </w:r>
          </w:p>
        </w:tc>
        <w:tc>
          <w:tcPr>
            <w:tcW w:w="4528"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rPr>
                <w:rFonts w:ascii="Century Gothic" w:hAnsi="Century Gothic"/>
                <w:color w:val="000000"/>
                <w:sz w:val="17"/>
                <w:szCs w:val="17"/>
              </w:rPr>
            </w:pPr>
            <w:r w:rsidRPr="00C06035">
              <w:rPr>
                <w:rFonts w:ascii="Century Gothic" w:hAnsi="Century Gothic"/>
                <w:color w:val="000000"/>
                <w:sz w:val="17"/>
                <w:szCs w:val="17"/>
              </w:rPr>
              <w:t>Cédula de Operación Anual c</w:t>
            </w:r>
            <w:r w:rsidRPr="00C06035">
              <w:rPr>
                <w:rFonts w:ascii="Century Gothic" w:hAnsi="Century Gothic"/>
                <w:color w:val="000000"/>
                <w:sz w:val="17"/>
                <w:szCs w:val="17"/>
                <w:vertAlign w:val="superscript"/>
              </w:rPr>
              <w:t>/</w:t>
            </w:r>
          </w:p>
        </w:tc>
        <w:tc>
          <w:tcPr>
            <w:tcW w:w="1276" w:type="dxa"/>
            <w:shd w:val="clear" w:color="auto" w:fill="C5EAFF"/>
            <w:tcMar>
              <w:top w:w="72" w:type="dxa"/>
              <w:left w:w="144" w:type="dxa"/>
              <w:bottom w:w="72" w:type="dxa"/>
              <w:right w:w="144" w:type="dxa"/>
            </w:tcMar>
            <w:vAlign w:val="center"/>
          </w:tcPr>
          <w:p w:rsidR="001962C5" w:rsidRPr="00C06035" w:rsidRDefault="001962C5" w:rsidP="00036138">
            <w:pPr>
              <w:spacing w:after="0" w:line="240" w:lineRule="auto"/>
              <w:jc w:val="center"/>
              <w:rPr>
                <w:rFonts w:ascii="Century Gothic" w:hAnsi="Century Gothic"/>
                <w:color w:val="000000"/>
                <w:sz w:val="17"/>
                <w:szCs w:val="17"/>
              </w:rPr>
            </w:pPr>
            <w:r w:rsidRPr="00C06035">
              <w:rPr>
                <w:rFonts w:ascii="Century Gothic" w:hAnsi="Century Gothic"/>
                <w:color w:val="000000"/>
                <w:sz w:val="17"/>
                <w:szCs w:val="17"/>
              </w:rPr>
              <w:t>Anual</w:t>
            </w:r>
          </w:p>
        </w:tc>
        <w:tc>
          <w:tcPr>
            <w:tcW w:w="2061" w:type="dxa"/>
            <w:shd w:val="clear" w:color="auto" w:fill="C5EAFF"/>
            <w:vAlign w:val="center"/>
          </w:tcPr>
          <w:p w:rsidR="001962C5" w:rsidRPr="00C06035" w:rsidRDefault="001962C5"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1</w:t>
            </w:r>
          </w:p>
        </w:tc>
        <w:tc>
          <w:tcPr>
            <w:tcW w:w="1212" w:type="dxa"/>
            <w:shd w:val="clear" w:color="auto" w:fill="C5EAFF"/>
            <w:vAlign w:val="center"/>
          </w:tcPr>
          <w:p w:rsidR="001962C5" w:rsidRPr="00C06035" w:rsidRDefault="001962C5" w:rsidP="00036138">
            <w:pPr>
              <w:spacing w:after="0" w:line="240" w:lineRule="auto"/>
              <w:ind w:left="66"/>
              <w:jc w:val="center"/>
              <w:rPr>
                <w:rFonts w:ascii="Century Gothic" w:hAnsi="Century Gothic"/>
                <w:color w:val="FF0000"/>
                <w:sz w:val="17"/>
                <w:szCs w:val="17"/>
              </w:rPr>
            </w:pPr>
            <w:r w:rsidRPr="00C06035">
              <w:rPr>
                <w:rFonts w:ascii="Century Gothic" w:hAnsi="Century Gothic"/>
                <w:color w:val="FF0000"/>
                <w:sz w:val="17"/>
                <w:szCs w:val="17"/>
              </w:rPr>
              <w:t>-</w:t>
            </w:r>
          </w:p>
        </w:tc>
      </w:tr>
      <w:tr w:rsidR="001962C5" w:rsidRPr="00A830A0" w:rsidTr="00C06035">
        <w:trPr>
          <w:trHeight w:val="20"/>
        </w:trPr>
        <w:tc>
          <w:tcPr>
            <w:tcW w:w="8869" w:type="dxa"/>
            <w:gridSpan w:val="4"/>
            <w:shd w:val="clear" w:color="auto" w:fill="1F3864" w:themeFill="accent5" w:themeFillShade="80"/>
            <w:vAlign w:val="center"/>
          </w:tcPr>
          <w:p w:rsidR="001962C5" w:rsidRPr="00C06035" w:rsidRDefault="001962C5" w:rsidP="00036138">
            <w:pPr>
              <w:spacing w:after="0" w:line="240" w:lineRule="auto"/>
              <w:ind w:left="1"/>
              <w:jc w:val="right"/>
              <w:rPr>
                <w:rFonts w:ascii="Century Gothic" w:hAnsi="Century Gothic"/>
                <w:b/>
                <w:color w:val="FFFFFF" w:themeColor="background1"/>
                <w:sz w:val="17"/>
                <w:szCs w:val="17"/>
              </w:rPr>
            </w:pPr>
            <w:r w:rsidRPr="00C06035">
              <w:rPr>
                <w:rFonts w:ascii="Century Gothic" w:hAnsi="Century Gothic"/>
                <w:b/>
                <w:color w:val="FFFFFF" w:themeColor="background1"/>
                <w:sz w:val="17"/>
                <w:szCs w:val="17"/>
              </w:rPr>
              <w:t>Porcentaje de entrega</w:t>
            </w:r>
          </w:p>
        </w:tc>
        <w:tc>
          <w:tcPr>
            <w:tcW w:w="1212" w:type="dxa"/>
            <w:shd w:val="clear" w:color="auto" w:fill="1F3864" w:themeFill="accent5" w:themeFillShade="80"/>
            <w:vAlign w:val="center"/>
          </w:tcPr>
          <w:p w:rsidR="001962C5" w:rsidRPr="00C06035" w:rsidRDefault="001962C5" w:rsidP="00036138">
            <w:pPr>
              <w:spacing w:after="0" w:line="240" w:lineRule="auto"/>
              <w:ind w:left="66"/>
              <w:jc w:val="center"/>
              <w:rPr>
                <w:rFonts w:ascii="Century Gothic" w:hAnsi="Century Gothic"/>
                <w:b/>
                <w:color w:val="FFFFFF" w:themeColor="background1"/>
                <w:sz w:val="17"/>
                <w:szCs w:val="17"/>
              </w:rPr>
            </w:pPr>
            <w:r w:rsidRPr="00C06035">
              <w:rPr>
                <w:rFonts w:ascii="Century Gothic" w:hAnsi="Century Gothic"/>
                <w:b/>
                <w:color w:val="FFFFFF" w:themeColor="background1"/>
                <w:sz w:val="17"/>
                <w:szCs w:val="17"/>
              </w:rPr>
              <w:t>90%</w:t>
            </w:r>
          </w:p>
        </w:tc>
      </w:tr>
    </w:tbl>
    <w:p w:rsidR="001962C5" w:rsidRPr="004A7B38" w:rsidRDefault="001962C5" w:rsidP="001962C5">
      <w:pPr>
        <w:spacing w:after="0" w:line="240" w:lineRule="auto"/>
        <w:jc w:val="both"/>
        <w:rPr>
          <w:rFonts w:ascii="Century Gothic" w:eastAsia="Times New Roman" w:hAnsi="Century Gothic" w:cs="Calibri"/>
          <w:sz w:val="15"/>
          <w:szCs w:val="15"/>
          <w:lang w:eastAsia="es-MX"/>
        </w:rPr>
      </w:pPr>
      <w:r w:rsidRPr="004A7B38">
        <w:rPr>
          <w:rFonts w:ascii="Century Gothic" w:hAnsi="Century Gothic"/>
          <w:sz w:val="15"/>
          <w:szCs w:val="15"/>
        </w:rPr>
        <w:t xml:space="preserve">a/ </w:t>
      </w:r>
      <w:r w:rsidRPr="004A7B38">
        <w:rPr>
          <w:rFonts w:ascii="Century Gothic" w:eastAsia="Times New Roman" w:hAnsi="Century Gothic" w:cs="Calibri"/>
          <w:sz w:val="15"/>
          <w:szCs w:val="15"/>
          <w:lang w:eastAsia="es-MX"/>
        </w:rPr>
        <w:t xml:space="preserve">La publicación de resultados de la Estadística de Finanzas Públicas Estatales y Municipales 2018 se calendarizó en </w:t>
      </w:r>
      <w:r w:rsidR="00210322" w:rsidRPr="004A7B38">
        <w:rPr>
          <w:rFonts w:ascii="Century Gothic" w:eastAsia="Times New Roman" w:hAnsi="Century Gothic" w:cs="Calibri"/>
          <w:sz w:val="15"/>
          <w:szCs w:val="15"/>
          <w:lang w:eastAsia="es-MX"/>
        </w:rPr>
        <w:t xml:space="preserve">cuatro </w:t>
      </w:r>
      <w:r w:rsidRPr="004A7B38">
        <w:rPr>
          <w:rFonts w:ascii="Century Gothic" w:eastAsia="Times New Roman" w:hAnsi="Century Gothic" w:cs="Calibri"/>
          <w:sz w:val="15"/>
          <w:szCs w:val="15"/>
          <w:lang w:eastAsia="es-MX"/>
        </w:rPr>
        <w:t xml:space="preserve">actualizaciones, para cada una de ellas se </w:t>
      </w:r>
      <w:r w:rsidR="00210322" w:rsidRPr="004A7B38">
        <w:rPr>
          <w:rFonts w:ascii="Century Gothic" w:eastAsia="Times New Roman" w:hAnsi="Century Gothic" w:cs="Calibri"/>
          <w:sz w:val="15"/>
          <w:szCs w:val="15"/>
          <w:lang w:eastAsia="es-MX"/>
        </w:rPr>
        <w:t xml:space="preserve">entregaron </w:t>
      </w:r>
      <w:r w:rsidRPr="004A7B38">
        <w:rPr>
          <w:rFonts w:ascii="Century Gothic" w:eastAsia="Times New Roman" w:hAnsi="Century Gothic" w:cs="Calibri"/>
          <w:sz w:val="15"/>
          <w:szCs w:val="15"/>
          <w:lang w:eastAsia="es-MX"/>
        </w:rPr>
        <w:t xml:space="preserve">los indicadores de precisión estadística.  </w:t>
      </w:r>
      <w:proofErr w:type="spellStart"/>
      <w:r w:rsidRPr="004A7B38">
        <w:rPr>
          <w:rFonts w:ascii="Century Gothic" w:eastAsia="Times New Roman" w:hAnsi="Century Gothic" w:cs="Calibri"/>
          <w:sz w:val="15"/>
          <w:szCs w:val="15"/>
          <w:lang w:eastAsia="es-MX"/>
        </w:rPr>
        <w:t>b/</w:t>
      </w:r>
      <w:proofErr w:type="spellEnd"/>
      <w:r w:rsidRPr="004A7B38">
        <w:rPr>
          <w:rFonts w:ascii="Century Gothic" w:eastAsia="Times New Roman" w:hAnsi="Century Gothic" w:cs="Calibri"/>
          <w:sz w:val="15"/>
          <w:szCs w:val="15"/>
          <w:lang w:eastAsia="es-MX"/>
        </w:rPr>
        <w:t xml:space="preserve"> Los archivos de BD disponibles en el sitio del INEGI en Internet, tienen fecha de actualización del 31 de julio de 2019. Este programa de información no cuenta con metadatos documentados. c/ No se tiene evidencia de la publicación de resultados </w:t>
      </w:r>
      <w:r w:rsidR="00210322" w:rsidRPr="004A7B38">
        <w:rPr>
          <w:rFonts w:ascii="Century Gothic" w:eastAsia="Times New Roman" w:hAnsi="Century Gothic" w:cs="Calibri"/>
          <w:sz w:val="15"/>
          <w:szCs w:val="15"/>
          <w:lang w:eastAsia="es-MX"/>
        </w:rPr>
        <w:t xml:space="preserve">de la </w:t>
      </w:r>
      <w:r w:rsidRPr="004A7B38">
        <w:rPr>
          <w:rFonts w:ascii="Century Gothic" w:eastAsia="Times New Roman" w:hAnsi="Century Gothic" w:cs="Calibri"/>
          <w:sz w:val="15"/>
          <w:szCs w:val="15"/>
          <w:lang w:eastAsia="es-MX"/>
        </w:rPr>
        <w:t xml:space="preserve">Cédula de Operación Anual en el sitio del INEGI en Internet. </w:t>
      </w:r>
    </w:p>
    <w:p w:rsidR="001962C5" w:rsidRPr="00A830A0" w:rsidRDefault="001962C5" w:rsidP="001962C5">
      <w:pPr>
        <w:spacing w:after="100"/>
        <w:jc w:val="both"/>
        <w:rPr>
          <w:rFonts w:ascii="Century Gothic" w:hAnsi="Century Gothic"/>
          <w:sz w:val="19"/>
          <w:szCs w:val="19"/>
        </w:rPr>
      </w:pPr>
    </w:p>
    <w:p w:rsidR="001962C5" w:rsidRPr="00A830A0" w:rsidRDefault="001962C5" w:rsidP="001962C5">
      <w:pPr>
        <w:spacing w:after="100"/>
        <w:jc w:val="both"/>
        <w:rPr>
          <w:rFonts w:ascii="Century Gothic" w:hAnsi="Century Gothic"/>
          <w:sz w:val="19"/>
          <w:szCs w:val="19"/>
        </w:rPr>
      </w:pPr>
      <w:r w:rsidRPr="00A830A0">
        <w:rPr>
          <w:rFonts w:ascii="Century Gothic" w:hAnsi="Century Gothic"/>
          <w:sz w:val="19"/>
          <w:szCs w:val="19"/>
        </w:rPr>
        <w:t>Con el fin de dar un panorama general de los resultados de los indicadores, en los siguientes cuadros se presentan los resultados de los promedios de las tasas aprobadas en el Comité.</w:t>
      </w:r>
    </w:p>
    <w:p w:rsidR="001962C5" w:rsidRPr="00A830A0" w:rsidRDefault="001962C5" w:rsidP="001962C5">
      <w:pPr>
        <w:spacing w:after="100"/>
        <w:jc w:val="both"/>
        <w:rPr>
          <w:rFonts w:ascii="Century Gothic" w:hAnsi="Century Gothic"/>
          <w:sz w:val="19"/>
          <w:szCs w:val="19"/>
        </w:rPr>
      </w:pPr>
    </w:p>
    <w:p w:rsidR="001962C5" w:rsidRPr="00A830A0" w:rsidRDefault="001962C5" w:rsidP="001962C5">
      <w:pPr>
        <w:spacing w:after="100"/>
        <w:ind w:left="284"/>
        <w:jc w:val="center"/>
        <w:rPr>
          <w:rFonts w:ascii="Century Gothic" w:hAnsi="Century Gothic"/>
          <w:sz w:val="19"/>
          <w:szCs w:val="19"/>
        </w:rPr>
      </w:pPr>
      <w:r w:rsidRPr="00A830A0">
        <w:rPr>
          <w:rFonts w:ascii="Century Gothic" w:hAnsi="Century Gothic"/>
          <w:b/>
          <w:bCs/>
          <w:sz w:val="20"/>
          <w:szCs w:val="20"/>
        </w:rPr>
        <w:t xml:space="preserve">A.5.5. Promedio de las tasas de </w:t>
      </w:r>
      <w:proofErr w:type="spellStart"/>
      <w:r w:rsidRPr="00A830A0">
        <w:rPr>
          <w:rFonts w:ascii="Century Gothic" w:hAnsi="Century Gothic"/>
          <w:b/>
          <w:bCs/>
          <w:sz w:val="20"/>
          <w:szCs w:val="20"/>
        </w:rPr>
        <w:t>sobrecobertura</w:t>
      </w:r>
      <w:proofErr w:type="spellEnd"/>
      <w:r w:rsidRPr="00A830A0">
        <w:rPr>
          <w:rFonts w:ascii="Century Gothic" w:hAnsi="Century Gothic"/>
          <w:b/>
          <w:bCs/>
          <w:sz w:val="20"/>
          <w:szCs w:val="20"/>
        </w:rPr>
        <w:t xml:space="preserve"> y de no respuesta por unidad reportadas</w:t>
      </w:r>
    </w:p>
    <w:tbl>
      <w:tblPr>
        <w:tblW w:w="1048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700"/>
        <w:gridCol w:w="4749"/>
        <w:gridCol w:w="1062"/>
        <w:gridCol w:w="1984"/>
        <w:gridCol w:w="1985"/>
      </w:tblGrid>
      <w:tr w:rsidR="001962C5" w:rsidRPr="009B77CE" w:rsidTr="00036138">
        <w:trPr>
          <w:trHeight w:val="20"/>
          <w:tblHeader/>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Times New Roman"/>
                <w:b/>
                <w:sz w:val="17"/>
                <w:szCs w:val="17"/>
              </w:rPr>
            </w:pPr>
            <w:r w:rsidRPr="00C06035">
              <w:rPr>
                <w:rFonts w:ascii="Century Gothic" w:eastAsia="Times New Roman" w:hAnsi="Century Gothic" w:cs="Calibri"/>
                <w:b/>
                <w:color w:val="000000"/>
                <w:sz w:val="17"/>
                <w:szCs w:val="17"/>
              </w:rPr>
              <w:t>UA</w:t>
            </w:r>
          </w:p>
        </w:tc>
        <w:tc>
          <w:tcPr>
            <w:tcW w:w="4749"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Times New Roman"/>
                <w:b/>
                <w:sz w:val="17"/>
                <w:szCs w:val="17"/>
              </w:rPr>
            </w:pPr>
            <w:r w:rsidRPr="00C06035">
              <w:rPr>
                <w:rFonts w:ascii="Century Gothic" w:eastAsia="Times New Roman" w:hAnsi="Century Gothic" w:cs="Calibri"/>
                <w:b/>
                <w:bCs/>
                <w:sz w:val="17"/>
                <w:szCs w:val="17"/>
              </w:rPr>
              <w:t>Programa</w:t>
            </w:r>
            <w:r w:rsidR="000017BE" w:rsidRPr="00C06035">
              <w:rPr>
                <w:rFonts w:ascii="Century Gothic" w:eastAsia="Times New Roman" w:hAnsi="Century Gothic" w:cs="Calibri"/>
                <w:b/>
                <w:bCs/>
                <w:sz w:val="17"/>
                <w:szCs w:val="17"/>
              </w:rPr>
              <w:t>s de Información</w:t>
            </w:r>
          </w:p>
        </w:tc>
        <w:tc>
          <w:tcPr>
            <w:tcW w:w="1062" w:type="dxa"/>
            <w:shd w:val="clear" w:color="auto" w:fill="D9D9D9" w:themeFill="background1" w:themeFillShade="D9"/>
            <w:vAlign w:val="center"/>
            <w:hideMark/>
          </w:tcPr>
          <w:p w:rsidR="001962C5" w:rsidRPr="00C06035" w:rsidRDefault="001962C5" w:rsidP="00036138">
            <w:pPr>
              <w:spacing w:before="60" w:after="60" w:line="240" w:lineRule="auto"/>
              <w:jc w:val="center"/>
              <w:rPr>
                <w:rFonts w:ascii="Century Gothic" w:eastAsia="Times New Roman" w:hAnsi="Century Gothic" w:cs="Times New Roman"/>
                <w:b/>
                <w:sz w:val="17"/>
                <w:szCs w:val="17"/>
              </w:rPr>
            </w:pPr>
            <w:r w:rsidRPr="00C06035">
              <w:rPr>
                <w:rFonts w:ascii="Century Gothic" w:eastAsia="Times New Roman" w:hAnsi="Century Gothic" w:cs="Calibri"/>
                <w:b/>
                <w:bCs/>
                <w:sz w:val="17"/>
                <w:szCs w:val="17"/>
              </w:rPr>
              <w:t>Número de casos totales</w:t>
            </w:r>
          </w:p>
        </w:tc>
        <w:tc>
          <w:tcPr>
            <w:tcW w:w="1984" w:type="dxa"/>
            <w:shd w:val="clear" w:color="auto" w:fill="C5EAFF"/>
            <w:vAlign w:val="center"/>
            <w:hideMark/>
          </w:tcPr>
          <w:p w:rsidR="001962C5" w:rsidRPr="00C06035" w:rsidRDefault="001962C5" w:rsidP="00036138">
            <w:pPr>
              <w:spacing w:before="60" w:after="60" w:line="240" w:lineRule="auto"/>
              <w:jc w:val="center"/>
              <w:rPr>
                <w:rFonts w:ascii="Century Gothic" w:eastAsia="Times New Roman" w:hAnsi="Century Gothic" w:cs="Calibri"/>
                <w:b/>
                <w:color w:val="000000"/>
                <w:sz w:val="17"/>
                <w:szCs w:val="17"/>
              </w:rPr>
            </w:pPr>
            <w:r w:rsidRPr="00C06035">
              <w:rPr>
                <w:rFonts w:ascii="Century Gothic" w:eastAsia="Times New Roman" w:hAnsi="Century Gothic" w:cs="Calibri"/>
                <w:b/>
                <w:color w:val="000000"/>
                <w:sz w:val="17"/>
                <w:szCs w:val="17"/>
              </w:rPr>
              <w:t xml:space="preserve">Promedio de la tasa de </w:t>
            </w:r>
            <w:proofErr w:type="spellStart"/>
            <w:r w:rsidRPr="00C06035">
              <w:rPr>
                <w:rFonts w:ascii="Century Gothic" w:eastAsia="Times New Roman" w:hAnsi="Century Gothic" w:cs="Calibri"/>
                <w:b/>
                <w:color w:val="000000"/>
                <w:sz w:val="17"/>
                <w:szCs w:val="17"/>
              </w:rPr>
              <w:t>sobrecobertura</w:t>
            </w:r>
            <w:proofErr w:type="spellEnd"/>
            <w:r w:rsidRPr="00C06035">
              <w:rPr>
                <w:rFonts w:ascii="Century Gothic" w:eastAsia="Times New Roman" w:hAnsi="Century Gothic" w:cs="Calibri"/>
                <w:b/>
                <w:color w:val="000000"/>
                <w:sz w:val="17"/>
                <w:szCs w:val="17"/>
              </w:rPr>
              <w:t xml:space="preserve"> (%)</w:t>
            </w:r>
          </w:p>
        </w:tc>
        <w:tc>
          <w:tcPr>
            <w:tcW w:w="1985" w:type="dxa"/>
            <w:shd w:val="clear" w:color="auto" w:fill="F7CAAC" w:themeFill="accent2" w:themeFillTint="66"/>
            <w:vAlign w:val="center"/>
            <w:hideMark/>
          </w:tcPr>
          <w:p w:rsidR="001962C5" w:rsidRPr="00C06035" w:rsidRDefault="001962C5" w:rsidP="00036138">
            <w:pPr>
              <w:spacing w:before="60" w:after="60" w:line="240" w:lineRule="auto"/>
              <w:jc w:val="center"/>
              <w:rPr>
                <w:rFonts w:ascii="Century Gothic" w:eastAsia="Times New Roman" w:hAnsi="Century Gothic" w:cs="Calibri"/>
                <w:b/>
                <w:color w:val="000000"/>
                <w:sz w:val="17"/>
                <w:szCs w:val="17"/>
              </w:rPr>
            </w:pPr>
            <w:r w:rsidRPr="00C06035">
              <w:rPr>
                <w:rFonts w:ascii="Century Gothic" w:eastAsia="Times New Roman" w:hAnsi="Century Gothic" w:cs="Calibri"/>
                <w:b/>
                <w:color w:val="000000"/>
                <w:sz w:val="17"/>
                <w:szCs w:val="17"/>
              </w:rPr>
              <w:t>Promedio de la tasa de no respuesta  por unidad (%)</w:t>
            </w:r>
          </w:p>
        </w:tc>
      </w:tr>
      <w:tr w:rsidR="001962C5" w:rsidRPr="00A830A0"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F2F2F2" w:themeFill="background1" w:themeFillShade="F2"/>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Finanzas Públicas Estatales y Municipales 2018</w:t>
            </w:r>
          </w:p>
        </w:tc>
        <w:tc>
          <w:tcPr>
            <w:tcW w:w="1062" w:type="dxa"/>
            <w:shd w:val="clear" w:color="auto" w:fill="F2F2F2" w:themeFill="background1" w:themeFillShade="F2"/>
            <w:vAlign w:val="center"/>
            <w:hideMark/>
          </w:tcPr>
          <w:p w:rsidR="001962C5" w:rsidRPr="00C06035" w:rsidRDefault="000017BE"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4</w:t>
            </w:r>
          </w:p>
        </w:tc>
        <w:tc>
          <w:tcPr>
            <w:tcW w:w="1984" w:type="dxa"/>
            <w:shd w:val="clear" w:color="auto" w:fill="E1F4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BE4D5" w:themeFill="accent2"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6.6 (ponderado)</w:t>
            </w:r>
          </w:p>
        </w:tc>
      </w:tr>
      <w:tr w:rsidR="001962C5" w:rsidRPr="00A830A0"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F2F2F2" w:themeFill="background1" w:themeFillShade="F2"/>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Estadística de Accidentes de Tránsito Terrestre en Zonas Urbanas y Suburbanas, 2018 </w:t>
            </w:r>
          </w:p>
        </w:tc>
        <w:tc>
          <w:tcPr>
            <w:tcW w:w="1062" w:type="dxa"/>
            <w:shd w:val="clear" w:color="auto" w:fill="F2F2F2" w:themeFill="background1" w:themeFillShade="F2"/>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1</w:t>
            </w:r>
          </w:p>
        </w:tc>
        <w:tc>
          <w:tcPr>
            <w:tcW w:w="1984" w:type="dxa"/>
            <w:shd w:val="clear" w:color="auto" w:fill="E1F4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BE4D5" w:themeFill="accent2"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lastRenderedPageBreak/>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Transporte Urbano de Pasajeros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6</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Vehículos de Motor Registrados en Circulación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6</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Sacrificio de Ganado en Rastros Municipales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10</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2.8</w:t>
            </w:r>
          </w:p>
        </w:tc>
      </w:tr>
      <w:tr w:rsidR="001962C5" w:rsidRPr="00A830A0"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F2F2F2" w:themeFill="background1" w:themeFillShade="F2"/>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Vitales. Defunciones Registradas 2018</w:t>
            </w:r>
          </w:p>
        </w:tc>
        <w:tc>
          <w:tcPr>
            <w:tcW w:w="1062" w:type="dxa"/>
            <w:shd w:val="clear" w:color="auto" w:fill="F2F2F2" w:themeFill="background1" w:themeFillShade="F2"/>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E1F4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0.2</w:t>
            </w:r>
          </w:p>
        </w:tc>
        <w:tc>
          <w:tcPr>
            <w:tcW w:w="1985" w:type="dxa"/>
            <w:shd w:val="clear" w:color="auto" w:fill="FBE4D5" w:themeFill="accent2"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0.1</w:t>
            </w:r>
          </w:p>
        </w:tc>
      </w:tr>
      <w:tr w:rsidR="001962C5" w:rsidRPr="00A830A0"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F2F2F2" w:themeFill="background1" w:themeFillShade="F2"/>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Vitales. Defunciones Fetales 2018</w:t>
            </w:r>
          </w:p>
        </w:tc>
        <w:tc>
          <w:tcPr>
            <w:tcW w:w="1062" w:type="dxa"/>
            <w:shd w:val="clear" w:color="auto" w:fill="F2F2F2" w:themeFill="background1" w:themeFillShade="F2"/>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E1F4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0.1</w:t>
            </w:r>
          </w:p>
        </w:tc>
        <w:tc>
          <w:tcPr>
            <w:tcW w:w="1985" w:type="dxa"/>
            <w:shd w:val="clear" w:color="auto" w:fill="FBE4D5" w:themeFill="accent2"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r>
      <w:tr w:rsidR="001962C5" w:rsidRPr="00A830A0"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F2F2F2" w:themeFill="background1" w:themeFillShade="F2"/>
            <w:vAlign w:val="center"/>
            <w:hideMark/>
          </w:tcPr>
          <w:p w:rsidR="001962C5" w:rsidRPr="00C06035" w:rsidRDefault="001962C5" w:rsidP="004A43CC">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Vitales. Natalidad 2018. Nacimientos registrados</w:t>
            </w:r>
          </w:p>
        </w:tc>
        <w:tc>
          <w:tcPr>
            <w:tcW w:w="1062" w:type="dxa"/>
            <w:shd w:val="clear" w:color="auto" w:fill="F2F2F2" w:themeFill="background1" w:themeFillShade="F2"/>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E1F4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BE4D5" w:themeFill="accent2"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Estadísticas Vitales. Matrimonios 2018 </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0.1</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Vitales. Divorcios 2018</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FF0000"/>
                <w:sz w:val="17"/>
                <w:szCs w:val="17"/>
              </w:rPr>
              <w:t>-</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0.1</w:t>
            </w:r>
          </w:p>
        </w:tc>
      </w:tr>
      <w:tr w:rsidR="001962C5" w:rsidRPr="00A830A0"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Salud en Establecimientos Particulares</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33</w:t>
            </w:r>
          </w:p>
        </w:tc>
        <w:tc>
          <w:tcPr>
            <w:tcW w:w="1984" w:type="dxa"/>
            <w:shd w:val="clear" w:color="auto" w:fill="C5EAFF"/>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w:t>
            </w:r>
          </w:p>
        </w:tc>
        <w:tc>
          <w:tcPr>
            <w:tcW w:w="1985" w:type="dxa"/>
            <w:shd w:val="clear" w:color="auto" w:fill="F7CAAC" w:themeFill="accent2"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0.4</w:t>
            </w:r>
          </w:p>
        </w:tc>
      </w:tr>
    </w:tbl>
    <w:p w:rsidR="001962C5" w:rsidRPr="00A830A0" w:rsidRDefault="001962C5" w:rsidP="001962C5">
      <w:pPr>
        <w:rPr>
          <w:rFonts w:ascii="Century Gothic" w:hAnsi="Century Gothic"/>
          <w:sz w:val="19"/>
          <w:szCs w:val="19"/>
        </w:rPr>
      </w:pPr>
    </w:p>
    <w:p w:rsidR="001962C5" w:rsidRPr="00A830A0" w:rsidRDefault="001962C5" w:rsidP="001962C5">
      <w:pPr>
        <w:jc w:val="both"/>
        <w:rPr>
          <w:rFonts w:ascii="Century Gothic" w:hAnsi="Century Gothic"/>
          <w:sz w:val="19"/>
          <w:szCs w:val="19"/>
        </w:rPr>
      </w:pPr>
      <w:r w:rsidRPr="00A830A0">
        <w:rPr>
          <w:rFonts w:ascii="Century Gothic" w:hAnsi="Century Gothic"/>
          <w:sz w:val="19"/>
          <w:szCs w:val="19"/>
        </w:rPr>
        <w:t>Como puede observarse</w:t>
      </w:r>
      <w:r w:rsidR="00E70D96">
        <w:rPr>
          <w:rFonts w:ascii="Century Gothic" w:hAnsi="Century Gothic"/>
          <w:sz w:val="19"/>
          <w:szCs w:val="19"/>
        </w:rPr>
        <w:t>,</w:t>
      </w:r>
      <w:r w:rsidRPr="00A830A0">
        <w:rPr>
          <w:rFonts w:ascii="Century Gothic" w:hAnsi="Century Gothic"/>
          <w:sz w:val="19"/>
          <w:szCs w:val="19"/>
        </w:rPr>
        <w:t xml:space="preserve"> el programa Estadística de Finanzas Públicas Estatales y Municipales 2018 es el que presenta la tasa de no respuesta por unidad más alta, por lo que vale la pena conocer los distintos componentes del indicador, los cuales han servido para definir actividades estratégicas que se llevarán a cabo el próximo año por el área responsable de este programa.</w:t>
      </w:r>
    </w:p>
    <w:p w:rsidR="001962C5" w:rsidRPr="00A830A0" w:rsidRDefault="001962C5" w:rsidP="001962C5">
      <w:pPr>
        <w:spacing w:after="100"/>
        <w:ind w:left="284"/>
        <w:jc w:val="center"/>
        <w:rPr>
          <w:rFonts w:ascii="Century Gothic" w:hAnsi="Century Gothic"/>
          <w:sz w:val="19"/>
          <w:szCs w:val="19"/>
        </w:rPr>
      </w:pPr>
      <w:r w:rsidRPr="00A830A0">
        <w:rPr>
          <w:rFonts w:ascii="Century Gothic" w:hAnsi="Century Gothic"/>
          <w:b/>
          <w:bCs/>
          <w:sz w:val="20"/>
          <w:szCs w:val="20"/>
        </w:rPr>
        <w:t>A.5.6. Promedio de la</w:t>
      </w:r>
      <w:r w:rsidR="00AF62E8">
        <w:rPr>
          <w:rFonts w:ascii="Century Gothic" w:hAnsi="Century Gothic"/>
          <w:b/>
          <w:bCs/>
          <w:sz w:val="20"/>
          <w:szCs w:val="20"/>
        </w:rPr>
        <w:t xml:space="preserve"> tasa</w:t>
      </w:r>
      <w:r w:rsidRPr="00A830A0">
        <w:rPr>
          <w:rFonts w:ascii="Century Gothic" w:hAnsi="Century Gothic"/>
          <w:b/>
          <w:bCs/>
          <w:sz w:val="20"/>
          <w:szCs w:val="20"/>
        </w:rPr>
        <w:t xml:space="preserve"> de no respuesta por unidad reportada</w:t>
      </w:r>
      <w:r w:rsidR="00AF62E8">
        <w:rPr>
          <w:rFonts w:ascii="Century Gothic" w:hAnsi="Century Gothic"/>
          <w:b/>
          <w:bCs/>
          <w:sz w:val="20"/>
          <w:szCs w:val="20"/>
        </w:rPr>
        <w:t xml:space="preserve"> por la Estadística de Finanzas Públicas Estatales y Municipales 2018</w:t>
      </w:r>
    </w:p>
    <w:tbl>
      <w:tblPr>
        <w:tblW w:w="10495"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4"/>
        <w:gridCol w:w="1275"/>
        <w:gridCol w:w="1665"/>
        <w:gridCol w:w="2446"/>
        <w:gridCol w:w="1559"/>
        <w:gridCol w:w="1706"/>
      </w:tblGrid>
      <w:tr w:rsidR="001962C5" w:rsidRPr="009B77CE" w:rsidTr="00036138">
        <w:trPr>
          <w:trHeight w:val="20"/>
        </w:trPr>
        <w:tc>
          <w:tcPr>
            <w:tcW w:w="1844" w:type="dxa"/>
            <w:shd w:val="clear" w:color="auto" w:fill="D9D9D9" w:themeFill="background1" w:themeFillShade="D9"/>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Población Objetivo</w:t>
            </w:r>
          </w:p>
        </w:tc>
        <w:tc>
          <w:tcPr>
            <w:tcW w:w="1275" w:type="dxa"/>
            <w:shd w:val="clear" w:color="auto" w:fill="C5EAFF"/>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Información no recibida</w:t>
            </w:r>
          </w:p>
        </w:tc>
        <w:tc>
          <w:tcPr>
            <w:tcW w:w="1665" w:type="dxa"/>
            <w:shd w:val="clear" w:color="auto" w:fill="C5EAFF"/>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Información faltante de unidades bien identificadas</w:t>
            </w:r>
          </w:p>
        </w:tc>
        <w:tc>
          <w:tcPr>
            <w:tcW w:w="2446" w:type="dxa"/>
            <w:shd w:val="clear" w:color="auto" w:fill="C5EAFF"/>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 xml:space="preserve">Unidades que no fueron reportadas </w:t>
            </w:r>
            <w:r w:rsidR="004A43CC" w:rsidRPr="00C06035">
              <w:rPr>
                <w:rFonts w:ascii="Century Gothic" w:eastAsia="Times New Roman" w:hAnsi="Century Gothic" w:cs="Calibri"/>
                <w:b/>
                <w:bCs/>
                <w:sz w:val="17"/>
                <w:szCs w:val="17"/>
              </w:rPr>
              <w:t>aun</w:t>
            </w:r>
            <w:r w:rsidRPr="00C06035">
              <w:rPr>
                <w:rFonts w:ascii="Century Gothic" w:eastAsia="Times New Roman" w:hAnsi="Century Gothic" w:cs="Calibri"/>
                <w:b/>
                <w:bCs/>
                <w:sz w:val="17"/>
                <w:szCs w:val="17"/>
              </w:rPr>
              <w:t xml:space="preserve"> cuando no se conoce con certeza su identidad</w:t>
            </w:r>
          </w:p>
        </w:tc>
        <w:tc>
          <w:tcPr>
            <w:tcW w:w="1559" w:type="dxa"/>
            <w:shd w:val="clear" w:color="auto" w:fill="E2EFD9" w:themeFill="accent6" w:themeFillTint="33"/>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Información no admisible en al menos una de las variables</w:t>
            </w:r>
          </w:p>
        </w:tc>
        <w:tc>
          <w:tcPr>
            <w:tcW w:w="1706" w:type="dxa"/>
            <w:shd w:val="clear" w:color="auto" w:fill="F7CAAC" w:themeFill="accent2" w:themeFillTint="66"/>
            <w:noWrap/>
            <w:vAlign w:val="center"/>
            <w:hideMark/>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Tasa de No Respuesta a nivel de unidad (ponderada)</w:t>
            </w:r>
          </w:p>
        </w:tc>
      </w:tr>
      <w:tr w:rsidR="001962C5" w:rsidRPr="00A830A0" w:rsidTr="00036138">
        <w:trPr>
          <w:trHeight w:val="20"/>
        </w:trPr>
        <w:tc>
          <w:tcPr>
            <w:tcW w:w="1844"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sz w:val="17"/>
                <w:szCs w:val="17"/>
              </w:rPr>
            </w:pPr>
            <w:r w:rsidRPr="00C06035">
              <w:rPr>
                <w:rFonts w:ascii="Century Gothic" w:eastAsia="Times New Roman" w:hAnsi="Century Gothic" w:cs="Calibri"/>
                <w:sz w:val="17"/>
                <w:szCs w:val="17"/>
              </w:rPr>
              <w:t>32</w:t>
            </w:r>
            <w:r w:rsidR="00AF62E8" w:rsidRPr="00C06035">
              <w:rPr>
                <w:rFonts w:ascii="Century Gothic" w:eastAsia="Times New Roman" w:hAnsi="Century Gothic" w:cs="Calibri"/>
                <w:sz w:val="17"/>
                <w:szCs w:val="17"/>
              </w:rPr>
              <w:t xml:space="preserve"> entidades federativas</w:t>
            </w:r>
          </w:p>
        </w:tc>
        <w:tc>
          <w:tcPr>
            <w:tcW w:w="1275" w:type="dxa"/>
            <w:shd w:val="clear" w:color="auto" w:fill="C5EAFF"/>
            <w:noWrap/>
            <w:vAlign w:val="center"/>
            <w:hideMark/>
          </w:tcPr>
          <w:p w:rsidR="001962C5" w:rsidRPr="00C06035" w:rsidRDefault="001962C5" w:rsidP="00036138">
            <w:pPr>
              <w:spacing w:before="60" w:after="6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c>
          <w:tcPr>
            <w:tcW w:w="1665" w:type="dxa"/>
            <w:shd w:val="clear" w:color="auto" w:fill="C5EAFF"/>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c>
          <w:tcPr>
            <w:tcW w:w="2446" w:type="dxa"/>
            <w:shd w:val="clear" w:color="auto" w:fill="C5EAFF"/>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c>
          <w:tcPr>
            <w:tcW w:w="1559" w:type="dxa"/>
            <w:shd w:val="clear" w:color="auto" w:fill="E2EFD9" w:themeFill="accent6" w:themeFillTint="33"/>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c>
          <w:tcPr>
            <w:tcW w:w="1706" w:type="dxa"/>
            <w:shd w:val="clear" w:color="auto" w:fill="F7CAAC" w:themeFill="accent2" w:themeFillTint="66"/>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r>
      <w:tr w:rsidR="001962C5" w:rsidRPr="00A830A0" w:rsidTr="00036138">
        <w:trPr>
          <w:trHeight w:val="20"/>
        </w:trPr>
        <w:tc>
          <w:tcPr>
            <w:tcW w:w="1844"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sz w:val="17"/>
                <w:szCs w:val="17"/>
              </w:rPr>
            </w:pPr>
            <w:r w:rsidRPr="00C06035">
              <w:rPr>
                <w:rFonts w:ascii="Century Gothic" w:eastAsia="Times New Roman" w:hAnsi="Century Gothic" w:cs="Calibri"/>
                <w:sz w:val="17"/>
                <w:szCs w:val="17"/>
              </w:rPr>
              <w:t>2,447 municipios</w:t>
            </w:r>
          </w:p>
        </w:tc>
        <w:tc>
          <w:tcPr>
            <w:tcW w:w="1275" w:type="dxa"/>
            <w:shd w:val="clear" w:color="auto" w:fill="C5EAFF"/>
            <w:noWrap/>
            <w:vAlign w:val="center"/>
            <w:hideMark/>
          </w:tcPr>
          <w:p w:rsidR="001962C5" w:rsidRPr="00C06035" w:rsidRDefault="001962C5" w:rsidP="00036138">
            <w:pPr>
              <w:spacing w:before="60" w:after="6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4.5</w:t>
            </w:r>
          </w:p>
        </w:tc>
        <w:tc>
          <w:tcPr>
            <w:tcW w:w="1665" w:type="dxa"/>
            <w:shd w:val="clear" w:color="auto" w:fill="C5EAFF"/>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7.2</w:t>
            </w:r>
          </w:p>
        </w:tc>
        <w:tc>
          <w:tcPr>
            <w:tcW w:w="2446" w:type="dxa"/>
            <w:shd w:val="clear" w:color="auto" w:fill="C5EAFF"/>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0.0</w:t>
            </w:r>
          </w:p>
        </w:tc>
        <w:tc>
          <w:tcPr>
            <w:tcW w:w="1559" w:type="dxa"/>
            <w:shd w:val="clear" w:color="auto" w:fill="E2EFD9" w:themeFill="accent6" w:themeFillTint="33"/>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1.4</w:t>
            </w:r>
          </w:p>
        </w:tc>
        <w:tc>
          <w:tcPr>
            <w:tcW w:w="1706" w:type="dxa"/>
            <w:shd w:val="clear" w:color="auto" w:fill="F7CAAC" w:themeFill="accent2" w:themeFillTint="66"/>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13.1</w:t>
            </w:r>
          </w:p>
        </w:tc>
      </w:tr>
      <w:tr w:rsidR="001962C5" w:rsidRPr="00A830A0" w:rsidTr="00036138">
        <w:trPr>
          <w:trHeight w:val="20"/>
        </w:trPr>
        <w:tc>
          <w:tcPr>
            <w:tcW w:w="8789" w:type="dxa"/>
            <w:gridSpan w:val="5"/>
            <w:shd w:val="clear" w:color="auto" w:fill="D9D9D9" w:themeFill="background1" w:themeFillShade="D9"/>
            <w:vAlign w:val="center"/>
          </w:tcPr>
          <w:p w:rsidR="001962C5" w:rsidRPr="00C06035" w:rsidRDefault="001962C5" w:rsidP="00036138">
            <w:pPr>
              <w:spacing w:before="60" w:after="60" w:line="240" w:lineRule="auto"/>
              <w:jc w:val="right"/>
              <w:rPr>
                <w:rFonts w:ascii="Century Gothic" w:eastAsia="Times New Roman" w:hAnsi="Century Gothic" w:cs="Calibri"/>
                <w:color w:val="000000"/>
                <w:sz w:val="17"/>
                <w:szCs w:val="17"/>
              </w:rPr>
            </w:pPr>
            <w:r w:rsidRPr="00C06035">
              <w:rPr>
                <w:rFonts w:ascii="Century Gothic" w:eastAsia="Times New Roman" w:hAnsi="Century Gothic" w:cs="Calibri"/>
                <w:sz w:val="17"/>
                <w:szCs w:val="17"/>
              </w:rPr>
              <w:t>Promedio</w:t>
            </w:r>
          </w:p>
        </w:tc>
        <w:tc>
          <w:tcPr>
            <w:tcW w:w="1706" w:type="dxa"/>
            <w:shd w:val="clear" w:color="auto" w:fill="F7CAAC" w:themeFill="accent2" w:themeFillTint="66"/>
            <w:noWrap/>
            <w:vAlign w:val="center"/>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6.6</w:t>
            </w:r>
          </w:p>
        </w:tc>
      </w:tr>
    </w:tbl>
    <w:p w:rsidR="001962C5" w:rsidRPr="00A830A0" w:rsidRDefault="001962C5" w:rsidP="001962C5">
      <w:pPr>
        <w:rPr>
          <w:rFonts w:ascii="Century Gothic" w:hAnsi="Century Gothic"/>
          <w:sz w:val="19"/>
          <w:szCs w:val="19"/>
        </w:rPr>
      </w:pPr>
    </w:p>
    <w:p w:rsidR="001962C5" w:rsidRPr="00A830A0" w:rsidRDefault="001962C5" w:rsidP="000017BE">
      <w:pPr>
        <w:jc w:val="both"/>
        <w:rPr>
          <w:rFonts w:ascii="Century Gothic" w:hAnsi="Century Gothic"/>
          <w:sz w:val="19"/>
          <w:szCs w:val="19"/>
        </w:rPr>
      </w:pPr>
      <w:r w:rsidRPr="00A830A0">
        <w:rPr>
          <w:rFonts w:ascii="Century Gothic" w:hAnsi="Century Gothic"/>
          <w:sz w:val="19"/>
          <w:szCs w:val="19"/>
        </w:rPr>
        <w:t>En el cuadro A.5.7</w:t>
      </w:r>
      <w:r w:rsidR="00E70D96">
        <w:rPr>
          <w:rFonts w:ascii="Century Gothic" w:hAnsi="Century Gothic"/>
          <w:sz w:val="19"/>
          <w:szCs w:val="19"/>
        </w:rPr>
        <w:t>.</w:t>
      </w:r>
      <w:r w:rsidRPr="00A830A0">
        <w:rPr>
          <w:rFonts w:ascii="Century Gothic" w:hAnsi="Century Gothic"/>
          <w:sz w:val="19"/>
          <w:szCs w:val="19"/>
        </w:rPr>
        <w:t xml:space="preserve"> se presenta el promedio de la tasa de no respuesta de las distintas variables contenidas en los programas de información.  Como puede observarse, algunos programas publican más </w:t>
      </w:r>
      <w:proofErr w:type="gramStart"/>
      <w:r w:rsidRPr="00A830A0">
        <w:rPr>
          <w:rFonts w:ascii="Century Gothic" w:hAnsi="Century Gothic"/>
          <w:sz w:val="19"/>
          <w:szCs w:val="19"/>
        </w:rPr>
        <w:t>variables</w:t>
      </w:r>
      <w:proofErr w:type="gramEnd"/>
      <w:r w:rsidRPr="00A830A0">
        <w:rPr>
          <w:rFonts w:ascii="Century Gothic" w:hAnsi="Century Gothic"/>
          <w:sz w:val="19"/>
          <w:szCs w:val="19"/>
        </w:rPr>
        <w:t xml:space="preserve"> aunque para algunos dominio</w:t>
      </w:r>
      <w:r w:rsidR="00AF62E8">
        <w:rPr>
          <w:rFonts w:ascii="Century Gothic" w:hAnsi="Century Gothic"/>
          <w:sz w:val="19"/>
          <w:szCs w:val="19"/>
        </w:rPr>
        <w:t>s</w:t>
      </w:r>
      <w:r w:rsidRPr="00A830A0">
        <w:rPr>
          <w:rFonts w:ascii="Century Gothic" w:hAnsi="Century Gothic"/>
          <w:sz w:val="19"/>
          <w:szCs w:val="19"/>
        </w:rPr>
        <w:t xml:space="preserve"> de estudio pueden tener datos incompletos.  </w:t>
      </w:r>
    </w:p>
    <w:p w:rsidR="001962C5" w:rsidRPr="00A830A0" w:rsidRDefault="001962C5" w:rsidP="001962C5">
      <w:pPr>
        <w:spacing w:after="100"/>
        <w:ind w:left="284"/>
        <w:jc w:val="center"/>
        <w:rPr>
          <w:rFonts w:ascii="Century Gothic" w:hAnsi="Century Gothic"/>
          <w:sz w:val="19"/>
          <w:szCs w:val="19"/>
        </w:rPr>
      </w:pPr>
      <w:r w:rsidRPr="00A830A0">
        <w:rPr>
          <w:rFonts w:ascii="Century Gothic" w:hAnsi="Century Gothic"/>
          <w:b/>
          <w:bCs/>
          <w:sz w:val="20"/>
          <w:szCs w:val="20"/>
        </w:rPr>
        <w:t>A.5.7. Valor promedio y máximo de la tasa de no respuesta por variable reportadas</w:t>
      </w:r>
    </w:p>
    <w:tbl>
      <w:tblPr>
        <w:tblW w:w="1048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700"/>
        <w:gridCol w:w="4749"/>
        <w:gridCol w:w="1062"/>
        <w:gridCol w:w="1984"/>
        <w:gridCol w:w="1985"/>
      </w:tblGrid>
      <w:tr w:rsidR="001962C5" w:rsidRPr="00C06035" w:rsidTr="00036138">
        <w:trPr>
          <w:trHeight w:val="20"/>
          <w:tblHeader/>
          <w:jc w:val="center"/>
        </w:trPr>
        <w:tc>
          <w:tcPr>
            <w:tcW w:w="700" w:type="dxa"/>
            <w:vMerge w:val="restart"/>
            <w:shd w:val="clear" w:color="auto" w:fill="D9D9D9" w:themeFill="background1" w:themeFillShade="D9"/>
            <w:noWrap/>
            <w:vAlign w:val="center"/>
          </w:tcPr>
          <w:p w:rsidR="001962C5" w:rsidRPr="00C06035" w:rsidRDefault="001962C5" w:rsidP="00036138">
            <w:pPr>
              <w:spacing w:after="0" w:line="240" w:lineRule="auto"/>
              <w:jc w:val="center"/>
              <w:rPr>
                <w:rFonts w:ascii="Century Gothic" w:eastAsia="Times New Roman" w:hAnsi="Century Gothic" w:cs="Calibri"/>
                <w:b/>
                <w:color w:val="000000"/>
                <w:sz w:val="17"/>
                <w:szCs w:val="17"/>
              </w:rPr>
            </w:pPr>
            <w:r w:rsidRPr="00C06035">
              <w:rPr>
                <w:rFonts w:ascii="Century Gothic" w:eastAsia="Times New Roman" w:hAnsi="Century Gothic" w:cs="Calibri"/>
                <w:b/>
                <w:color w:val="000000"/>
                <w:sz w:val="17"/>
                <w:szCs w:val="17"/>
              </w:rPr>
              <w:t>UA</w:t>
            </w:r>
          </w:p>
        </w:tc>
        <w:tc>
          <w:tcPr>
            <w:tcW w:w="4749" w:type="dxa"/>
            <w:vMerge w:val="restart"/>
            <w:shd w:val="clear" w:color="auto" w:fill="D9D9D9" w:themeFill="background1" w:themeFillShade="D9"/>
            <w:vAlign w:val="center"/>
          </w:tcPr>
          <w:p w:rsidR="001962C5" w:rsidRPr="00C06035" w:rsidRDefault="001962C5" w:rsidP="00036138">
            <w:pPr>
              <w:spacing w:after="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Programa</w:t>
            </w:r>
          </w:p>
        </w:tc>
        <w:tc>
          <w:tcPr>
            <w:tcW w:w="1062" w:type="dxa"/>
            <w:vMerge w:val="restart"/>
            <w:shd w:val="clear" w:color="auto" w:fill="D9D9D9" w:themeFill="background1" w:themeFillShade="D9"/>
            <w:vAlign w:val="center"/>
          </w:tcPr>
          <w:p w:rsidR="001962C5" w:rsidRPr="00C06035" w:rsidRDefault="001962C5" w:rsidP="00036138">
            <w:pPr>
              <w:spacing w:before="60" w:after="60" w:line="240" w:lineRule="auto"/>
              <w:jc w:val="center"/>
              <w:rPr>
                <w:rFonts w:ascii="Century Gothic" w:eastAsia="Times New Roman" w:hAnsi="Century Gothic" w:cs="Calibri"/>
                <w:b/>
                <w:bCs/>
                <w:sz w:val="17"/>
                <w:szCs w:val="17"/>
              </w:rPr>
            </w:pPr>
            <w:r w:rsidRPr="00C06035">
              <w:rPr>
                <w:rFonts w:ascii="Century Gothic" w:eastAsia="Times New Roman" w:hAnsi="Century Gothic" w:cs="Calibri"/>
                <w:b/>
                <w:bCs/>
                <w:sz w:val="17"/>
                <w:szCs w:val="17"/>
              </w:rPr>
              <w:t>Número de variables</w:t>
            </w:r>
          </w:p>
        </w:tc>
        <w:tc>
          <w:tcPr>
            <w:tcW w:w="3969" w:type="dxa"/>
            <w:gridSpan w:val="2"/>
            <w:shd w:val="clear" w:color="auto" w:fill="FFE599" w:themeFill="accent4" w:themeFillTint="66"/>
            <w:vAlign w:val="center"/>
          </w:tcPr>
          <w:p w:rsidR="001962C5" w:rsidRPr="00C06035" w:rsidRDefault="001962C5" w:rsidP="00036138">
            <w:pPr>
              <w:spacing w:before="60" w:after="60" w:line="240" w:lineRule="auto"/>
              <w:jc w:val="center"/>
              <w:rPr>
                <w:rFonts w:ascii="Century Gothic" w:eastAsia="Times New Roman" w:hAnsi="Century Gothic" w:cs="Calibri"/>
                <w:b/>
                <w:color w:val="000000"/>
                <w:sz w:val="17"/>
                <w:szCs w:val="17"/>
              </w:rPr>
            </w:pPr>
            <w:r w:rsidRPr="00C06035">
              <w:rPr>
                <w:rFonts w:ascii="Century Gothic" w:eastAsia="Times New Roman" w:hAnsi="Century Gothic" w:cs="Calibri"/>
                <w:b/>
                <w:color w:val="000000"/>
                <w:sz w:val="17"/>
                <w:szCs w:val="17"/>
              </w:rPr>
              <w:t>Tasa de no respuesta  por variable (%)</w:t>
            </w:r>
          </w:p>
        </w:tc>
      </w:tr>
      <w:tr w:rsidR="001962C5" w:rsidRPr="00C06035" w:rsidTr="00036138">
        <w:trPr>
          <w:trHeight w:val="20"/>
          <w:tblHeader/>
          <w:jc w:val="center"/>
        </w:trPr>
        <w:tc>
          <w:tcPr>
            <w:tcW w:w="700" w:type="dxa"/>
            <w:vMerge/>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Times New Roman"/>
                <w:b/>
                <w:sz w:val="17"/>
                <w:szCs w:val="17"/>
              </w:rPr>
            </w:pPr>
          </w:p>
        </w:tc>
        <w:tc>
          <w:tcPr>
            <w:tcW w:w="4749" w:type="dxa"/>
            <w:vMerge/>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Times New Roman"/>
                <w:b/>
                <w:sz w:val="17"/>
                <w:szCs w:val="17"/>
              </w:rPr>
            </w:pPr>
          </w:p>
        </w:tc>
        <w:tc>
          <w:tcPr>
            <w:tcW w:w="1062" w:type="dxa"/>
            <w:vMerge/>
            <w:shd w:val="clear" w:color="auto" w:fill="D9D9D9" w:themeFill="background1" w:themeFillShade="D9"/>
            <w:vAlign w:val="center"/>
            <w:hideMark/>
          </w:tcPr>
          <w:p w:rsidR="001962C5" w:rsidRPr="00C06035" w:rsidRDefault="001962C5" w:rsidP="00036138">
            <w:pPr>
              <w:spacing w:before="60" w:after="60" w:line="240" w:lineRule="auto"/>
              <w:jc w:val="center"/>
              <w:rPr>
                <w:rFonts w:ascii="Century Gothic" w:eastAsia="Times New Roman" w:hAnsi="Century Gothic" w:cs="Times New Roman"/>
                <w:b/>
                <w:sz w:val="17"/>
                <w:szCs w:val="17"/>
              </w:rPr>
            </w:pPr>
          </w:p>
        </w:tc>
        <w:tc>
          <w:tcPr>
            <w:tcW w:w="1984" w:type="dxa"/>
            <w:shd w:val="clear" w:color="auto" w:fill="FFE599" w:themeFill="accent4" w:themeFillTint="66"/>
            <w:vAlign w:val="center"/>
            <w:hideMark/>
          </w:tcPr>
          <w:p w:rsidR="001962C5" w:rsidRPr="00C06035" w:rsidRDefault="001962C5" w:rsidP="00036138">
            <w:pPr>
              <w:spacing w:before="60" w:after="60" w:line="240" w:lineRule="auto"/>
              <w:jc w:val="center"/>
              <w:rPr>
                <w:rFonts w:ascii="Century Gothic" w:eastAsia="Times New Roman" w:hAnsi="Century Gothic" w:cs="Calibri"/>
                <w:b/>
                <w:color w:val="000000"/>
                <w:sz w:val="17"/>
                <w:szCs w:val="17"/>
              </w:rPr>
            </w:pPr>
            <w:r w:rsidRPr="00C06035">
              <w:rPr>
                <w:rFonts w:ascii="Century Gothic" w:hAnsi="Century Gothic" w:cs="Calibri"/>
                <w:color w:val="000000"/>
                <w:sz w:val="17"/>
                <w:szCs w:val="17"/>
              </w:rPr>
              <w:t>Media</w:t>
            </w:r>
          </w:p>
        </w:tc>
        <w:tc>
          <w:tcPr>
            <w:tcW w:w="1985" w:type="dxa"/>
            <w:shd w:val="clear" w:color="auto" w:fill="FFE599" w:themeFill="accent4" w:themeFillTint="66"/>
            <w:vAlign w:val="center"/>
            <w:hideMark/>
          </w:tcPr>
          <w:p w:rsidR="001962C5" w:rsidRPr="00C06035" w:rsidRDefault="001962C5" w:rsidP="00036138">
            <w:pPr>
              <w:spacing w:before="60" w:after="60" w:line="240" w:lineRule="auto"/>
              <w:jc w:val="center"/>
              <w:rPr>
                <w:rFonts w:ascii="Century Gothic" w:eastAsia="Times New Roman" w:hAnsi="Century Gothic" w:cs="Calibri"/>
                <w:b/>
                <w:color w:val="000000"/>
                <w:sz w:val="17"/>
                <w:szCs w:val="17"/>
              </w:rPr>
            </w:pPr>
            <w:r w:rsidRPr="00C06035">
              <w:rPr>
                <w:rFonts w:ascii="Century Gothic" w:hAnsi="Century Gothic" w:cs="Calibri"/>
                <w:color w:val="000000"/>
                <w:sz w:val="17"/>
                <w:szCs w:val="17"/>
              </w:rPr>
              <w:t>Máxima</w:t>
            </w:r>
          </w:p>
        </w:tc>
      </w:tr>
      <w:tr w:rsidR="001962C5" w:rsidRPr="00C06035"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F2F2F2" w:themeFill="background1" w:themeFillShade="F2"/>
            <w:vAlign w:val="center"/>
            <w:hideMark/>
          </w:tcPr>
          <w:p w:rsidR="001962C5" w:rsidRPr="00C06035" w:rsidRDefault="001962C5" w:rsidP="00036138">
            <w:pPr>
              <w:spacing w:after="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Finanzas Públicas Estatales y Municipales 2018</w:t>
            </w:r>
          </w:p>
        </w:tc>
        <w:tc>
          <w:tcPr>
            <w:tcW w:w="1062" w:type="dxa"/>
            <w:shd w:val="clear" w:color="auto" w:fill="F2F2F2" w:themeFill="background1" w:themeFillShade="F2"/>
            <w:vAlign w:val="center"/>
            <w:hideMark/>
          </w:tcPr>
          <w:p w:rsidR="001962C5" w:rsidRPr="00C06035" w:rsidRDefault="00AF62E8"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2</w:t>
            </w:r>
          </w:p>
        </w:tc>
        <w:tc>
          <w:tcPr>
            <w:tcW w:w="1984" w:type="dxa"/>
            <w:shd w:val="clear" w:color="auto" w:fill="FFF2CC" w:themeFill="accent4"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c>
          <w:tcPr>
            <w:tcW w:w="1985" w:type="dxa"/>
            <w:shd w:val="clear" w:color="auto" w:fill="FFF2CC" w:themeFill="accent4"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r>
      <w:tr w:rsidR="001962C5" w:rsidRPr="00C06035" w:rsidTr="00036138">
        <w:trPr>
          <w:trHeight w:val="20"/>
          <w:jc w:val="center"/>
        </w:trPr>
        <w:tc>
          <w:tcPr>
            <w:tcW w:w="700" w:type="dxa"/>
            <w:shd w:val="clear" w:color="auto" w:fill="F2F2F2" w:themeFill="background1" w:themeFillShade="F2"/>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F2F2F2" w:themeFill="background1" w:themeFillShade="F2"/>
            <w:vAlign w:val="center"/>
            <w:hideMark/>
          </w:tcPr>
          <w:p w:rsidR="001962C5" w:rsidRPr="00C06035" w:rsidRDefault="001962C5" w:rsidP="00036138">
            <w:pPr>
              <w:spacing w:after="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Estadística de Accidentes de Tránsito Terrestre en Zonas Urbanas y Suburbanas, 2018 </w:t>
            </w:r>
          </w:p>
        </w:tc>
        <w:tc>
          <w:tcPr>
            <w:tcW w:w="1062" w:type="dxa"/>
            <w:shd w:val="clear" w:color="auto" w:fill="F2F2F2" w:themeFill="background1" w:themeFillShade="F2"/>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1</w:t>
            </w:r>
          </w:p>
        </w:tc>
        <w:tc>
          <w:tcPr>
            <w:tcW w:w="1984" w:type="dxa"/>
            <w:shd w:val="clear" w:color="auto" w:fill="FFF2CC" w:themeFill="accent4"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0.3</w:t>
            </w:r>
          </w:p>
        </w:tc>
        <w:tc>
          <w:tcPr>
            <w:tcW w:w="1985" w:type="dxa"/>
            <w:shd w:val="clear" w:color="auto" w:fill="FFF2CC" w:themeFill="accent4" w:themeFillTint="33"/>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0.3</w:t>
            </w:r>
          </w:p>
        </w:tc>
      </w:tr>
      <w:tr w:rsidR="001962C5" w:rsidRPr="00C06035"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Transporte Urbano de Pasajeros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1</w:t>
            </w:r>
          </w:p>
        </w:tc>
        <w:tc>
          <w:tcPr>
            <w:tcW w:w="1984"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c>
          <w:tcPr>
            <w:tcW w:w="1985"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r>
      <w:tr w:rsidR="001962C5" w:rsidRPr="00C06035"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Vehículos de Motor Registrados en Circulación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2</w:t>
            </w:r>
          </w:p>
        </w:tc>
        <w:tc>
          <w:tcPr>
            <w:tcW w:w="1984"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c>
          <w:tcPr>
            <w:tcW w:w="1985"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r>
      <w:tr w:rsidR="001962C5" w:rsidRPr="00C06035"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DGEE</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Sacrificio de Ganado en Rastros Municipales 2019</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1</w:t>
            </w:r>
          </w:p>
        </w:tc>
        <w:tc>
          <w:tcPr>
            <w:tcW w:w="1984"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c>
          <w:tcPr>
            <w:tcW w:w="1985"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hAnsi="Century Gothic" w:cs="Calibri"/>
                <w:color w:val="000000"/>
                <w:sz w:val="17"/>
                <w:szCs w:val="17"/>
              </w:rPr>
              <w:t>0</w:t>
            </w:r>
          </w:p>
        </w:tc>
      </w:tr>
      <w:tr w:rsidR="004A43CC" w:rsidRPr="00C06035" w:rsidTr="00036138">
        <w:trPr>
          <w:trHeight w:val="20"/>
          <w:jc w:val="center"/>
        </w:trPr>
        <w:tc>
          <w:tcPr>
            <w:tcW w:w="700" w:type="dxa"/>
            <w:shd w:val="clear" w:color="auto" w:fill="F2F2F2" w:themeFill="background1" w:themeFillShade="F2"/>
            <w:noWrap/>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lastRenderedPageBreak/>
              <w:t>DGES</w:t>
            </w:r>
          </w:p>
        </w:tc>
        <w:tc>
          <w:tcPr>
            <w:tcW w:w="4749" w:type="dxa"/>
            <w:shd w:val="clear" w:color="auto" w:fill="F2F2F2" w:themeFill="background1" w:themeFillShade="F2"/>
            <w:vAlign w:val="center"/>
            <w:hideMark/>
          </w:tcPr>
          <w:p w:rsidR="004A43CC" w:rsidRPr="00C06035" w:rsidRDefault="004A43CC" w:rsidP="004A43CC">
            <w:pPr>
              <w:spacing w:before="60" w:after="60" w:line="240" w:lineRule="auto"/>
              <w:rPr>
                <w:rFonts w:ascii="Century Gothic" w:eastAsia="Times New Roman" w:hAnsi="Century Gothic" w:cs="Calibri"/>
                <w:color w:val="000000"/>
                <w:sz w:val="17"/>
                <w:szCs w:val="17"/>
              </w:rPr>
            </w:pPr>
            <w:proofErr w:type="spellStart"/>
            <w:r w:rsidRPr="00995239">
              <w:rPr>
                <w:rFonts w:ascii="Century Gothic" w:eastAsia="Times New Roman" w:hAnsi="Century Gothic" w:cs="Calibri"/>
                <w:color w:val="000000"/>
                <w:sz w:val="18"/>
                <w:szCs w:val="18"/>
                <w:lang w:val="en-US"/>
              </w:rPr>
              <w:t>Estadísticas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Vitales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Defunciones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Registradas</w:t>
            </w:r>
            <w:proofErr w:type="spellEnd"/>
            <w:r w:rsidRPr="00995239">
              <w:rPr>
                <w:rFonts w:ascii="Century Gothic" w:eastAsia="Times New Roman" w:hAnsi="Century Gothic" w:cs="Calibri"/>
                <w:color w:val="000000"/>
                <w:sz w:val="18"/>
                <w:szCs w:val="18"/>
                <w:lang w:val="en-US"/>
              </w:rPr>
              <w:t xml:space="preserve"> 2018</w:t>
            </w:r>
            <w:r>
              <w:rPr>
                <w:rFonts w:ascii="Century Gothic" w:eastAsia="Times New Roman" w:hAnsi="Century Gothic" w:cs="Calibri"/>
                <w:color w:val="000000"/>
                <w:sz w:val="18"/>
                <w:szCs w:val="18"/>
                <w:lang w:val="en-US"/>
              </w:rPr>
              <w:t xml:space="preserve"> </w:t>
            </w:r>
            <w:r w:rsidRPr="004A43CC">
              <w:rPr>
                <w:rFonts w:ascii="Century Gothic" w:eastAsia="Times New Roman" w:hAnsi="Century Gothic" w:cs="Calibri"/>
                <w:color w:val="000000"/>
                <w:sz w:val="18"/>
                <w:szCs w:val="18"/>
                <w:vertAlign w:val="superscript"/>
                <w:lang w:val="en-US"/>
              </w:rPr>
              <w:t>1</w:t>
            </w:r>
          </w:p>
        </w:tc>
        <w:tc>
          <w:tcPr>
            <w:tcW w:w="1062" w:type="dxa"/>
            <w:shd w:val="clear" w:color="auto" w:fill="F2F2F2" w:themeFill="background1" w:themeFillShade="F2"/>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F55792">
              <w:rPr>
                <w:rFonts w:ascii="Century Gothic" w:hAnsi="Century Gothic" w:cs="Calibri"/>
                <w:color w:val="000000"/>
                <w:sz w:val="18"/>
              </w:rPr>
              <w:t>39</w:t>
            </w:r>
          </w:p>
        </w:tc>
        <w:tc>
          <w:tcPr>
            <w:tcW w:w="1984"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3.7</w:t>
            </w:r>
          </w:p>
        </w:tc>
        <w:tc>
          <w:tcPr>
            <w:tcW w:w="1985"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12.9</w:t>
            </w:r>
          </w:p>
        </w:tc>
      </w:tr>
      <w:tr w:rsidR="004A43CC" w:rsidRPr="00C06035" w:rsidTr="00036138">
        <w:trPr>
          <w:trHeight w:val="20"/>
          <w:jc w:val="center"/>
        </w:trPr>
        <w:tc>
          <w:tcPr>
            <w:tcW w:w="700" w:type="dxa"/>
            <w:shd w:val="clear" w:color="auto" w:fill="F2F2F2" w:themeFill="background1" w:themeFillShade="F2"/>
            <w:noWrap/>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F2F2F2" w:themeFill="background1" w:themeFillShade="F2"/>
            <w:vAlign w:val="center"/>
            <w:hideMark/>
          </w:tcPr>
          <w:p w:rsidR="004A43CC" w:rsidRPr="00C06035" w:rsidRDefault="004A43CC" w:rsidP="004A43CC">
            <w:pPr>
              <w:spacing w:before="60" w:after="60" w:line="240" w:lineRule="auto"/>
              <w:rPr>
                <w:rFonts w:ascii="Century Gothic" w:eastAsia="Times New Roman" w:hAnsi="Century Gothic" w:cs="Calibri"/>
                <w:color w:val="000000"/>
                <w:sz w:val="17"/>
                <w:szCs w:val="17"/>
              </w:rPr>
            </w:pPr>
            <w:proofErr w:type="spellStart"/>
            <w:r w:rsidRPr="00995239">
              <w:rPr>
                <w:rFonts w:ascii="Century Gothic" w:eastAsia="Times New Roman" w:hAnsi="Century Gothic" w:cs="Calibri"/>
                <w:color w:val="000000"/>
                <w:sz w:val="18"/>
                <w:szCs w:val="18"/>
                <w:lang w:val="en-US"/>
              </w:rPr>
              <w:t>Estadísticas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Vitales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Defunciones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Fetales</w:t>
            </w:r>
            <w:proofErr w:type="spellEnd"/>
            <w:r w:rsidRPr="00995239">
              <w:rPr>
                <w:rFonts w:ascii="Century Gothic" w:eastAsia="Times New Roman" w:hAnsi="Century Gothic" w:cs="Calibri"/>
                <w:color w:val="000000"/>
                <w:sz w:val="18"/>
                <w:szCs w:val="18"/>
                <w:lang w:val="en-US"/>
              </w:rPr>
              <w:t xml:space="preserve"> 2018</w:t>
            </w:r>
            <w:r>
              <w:rPr>
                <w:rFonts w:ascii="Century Gothic" w:eastAsia="Times New Roman" w:hAnsi="Century Gothic" w:cs="Calibri"/>
                <w:color w:val="000000"/>
                <w:sz w:val="18"/>
                <w:szCs w:val="18"/>
                <w:lang w:val="en-US"/>
              </w:rPr>
              <w:t xml:space="preserve"> </w:t>
            </w:r>
            <w:r w:rsidRPr="00EC28F4">
              <w:rPr>
                <w:rFonts w:ascii="Century Gothic" w:eastAsia="Times New Roman" w:hAnsi="Century Gothic" w:cs="Calibri"/>
                <w:color w:val="000000"/>
                <w:sz w:val="18"/>
                <w:szCs w:val="18"/>
                <w:vertAlign w:val="superscript"/>
                <w:lang w:val="en-US"/>
              </w:rPr>
              <w:t>1</w:t>
            </w:r>
          </w:p>
        </w:tc>
        <w:tc>
          <w:tcPr>
            <w:tcW w:w="1062" w:type="dxa"/>
            <w:shd w:val="clear" w:color="auto" w:fill="F2F2F2" w:themeFill="background1" w:themeFillShade="F2"/>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F55792">
              <w:rPr>
                <w:rFonts w:ascii="Century Gothic" w:hAnsi="Century Gothic" w:cs="Calibri"/>
                <w:color w:val="000000"/>
                <w:sz w:val="18"/>
              </w:rPr>
              <w:t>45</w:t>
            </w:r>
          </w:p>
        </w:tc>
        <w:tc>
          <w:tcPr>
            <w:tcW w:w="1984"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8.3</w:t>
            </w:r>
          </w:p>
        </w:tc>
        <w:tc>
          <w:tcPr>
            <w:tcW w:w="1985"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69.5</w:t>
            </w:r>
          </w:p>
        </w:tc>
      </w:tr>
      <w:tr w:rsidR="004A43CC" w:rsidRPr="00C06035" w:rsidTr="00036138">
        <w:trPr>
          <w:trHeight w:val="20"/>
          <w:jc w:val="center"/>
        </w:trPr>
        <w:tc>
          <w:tcPr>
            <w:tcW w:w="700" w:type="dxa"/>
            <w:shd w:val="clear" w:color="auto" w:fill="F2F2F2" w:themeFill="background1" w:themeFillShade="F2"/>
            <w:noWrap/>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F2F2F2" w:themeFill="background1" w:themeFillShade="F2"/>
            <w:vAlign w:val="center"/>
            <w:hideMark/>
          </w:tcPr>
          <w:p w:rsidR="004A43CC" w:rsidRPr="00C06035" w:rsidRDefault="004A43CC" w:rsidP="004A43CC">
            <w:pPr>
              <w:spacing w:before="60" w:after="60" w:line="240" w:lineRule="auto"/>
              <w:rPr>
                <w:rFonts w:ascii="Century Gothic" w:eastAsia="Times New Roman" w:hAnsi="Century Gothic" w:cs="Calibri"/>
                <w:color w:val="000000"/>
                <w:sz w:val="17"/>
                <w:szCs w:val="17"/>
              </w:rPr>
            </w:pPr>
            <w:r w:rsidRPr="00995239">
              <w:rPr>
                <w:rFonts w:ascii="Century Gothic" w:eastAsia="Times New Roman" w:hAnsi="Century Gothic" w:cs="Calibri"/>
                <w:color w:val="000000"/>
                <w:sz w:val="18"/>
                <w:szCs w:val="18"/>
              </w:rPr>
              <w:t>Estadísticas Vitales. Natalidad 2018. Nacimientos registrados</w:t>
            </w:r>
            <w:r>
              <w:rPr>
                <w:rFonts w:ascii="Century Gothic" w:eastAsia="Times New Roman" w:hAnsi="Century Gothic" w:cs="Calibri"/>
                <w:color w:val="000000"/>
                <w:sz w:val="18"/>
                <w:szCs w:val="18"/>
              </w:rPr>
              <w:t xml:space="preserve"> </w:t>
            </w:r>
            <w:r w:rsidRPr="007C65B4">
              <w:rPr>
                <w:rFonts w:ascii="Century Gothic" w:eastAsia="Times New Roman" w:hAnsi="Century Gothic" w:cs="Calibri"/>
                <w:color w:val="000000"/>
                <w:sz w:val="18"/>
                <w:szCs w:val="18"/>
                <w:vertAlign w:val="superscript"/>
              </w:rPr>
              <w:t>1</w:t>
            </w:r>
          </w:p>
        </w:tc>
        <w:tc>
          <w:tcPr>
            <w:tcW w:w="1062" w:type="dxa"/>
            <w:shd w:val="clear" w:color="auto" w:fill="F2F2F2" w:themeFill="background1" w:themeFillShade="F2"/>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F55792">
              <w:rPr>
                <w:rFonts w:ascii="Century Gothic" w:hAnsi="Century Gothic" w:cs="Calibri"/>
                <w:color w:val="000000"/>
                <w:sz w:val="18"/>
              </w:rPr>
              <w:t>34</w:t>
            </w:r>
          </w:p>
        </w:tc>
        <w:tc>
          <w:tcPr>
            <w:tcW w:w="1984"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7.3</w:t>
            </w:r>
          </w:p>
        </w:tc>
        <w:tc>
          <w:tcPr>
            <w:tcW w:w="1985" w:type="dxa"/>
            <w:shd w:val="clear" w:color="auto" w:fill="FFF2CC" w:themeFill="accent4" w:themeFillTint="33"/>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78.11</w:t>
            </w:r>
          </w:p>
        </w:tc>
      </w:tr>
      <w:tr w:rsidR="004A43CC" w:rsidRPr="00C06035" w:rsidTr="00036138">
        <w:trPr>
          <w:trHeight w:val="20"/>
          <w:jc w:val="center"/>
        </w:trPr>
        <w:tc>
          <w:tcPr>
            <w:tcW w:w="700" w:type="dxa"/>
            <w:shd w:val="clear" w:color="auto" w:fill="D9D9D9" w:themeFill="background1" w:themeFillShade="D9"/>
            <w:noWrap/>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4A43CC" w:rsidRPr="00C06035" w:rsidRDefault="004A43CC" w:rsidP="004A43CC">
            <w:pPr>
              <w:spacing w:before="60" w:after="60" w:line="240" w:lineRule="auto"/>
              <w:rPr>
                <w:rFonts w:ascii="Century Gothic" w:eastAsia="Times New Roman" w:hAnsi="Century Gothic" w:cs="Calibri"/>
                <w:color w:val="000000"/>
                <w:sz w:val="17"/>
                <w:szCs w:val="17"/>
              </w:rPr>
            </w:pPr>
            <w:proofErr w:type="spellStart"/>
            <w:r w:rsidRPr="00995239">
              <w:rPr>
                <w:rFonts w:ascii="Century Gothic" w:eastAsia="Times New Roman" w:hAnsi="Century Gothic" w:cs="Calibri"/>
                <w:color w:val="000000"/>
                <w:sz w:val="18"/>
                <w:szCs w:val="18"/>
                <w:lang w:val="en-US"/>
              </w:rPr>
              <w:t>Estadísticas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Vitales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Matrimonios</w:t>
            </w:r>
            <w:proofErr w:type="spellEnd"/>
            <w:r w:rsidRPr="00995239">
              <w:rPr>
                <w:rFonts w:ascii="Century Gothic" w:eastAsia="Times New Roman" w:hAnsi="Century Gothic" w:cs="Calibri"/>
                <w:color w:val="000000"/>
                <w:sz w:val="18"/>
                <w:szCs w:val="18"/>
                <w:lang w:val="en-US"/>
              </w:rPr>
              <w:t xml:space="preserve"> 2018 </w:t>
            </w:r>
            <w:r w:rsidRPr="00EC28F4">
              <w:rPr>
                <w:rFonts w:ascii="Century Gothic" w:eastAsia="Times New Roman" w:hAnsi="Century Gothic" w:cs="Calibri"/>
                <w:color w:val="000000"/>
                <w:sz w:val="18"/>
                <w:szCs w:val="18"/>
                <w:vertAlign w:val="superscript"/>
                <w:lang w:val="en-US"/>
              </w:rPr>
              <w:t>1</w:t>
            </w:r>
          </w:p>
        </w:tc>
        <w:tc>
          <w:tcPr>
            <w:tcW w:w="1062" w:type="dxa"/>
            <w:shd w:val="clear" w:color="auto" w:fill="D9D9D9" w:themeFill="background1" w:themeFillShade="D9"/>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F55792">
              <w:rPr>
                <w:rFonts w:ascii="Century Gothic" w:hAnsi="Century Gothic" w:cs="Calibri"/>
                <w:color w:val="000000"/>
                <w:sz w:val="18"/>
              </w:rPr>
              <w:t>18</w:t>
            </w:r>
          </w:p>
        </w:tc>
        <w:tc>
          <w:tcPr>
            <w:tcW w:w="1984" w:type="dxa"/>
            <w:shd w:val="clear" w:color="auto" w:fill="FFE599" w:themeFill="accent4" w:themeFillTint="66"/>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7.2</w:t>
            </w:r>
          </w:p>
        </w:tc>
        <w:tc>
          <w:tcPr>
            <w:tcW w:w="1985" w:type="dxa"/>
            <w:shd w:val="clear" w:color="auto" w:fill="FFE599" w:themeFill="accent4" w:themeFillTint="66"/>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56.4</w:t>
            </w:r>
          </w:p>
        </w:tc>
      </w:tr>
      <w:tr w:rsidR="004A43CC" w:rsidRPr="00C06035" w:rsidTr="00036138">
        <w:trPr>
          <w:trHeight w:val="20"/>
          <w:jc w:val="center"/>
        </w:trPr>
        <w:tc>
          <w:tcPr>
            <w:tcW w:w="700" w:type="dxa"/>
            <w:shd w:val="clear" w:color="auto" w:fill="D9D9D9" w:themeFill="background1" w:themeFillShade="D9"/>
            <w:noWrap/>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4A43CC" w:rsidRPr="00C06035" w:rsidRDefault="004A43CC" w:rsidP="004A43CC">
            <w:pPr>
              <w:spacing w:before="60" w:after="60" w:line="240" w:lineRule="auto"/>
              <w:rPr>
                <w:rFonts w:ascii="Century Gothic" w:eastAsia="Times New Roman" w:hAnsi="Century Gothic" w:cs="Calibri"/>
                <w:color w:val="000000"/>
                <w:sz w:val="17"/>
                <w:szCs w:val="17"/>
              </w:rPr>
            </w:pPr>
            <w:proofErr w:type="spellStart"/>
            <w:r w:rsidRPr="00995239">
              <w:rPr>
                <w:rFonts w:ascii="Century Gothic" w:eastAsia="Times New Roman" w:hAnsi="Century Gothic" w:cs="Calibri"/>
                <w:color w:val="000000"/>
                <w:sz w:val="18"/>
                <w:szCs w:val="18"/>
                <w:lang w:val="en-US"/>
              </w:rPr>
              <w:t>Estadísticas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Vitales</w:t>
            </w:r>
            <w:proofErr w:type="spellEnd"/>
            <w:r w:rsidRPr="00995239">
              <w:rPr>
                <w:rFonts w:ascii="Century Gothic" w:eastAsia="Times New Roman" w:hAnsi="Century Gothic" w:cs="Calibri"/>
                <w:color w:val="000000"/>
                <w:sz w:val="18"/>
                <w:szCs w:val="18"/>
                <w:lang w:val="en-US"/>
              </w:rPr>
              <w:t xml:space="preserve">. </w:t>
            </w:r>
            <w:proofErr w:type="spellStart"/>
            <w:r w:rsidRPr="00995239">
              <w:rPr>
                <w:rFonts w:ascii="Century Gothic" w:eastAsia="Times New Roman" w:hAnsi="Century Gothic" w:cs="Calibri"/>
                <w:color w:val="000000"/>
                <w:sz w:val="18"/>
                <w:szCs w:val="18"/>
                <w:lang w:val="en-US"/>
              </w:rPr>
              <w:t>Divorcios</w:t>
            </w:r>
            <w:proofErr w:type="spellEnd"/>
            <w:r w:rsidRPr="00995239">
              <w:rPr>
                <w:rFonts w:ascii="Century Gothic" w:eastAsia="Times New Roman" w:hAnsi="Century Gothic" w:cs="Calibri"/>
                <w:color w:val="000000"/>
                <w:sz w:val="18"/>
                <w:szCs w:val="18"/>
                <w:lang w:val="en-US"/>
              </w:rPr>
              <w:t xml:space="preserve"> 2018</w:t>
            </w:r>
            <w:r>
              <w:rPr>
                <w:rFonts w:ascii="Century Gothic" w:eastAsia="Times New Roman" w:hAnsi="Century Gothic" w:cs="Calibri"/>
                <w:color w:val="000000"/>
                <w:sz w:val="18"/>
                <w:szCs w:val="18"/>
                <w:lang w:val="en-US"/>
              </w:rPr>
              <w:t xml:space="preserve"> </w:t>
            </w:r>
          </w:p>
        </w:tc>
        <w:tc>
          <w:tcPr>
            <w:tcW w:w="1062" w:type="dxa"/>
            <w:shd w:val="clear" w:color="auto" w:fill="D9D9D9" w:themeFill="background1" w:themeFillShade="D9"/>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sidRPr="00F55792">
              <w:rPr>
                <w:rFonts w:ascii="Century Gothic" w:hAnsi="Century Gothic" w:cs="Calibri"/>
                <w:color w:val="000000"/>
                <w:sz w:val="18"/>
              </w:rPr>
              <w:t>54</w:t>
            </w:r>
          </w:p>
        </w:tc>
        <w:tc>
          <w:tcPr>
            <w:tcW w:w="1984" w:type="dxa"/>
            <w:shd w:val="clear" w:color="auto" w:fill="FFE599" w:themeFill="accent4" w:themeFillTint="66"/>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7.0</w:t>
            </w:r>
          </w:p>
        </w:tc>
        <w:tc>
          <w:tcPr>
            <w:tcW w:w="1985" w:type="dxa"/>
            <w:shd w:val="clear" w:color="auto" w:fill="FFE599" w:themeFill="accent4" w:themeFillTint="66"/>
            <w:vAlign w:val="center"/>
            <w:hideMark/>
          </w:tcPr>
          <w:p w:rsidR="004A43CC" w:rsidRPr="00C06035" w:rsidRDefault="004A43CC" w:rsidP="004A43CC">
            <w:pPr>
              <w:spacing w:after="0" w:line="240" w:lineRule="auto"/>
              <w:jc w:val="center"/>
              <w:rPr>
                <w:rFonts w:ascii="Century Gothic" w:eastAsia="Times New Roman" w:hAnsi="Century Gothic" w:cs="Calibri"/>
                <w:color w:val="000000"/>
                <w:sz w:val="17"/>
                <w:szCs w:val="17"/>
              </w:rPr>
            </w:pPr>
            <w:r>
              <w:rPr>
                <w:rFonts w:ascii="Century Gothic" w:hAnsi="Century Gothic" w:cs="Calibri"/>
                <w:color w:val="000000"/>
                <w:sz w:val="18"/>
                <w:szCs w:val="18"/>
              </w:rPr>
              <w:t>44.0</w:t>
            </w:r>
          </w:p>
        </w:tc>
      </w:tr>
      <w:tr w:rsidR="001962C5" w:rsidRPr="00C06035" w:rsidTr="00036138">
        <w:trPr>
          <w:trHeight w:val="20"/>
          <w:jc w:val="center"/>
        </w:trPr>
        <w:tc>
          <w:tcPr>
            <w:tcW w:w="700" w:type="dxa"/>
            <w:shd w:val="clear" w:color="auto" w:fill="D9D9D9" w:themeFill="background1" w:themeFillShade="D9"/>
            <w:noWrap/>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DGES</w:t>
            </w:r>
          </w:p>
        </w:tc>
        <w:tc>
          <w:tcPr>
            <w:tcW w:w="4749" w:type="dxa"/>
            <w:shd w:val="clear" w:color="auto" w:fill="D9D9D9" w:themeFill="background1" w:themeFillShade="D9"/>
            <w:vAlign w:val="center"/>
            <w:hideMark/>
          </w:tcPr>
          <w:p w:rsidR="001962C5" w:rsidRPr="00C06035" w:rsidRDefault="001962C5" w:rsidP="00036138">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Salud en Establecimientos Particulares</w:t>
            </w:r>
          </w:p>
        </w:tc>
        <w:tc>
          <w:tcPr>
            <w:tcW w:w="1062" w:type="dxa"/>
            <w:shd w:val="clear" w:color="auto" w:fill="D9D9D9" w:themeFill="background1" w:themeFillShade="D9"/>
            <w:vAlign w:val="center"/>
            <w:hideMark/>
          </w:tcPr>
          <w:p w:rsidR="001962C5" w:rsidRPr="00C06035" w:rsidRDefault="001962C5" w:rsidP="00036138">
            <w:pPr>
              <w:spacing w:after="0" w:line="240" w:lineRule="auto"/>
              <w:jc w:val="center"/>
              <w:rPr>
                <w:rFonts w:ascii="Century Gothic" w:eastAsia="Times New Roman" w:hAnsi="Century Gothic" w:cs="Calibri"/>
                <w:color w:val="000000"/>
                <w:sz w:val="17"/>
                <w:szCs w:val="17"/>
              </w:rPr>
            </w:pPr>
          </w:p>
        </w:tc>
        <w:tc>
          <w:tcPr>
            <w:tcW w:w="1984"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FF0000"/>
                <w:sz w:val="17"/>
                <w:szCs w:val="17"/>
              </w:rPr>
            </w:pPr>
            <w:r w:rsidRPr="00C06035">
              <w:rPr>
                <w:rFonts w:ascii="Century Gothic" w:hAnsi="Century Gothic" w:cs="Calibri"/>
                <w:color w:val="FF0000"/>
                <w:sz w:val="17"/>
                <w:szCs w:val="17"/>
              </w:rPr>
              <w:t>-</w:t>
            </w:r>
          </w:p>
        </w:tc>
        <w:tc>
          <w:tcPr>
            <w:tcW w:w="1985" w:type="dxa"/>
            <w:shd w:val="clear" w:color="auto" w:fill="FFE599" w:themeFill="accent4" w:themeFillTint="66"/>
            <w:vAlign w:val="center"/>
            <w:hideMark/>
          </w:tcPr>
          <w:p w:rsidR="001962C5" w:rsidRPr="00C06035" w:rsidRDefault="001962C5" w:rsidP="00036138">
            <w:pPr>
              <w:spacing w:after="0" w:line="240" w:lineRule="auto"/>
              <w:jc w:val="center"/>
              <w:rPr>
                <w:rFonts w:ascii="Century Gothic" w:eastAsia="Times New Roman" w:hAnsi="Century Gothic" w:cs="Calibri"/>
                <w:color w:val="FF0000"/>
                <w:sz w:val="17"/>
                <w:szCs w:val="17"/>
              </w:rPr>
            </w:pPr>
            <w:r w:rsidRPr="00C06035">
              <w:rPr>
                <w:rFonts w:ascii="Century Gothic" w:eastAsia="Times New Roman" w:hAnsi="Century Gothic" w:cs="Calibri"/>
                <w:color w:val="FF0000"/>
                <w:sz w:val="17"/>
                <w:szCs w:val="17"/>
              </w:rPr>
              <w:t>-</w:t>
            </w:r>
          </w:p>
        </w:tc>
      </w:tr>
    </w:tbl>
    <w:p w:rsidR="001962C5" w:rsidRPr="004A43CC" w:rsidRDefault="004A43CC" w:rsidP="001962C5">
      <w:pPr>
        <w:rPr>
          <w:rFonts w:ascii="Century Gothic" w:hAnsi="Century Gothic"/>
          <w:sz w:val="15"/>
          <w:szCs w:val="15"/>
        </w:rPr>
      </w:pPr>
      <w:r w:rsidRPr="004A43CC">
        <w:rPr>
          <w:rFonts w:ascii="Century Gothic" w:hAnsi="Century Gothic"/>
          <w:sz w:val="15"/>
          <w:szCs w:val="15"/>
        </w:rPr>
        <w:t>1 La tasa corresponde a las variables evaluadas a nivel nacional</w:t>
      </w:r>
    </w:p>
    <w:p w:rsidR="004A43CC" w:rsidRPr="00A830A0" w:rsidRDefault="004A43CC" w:rsidP="001962C5">
      <w:pPr>
        <w:rPr>
          <w:rFonts w:ascii="Century Gothic" w:hAnsi="Century Gothic"/>
          <w:sz w:val="19"/>
          <w:szCs w:val="19"/>
        </w:rPr>
      </w:pPr>
    </w:p>
    <w:p w:rsidR="001962C5" w:rsidRPr="00A830A0" w:rsidRDefault="00AF62E8" w:rsidP="001962C5">
      <w:pPr>
        <w:rPr>
          <w:rFonts w:ascii="Century Gothic" w:hAnsi="Century Gothic"/>
          <w:b/>
          <w:sz w:val="19"/>
          <w:szCs w:val="19"/>
        </w:rPr>
      </w:pPr>
      <w:r>
        <w:rPr>
          <w:rFonts w:ascii="Century Gothic" w:hAnsi="Century Gothic"/>
          <w:b/>
          <w:sz w:val="19"/>
          <w:szCs w:val="19"/>
        </w:rPr>
        <w:t>CONCLUSIÓN</w:t>
      </w:r>
    </w:p>
    <w:p w:rsidR="001962C5" w:rsidRPr="00A830A0" w:rsidRDefault="001962C5" w:rsidP="001962C5">
      <w:pPr>
        <w:numPr>
          <w:ilvl w:val="0"/>
          <w:numId w:val="46"/>
        </w:numPr>
        <w:contextualSpacing/>
        <w:jc w:val="both"/>
        <w:rPr>
          <w:rFonts w:ascii="Century Gothic" w:hAnsi="Century Gothic"/>
          <w:sz w:val="19"/>
          <w:szCs w:val="19"/>
        </w:rPr>
      </w:pPr>
      <w:r w:rsidRPr="00A830A0">
        <w:rPr>
          <w:rFonts w:ascii="Century Gothic" w:hAnsi="Century Gothic"/>
          <w:sz w:val="19"/>
          <w:szCs w:val="19"/>
        </w:rPr>
        <w:t xml:space="preserve">Estos datos han servido a las áreas responsables de los </w:t>
      </w:r>
      <w:r w:rsidR="00AF62E8">
        <w:rPr>
          <w:rFonts w:ascii="Century Gothic" w:hAnsi="Century Gothic"/>
          <w:sz w:val="19"/>
          <w:szCs w:val="19"/>
        </w:rPr>
        <w:t xml:space="preserve">programas de información cuyo insumo son </w:t>
      </w:r>
      <w:r w:rsidRPr="00A830A0">
        <w:rPr>
          <w:rFonts w:ascii="Century Gothic" w:hAnsi="Century Gothic"/>
          <w:sz w:val="19"/>
          <w:szCs w:val="19"/>
        </w:rPr>
        <w:t>Registros Administrativos para establecer estrategias operativas que permitirán mejorar la calidad de la información para el 2020.</w:t>
      </w:r>
    </w:p>
    <w:p w:rsidR="001962C5" w:rsidRPr="00A830A0" w:rsidRDefault="001962C5" w:rsidP="001962C5">
      <w:pPr>
        <w:ind w:left="720"/>
        <w:contextualSpacing/>
        <w:jc w:val="both"/>
        <w:rPr>
          <w:rFonts w:ascii="Century Gothic" w:hAnsi="Century Gothic"/>
          <w:sz w:val="19"/>
          <w:szCs w:val="19"/>
        </w:rPr>
      </w:pPr>
    </w:p>
    <w:p w:rsidR="00657B06" w:rsidRDefault="00657B06">
      <w:pPr>
        <w:rPr>
          <w:rFonts w:ascii="Century Gothic" w:hAnsi="Century Gothic"/>
          <w:sz w:val="19"/>
          <w:szCs w:val="19"/>
        </w:rPr>
      </w:pPr>
      <w:r>
        <w:rPr>
          <w:rFonts w:ascii="Century Gothic" w:hAnsi="Century Gothic"/>
          <w:sz w:val="19"/>
          <w:szCs w:val="19"/>
        </w:rPr>
        <w:br w:type="page"/>
      </w:r>
    </w:p>
    <w:tbl>
      <w:tblPr>
        <w:tblW w:w="12333" w:type="dxa"/>
        <w:tblInd w:w="-1139" w:type="dxa"/>
        <w:tblLook w:val="04A0" w:firstRow="1" w:lastRow="0" w:firstColumn="1" w:lastColumn="0" w:noHBand="0" w:noVBand="1"/>
      </w:tblPr>
      <w:tblGrid>
        <w:gridCol w:w="4820"/>
        <w:gridCol w:w="7513"/>
      </w:tblGrid>
      <w:tr w:rsidR="00657B06" w:rsidRPr="0022505B" w:rsidTr="00B276A9">
        <w:trPr>
          <w:trHeight w:val="201"/>
        </w:trPr>
        <w:tc>
          <w:tcPr>
            <w:tcW w:w="4820" w:type="dxa"/>
            <w:shd w:val="clear" w:color="auto" w:fill="1F3864" w:themeFill="accent5" w:themeFillShade="80"/>
          </w:tcPr>
          <w:p w:rsidR="00657B06" w:rsidRPr="0022505B" w:rsidRDefault="00657B06" w:rsidP="00B276A9">
            <w:pPr>
              <w:rPr>
                <w:rFonts w:cstheme="minorHAnsi"/>
                <w:color w:val="FFFFFF" w:themeColor="background1"/>
                <w:sz w:val="14"/>
                <w:szCs w:val="32"/>
              </w:rPr>
            </w:pPr>
          </w:p>
        </w:tc>
        <w:tc>
          <w:tcPr>
            <w:tcW w:w="7513" w:type="dxa"/>
            <w:shd w:val="clear" w:color="auto" w:fill="0079BF"/>
          </w:tcPr>
          <w:p w:rsidR="00657B06" w:rsidRPr="0022505B" w:rsidRDefault="00657B06" w:rsidP="00B276A9">
            <w:pPr>
              <w:rPr>
                <w:rFonts w:cstheme="minorHAnsi"/>
                <w:color w:val="FFFFFF" w:themeColor="background1"/>
                <w:sz w:val="14"/>
                <w:szCs w:val="32"/>
              </w:rPr>
            </w:pPr>
          </w:p>
        </w:tc>
      </w:tr>
      <w:tr w:rsidR="00657B06" w:rsidRPr="0022505B" w:rsidTr="00B276A9">
        <w:trPr>
          <w:trHeight w:val="201"/>
        </w:trPr>
        <w:tc>
          <w:tcPr>
            <w:tcW w:w="12333" w:type="dxa"/>
            <w:gridSpan w:val="2"/>
            <w:shd w:val="clear" w:color="auto" w:fill="auto"/>
          </w:tcPr>
          <w:p w:rsidR="00657B06" w:rsidRPr="00613C02" w:rsidRDefault="00657B06" w:rsidP="00882081">
            <w:pPr>
              <w:spacing w:after="0"/>
              <w:jc w:val="center"/>
              <w:rPr>
                <w:rFonts w:cstheme="minorHAnsi"/>
                <w:color w:val="000000" w:themeColor="text1"/>
                <w:sz w:val="32"/>
                <w:szCs w:val="32"/>
              </w:rPr>
            </w:pPr>
            <w:r>
              <w:rPr>
                <w:rFonts w:cstheme="minorHAnsi"/>
                <w:color w:val="000000" w:themeColor="text1"/>
                <w:sz w:val="32"/>
                <w:szCs w:val="32"/>
              </w:rPr>
              <w:t>ANEXO 6</w:t>
            </w:r>
          </w:p>
        </w:tc>
      </w:tr>
      <w:tr w:rsidR="00657B06" w:rsidRPr="0022505B" w:rsidTr="00B276A9">
        <w:trPr>
          <w:trHeight w:val="201"/>
        </w:trPr>
        <w:tc>
          <w:tcPr>
            <w:tcW w:w="4820" w:type="dxa"/>
            <w:shd w:val="clear" w:color="auto" w:fill="1F3864" w:themeFill="accent5" w:themeFillShade="80"/>
          </w:tcPr>
          <w:p w:rsidR="00657B06" w:rsidRPr="0022505B" w:rsidRDefault="00657B06" w:rsidP="00B276A9">
            <w:pPr>
              <w:rPr>
                <w:rFonts w:cstheme="minorHAnsi"/>
                <w:color w:val="FFFFFF" w:themeColor="background1"/>
                <w:sz w:val="12"/>
                <w:szCs w:val="32"/>
              </w:rPr>
            </w:pPr>
          </w:p>
        </w:tc>
        <w:tc>
          <w:tcPr>
            <w:tcW w:w="7513" w:type="dxa"/>
            <w:shd w:val="clear" w:color="auto" w:fill="0079BF"/>
          </w:tcPr>
          <w:p w:rsidR="00657B06" w:rsidRPr="0022505B" w:rsidRDefault="00657B06" w:rsidP="00B276A9">
            <w:pPr>
              <w:rPr>
                <w:rFonts w:cstheme="minorHAnsi"/>
                <w:color w:val="FFFFFF" w:themeColor="background1"/>
                <w:sz w:val="12"/>
                <w:szCs w:val="32"/>
              </w:rPr>
            </w:pPr>
          </w:p>
        </w:tc>
      </w:tr>
    </w:tbl>
    <w:p w:rsidR="00D41680" w:rsidRPr="00252CA7" w:rsidRDefault="00D41680" w:rsidP="00D41680">
      <w:pPr>
        <w:pStyle w:val="Ttulo1"/>
        <w:rPr>
          <w:rFonts w:ascii="Century Gothic" w:eastAsiaTheme="minorHAnsi" w:hAnsi="Century Gothic" w:cstheme="minorBidi"/>
          <w:b/>
          <w:color w:val="auto"/>
          <w:sz w:val="22"/>
          <w:szCs w:val="22"/>
        </w:rPr>
      </w:pPr>
      <w:bookmarkStart w:id="18" w:name="_Toc34310026"/>
      <w:r>
        <w:rPr>
          <w:rFonts w:ascii="Century Gothic" w:eastAsiaTheme="minorHAnsi" w:hAnsi="Century Gothic" w:cstheme="minorBidi"/>
          <w:b/>
          <w:color w:val="auto"/>
          <w:sz w:val="22"/>
          <w:szCs w:val="22"/>
        </w:rPr>
        <w:t>Anexo 6</w:t>
      </w:r>
      <w:r w:rsidRPr="00252CA7">
        <w:rPr>
          <w:rFonts w:ascii="Century Gothic" w:eastAsiaTheme="minorHAnsi" w:hAnsi="Century Gothic" w:cstheme="minorBidi"/>
          <w:b/>
          <w:color w:val="auto"/>
          <w:sz w:val="22"/>
          <w:szCs w:val="22"/>
        </w:rPr>
        <w:t xml:space="preserve">: Indicadores de </w:t>
      </w:r>
      <w:r>
        <w:rPr>
          <w:rFonts w:ascii="Century Gothic" w:eastAsiaTheme="minorHAnsi" w:hAnsi="Century Gothic" w:cstheme="minorBidi"/>
          <w:b/>
          <w:color w:val="auto"/>
          <w:sz w:val="22"/>
          <w:szCs w:val="22"/>
        </w:rPr>
        <w:t>p</w:t>
      </w:r>
      <w:r w:rsidRPr="00252CA7">
        <w:rPr>
          <w:rFonts w:ascii="Century Gothic" w:eastAsiaTheme="minorHAnsi" w:hAnsi="Century Gothic" w:cstheme="minorBidi"/>
          <w:b/>
          <w:color w:val="auto"/>
          <w:sz w:val="22"/>
          <w:szCs w:val="22"/>
        </w:rPr>
        <w:t>recisión y confiabilidad en encuestas</w:t>
      </w:r>
      <w:bookmarkEnd w:id="18"/>
    </w:p>
    <w:p w:rsidR="00D41680" w:rsidRPr="00D10FAA" w:rsidRDefault="00D41680" w:rsidP="00D41680">
      <w:pPr>
        <w:spacing w:before="240"/>
        <w:jc w:val="both"/>
        <w:rPr>
          <w:rFonts w:ascii="Century Gothic" w:hAnsi="Century Gothic" w:cstheme="minorHAnsi"/>
          <w:sz w:val="19"/>
          <w:szCs w:val="19"/>
        </w:rPr>
      </w:pPr>
      <w:r>
        <w:rPr>
          <w:rFonts w:ascii="Century Gothic" w:hAnsi="Century Gothic" w:cstheme="minorHAnsi"/>
          <w:sz w:val="19"/>
          <w:szCs w:val="19"/>
        </w:rPr>
        <w:t xml:space="preserve">En 2017 y 2018 el Comité de Aseguramiento de la Calidad aprobó nueve indicadores para medir la precisión en encuestas.  </w:t>
      </w:r>
      <w:r w:rsidRPr="00D10FAA">
        <w:rPr>
          <w:rFonts w:ascii="Century Gothic" w:hAnsi="Century Gothic" w:cstheme="minorHAnsi"/>
          <w:sz w:val="19"/>
          <w:szCs w:val="19"/>
        </w:rPr>
        <w:t>Los indicadores aprobados se diferenciaron como de uso externo y uso interno, ambos deben reportarse en los metadatos de los programas de información, pero los de uso externo están disponibles para la consulta de los usuarios a través de la Red Nacional de Metadatos.</w:t>
      </w:r>
    </w:p>
    <w:p w:rsidR="00D41680" w:rsidRPr="005850AC" w:rsidRDefault="00D41680" w:rsidP="00D41680">
      <w:pPr>
        <w:spacing w:after="120"/>
        <w:jc w:val="center"/>
        <w:rPr>
          <w:rFonts w:ascii="Century Gothic" w:hAnsi="Century Gothic" w:cstheme="majorHAnsi"/>
          <w:b/>
          <w:sz w:val="19"/>
          <w:szCs w:val="19"/>
        </w:rPr>
      </w:pPr>
      <w:r>
        <w:rPr>
          <w:rFonts w:ascii="Century Gothic" w:hAnsi="Century Gothic" w:cstheme="majorHAnsi"/>
          <w:b/>
          <w:sz w:val="19"/>
          <w:szCs w:val="19"/>
        </w:rPr>
        <w:t xml:space="preserve">A.6.1. </w:t>
      </w:r>
      <w:r w:rsidRPr="005850AC">
        <w:rPr>
          <w:rFonts w:ascii="Century Gothic" w:hAnsi="Century Gothic" w:cstheme="majorHAnsi"/>
          <w:b/>
          <w:sz w:val="19"/>
          <w:szCs w:val="19"/>
        </w:rPr>
        <w:t>Indicadores de precisión y confiabilidad estadística aprobados según tipo de uso</w:t>
      </w:r>
    </w:p>
    <w:tbl>
      <w:tblPr>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3686"/>
        <w:gridCol w:w="6395"/>
      </w:tblGrid>
      <w:tr w:rsidR="00D41680" w:rsidRPr="00D10FAA" w:rsidTr="00036138">
        <w:tc>
          <w:tcPr>
            <w:tcW w:w="3686" w:type="dxa"/>
            <w:shd w:val="clear" w:color="auto" w:fill="1F3864" w:themeFill="accent5" w:themeFillShade="80"/>
          </w:tcPr>
          <w:p w:rsidR="00D41680" w:rsidRPr="00D10FAA" w:rsidRDefault="00D41680" w:rsidP="00036138">
            <w:pPr>
              <w:spacing w:before="60" w:after="60"/>
              <w:ind w:left="357"/>
              <w:jc w:val="center"/>
              <w:rPr>
                <w:rFonts w:ascii="Century Gothic" w:eastAsia="Calibri" w:hAnsi="Century Gothic"/>
                <w:color w:val="FFFFFF" w:themeColor="background1"/>
                <w:sz w:val="16"/>
                <w:szCs w:val="20"/>
              </w:rPr>
            </w:pPr>
            <w:r w:rsidRPr="00D10FAA">
              <w:rPr>
                <w:rFonts w:ascii="Century Gothic" w:eastAsia="Calibri" w:hAnsi="Century Gothic"/>
                <w:b/>
                <w:bCs/>
                <w:color w:val="FFFFFF" w:themeColor="background1"/>
                <w:sz w:val="16"/>
                <w:szCs w:val="20"/>
              </w:rPr>
              <w:t>Uso externo:</w:t>
            </w:r>
          </w:p>
        </w:tc>
        <w:tc>
          <w:tcPr>
            <w:tcW w:w="6395" w:type="dxa"/>
            <w:shd w:val="clear" w:color="auto" w:fill="1F3864" w:themeFill="accent5" w:themeFillShade="80"/>
          </w:tcPr>
          <w:p w:rsidR="00D41680" w:rsidRPr="00D10FAA" w:rsidRDefault="00D41680" w:rsidP="00036138">
            <w:pPr>
              <w:spacing w:before="60" w:after="60"/>
              <w:ind w:left="357"/>
              <w:jc w:val="center"/>
              <w:rPr>
                <w:rFonts w:ascii="Century Gothic" w:eastAsia="Calibri" w:hAnsi="Century Gothic"/>
                <w:color w:val="FFFFFF" w:themeColor="background1"/>
                <w:sz w:val="16"/>
                <w:szCs w:val="20"/>
              </w:rPr>
            </w:pPr>
            <w:r w:rsidRPr="00D10FAA">
              <w:rPr>
                <w:rFonts w:ascii="Century Gothic" w:eastAsia="Calibri" w:hAnsi="Century Gothic"/>
                <w:b/>
                <w:bCs/>
                <w:color w:val="FFFFFF" w:themeColor="background1"/>
                <w:sz w:val="16"/>
                <w:szCs w:val="20"/>
              </w:rPr>
              <w:t>Uso Interno:</w:t>
            </w:r>
          </w:p>
        </w:tc>
      </w:tr>
      <w:tr w:rsidR="00D41680" w:rsidRPr="00D10FAA" w:rsidTr="00036138">
        <w:tc>
          <w:tcPr>
            <w:tcW w:w="3686" w:type="dxa"/>
            <w:shd w:val="clear" w:color="auto" w:fill="C5EAFF"/>
          </w:tcPr>
          <w:p w:rsidR="00D41680" w:rsidRPr="00D10FAA" w:rsidRDefault="00D41680" w:rsidP="00036138">
            <w:pPr>
              <w:numPr>
                <w:ilvl w:val="0"/>
                <w:numId w:val="11"/>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 xml:space="preserve">Coeficiente de Variación </w:t>
            </w:r>
            <w:r>
              <w:rPr>
                <w:rFonts w:ascii="Century Gothic" w:eastAsia="Calibri" w:hAnsi="Century Gothic"/>
                <w:sz w:val="16"/>
                <w:szCs w:val="20"/>
              </w:rPr>
              <w:t>(CV)</w:t>
            </w:r>
          </w:p>
          <w:p w:rsidR="00D41680" w:rsidRPr="00D10FAA" w:rsidRDefault="00D41680" w:rsidP="00036138">
            <w:pPr>
              <w:numPr>
                <w:ilvl w:val="0"/>
                <w:numId w:val="11"/>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 xml:space="preserve">Error Estándar </w:t>
            </w:r>
            <w:r>
              <w:rPr>
                <w:rFonts w:ascii="Century Gothic" w:eastAsia="Calibri" w:hAnsi="Century Gothic"/>
                <w:sz w:val="16"/>
                <w:szCs w:val="20"/>
              </w:rPr>
              <w:t>(SE)</w:t>
            </w:r>
          </w:p>
          <w:p w:rsidR="00D41680" w:rsidRPr="00D10FAA" w:rsidRDefault="00D41680" w:rsidP="00036138">
            <w:pPr>
              <w:numPr>
                <w:ilvl w:val="0"/>
                <w:numId w:val="11"/>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Intervalos de confianza</w:t>
            </w:r>
            <w:r>
              <w:rPr>
                <w:rFonts w:ascii="Century Gothic" w:eastAsia="Calibri" w:hAnsi="Century Gothic"/>
                <w:sz w:val="16"/>
                <w:szCs w:val="20"/>
              </w:rPr>
              <w:t xml:space="preserve"> (IC)</w:t>
            </w:r>
            <w:r w:rsidRPr="00D10FAA">
              <w:rPr>
                <w:rFonts w:ascii="Century Gothic" w:eastAsia="Calibri" w:hAnsi="Century Gothic"/>
                <w:sz w:val="16"/>
                <w:szCs w:val="20"/>
              </w:rPr>
              <w:t xml:space="preserve"> </w:t>
            </w:r>
          </w:p>
          <w:p w:rsidR="00D41680" w:rsidRPr="00D10FAA" w:rsidRDefault="00D41680" w:rsidP="00036138">
            <w:pPr>
              <w:numPr>
                <w:ilvl w:val="0"/>
                <w:numId w:val="11"/>
              </w:numPr>
              <w:tabs>
                <w:tab w:val="clear" w:pos="720"/>
                <w:tab w:val="num" w:pos="317"/>
              </w:tabs>
              <w:ind w:left="317" w:hanging="283"/>
              <w:rPr>
                <w:rFonts w:ascii="Century Gothic" w:eastAsia="Calibri" w:hAnsi="Century Gothic"/>
                <w:sz w:val="16"/>
                <w:szCs w:val="20"/>
              </w:rPr>
            </w:pPr>
            <w:r w:rsidRPr="00D10FAA">
              <w:rPr>
                <w:rFonts w:ascii="Century Gothic" w:eastAsia="Calibri" w:hAnsi="Century Gothic"/>
                <w:sz w:val="16"/>
                <w:szCs w:val="20"/>
              </w:rPr>
              <w:t>Cobertura de la variable de diseño</w:t>
            </w:r>
            <w:r>
              <w:rPr>
                <w:rFonts w:ascii="Century Gothic" w:eastAsia="Calibri" w:hAnsi="Century Gothic"/>
                <w:sz w:val="16"/>
                <w:szCs w:val="20"/>
              </w:rPr>
              <w:t xml:space="preserve"> (CD)</w:t>
            </w:r>
            <w:r>
              <w:rPr>
                <w:rFonts w:ascii="Century Gothic" w:eastAsia="Calibri" w:hAnsi="Century Gothic"/>
                <w:sz w:val="16"/>
                <w:szCs w:val="20"/>
              </w:rPr>
              <w:br/>
            </w:r>
            <w:r w:rsidRPr="00D10FAA">
              <w:rPr>
                <w:rFonts w:ascii="Century Gothic" w:eastAsia="Calibri" w:hAnsi="Century Gothic"/>
                <w:sz w:val="16"/>
                <w:szCs w:val="20"/>
              </w:rPr>
              <w:t>(solo para encuesta</w:t>
            </w:r>
            <w:r>
              <w:rPr>
                <w:rFonts w:ascii="Century Gothic" w:eastAsia="Calibri" w:hAnsi="Century Gothic"/>
                <w:sz w:val="16"/>
                <w:szCs w:val="20"/>
              </w:rPr>
              <w:t>s</w:t>
            </w:r>
            <w:r w:rsidRPr="00D10FAA">
              <w:rPr>
                <w:rFonts w:ascii="Century Gothic" w:eastAsia="Calibri" w:hAnsi="Century Gothic"/>
                <w:sz w:val="16"/>
                <w:szCs w:val="20"/>
              </w:rPr>
              <w:t xml:space="preserve"> con muestreo no probabilístico)</w:t>
            </w:r>
          </w:p>
        </w:tc>
        <w:tc>
          <w:tcPr>
            <w:tcW w:w="6395" w:type="dxa"/>
            <w:shd w:val="clear" w:color="auto" w:fill="C5EAFF"/>
          </w:tcPr>
          <w:p w:rsidR="00D41680" w:rsidRPr="00D10FAA" w:rsidRDefault="00D41680" w:rsidP="00036138">
            <w:pPr>
              <w:numPr>
                <w:ilvl w:val="0"/>
                <w:numId w:val="12"/>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no respuesta antes de imputación a nivel unidad de observación </w:t>
            </w:r>
            <w:r>
              <w:rPr>
                <w:rFonts w:ascii="Century Gothic" w:eastAsia="Calibri" w:hAnsi="Century Gothic"/>
                <w:sz w:val="16"/>
                <w:szCs w:val="20"/>
              </w:rPr>
              <w:t>(TNRAI)</w:t>
            </w:r>
          </w:p>
          <w:p w:rsidR="00D41680" w:rsidRPr="00D10FAA" w:rsidRDefault="00D41680" w:rsidP="00036138">
            <w:pPr>
              <w:numPr>
                <w:ilvl w:val="0"/>
                <w:numId w:val="12"/>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cumplimiento de la muestra mínima antes de imputación </w:t>
            </w:r>
            <w:r>
              <w:rPr>
                <w:rFonts w:ascii="Century Gothic" w:eastAsia="Calibri" w:hAnsi="Century Gothic"/>
                <w:sz w:val="16"/>
                <w:szCs w:val="20"/>
              </w:rPr>
              <w:t>(TCMM)</w:t>
            </w:r>
          </w:p>
          <w:p w:rsidR="00D41680" w:rsidRPr="00D10FAA" w:rsidRDefault="00D41680" w:rsidP="00036138">
            <w:pPr>
              <w:numPr>
                <w:ilvl w:val="0"/>
                <w:numId w:val="12"/>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no respuesta después de imputación a nivel unidad de observación </w:t>
            </w:r>
            <w:r>
              <w:rPr>
                <w:rFonts w:ascii="Century Gothic" w:eastAsia="Calibri" w:hAnsi="Century Gothic"/>
                <w:sz w:val="16"/>
                <w:szCs w:val="20"/>
              </w:rPr>
              <w:t>(TNRDI)</w:t>
            </w:r>
          </w:p>
          <w:p w:rsidR="00D41680" w:rsidRPr="00D10FAA" w:rsidRDefault="00D41680" w:rsidP="00036138">
            <w:pPr>
              <w:numPr>
                <w:ilvl w:val="0"/>
                <w:numId w:val="12"/>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imputación a nivel unidad de observación </w:t>
            </w:r>
            <w:r>
              <w:rPr>
                <w:rFonts w:ascii="Century Gothic" w:eastAsia="Calibri" w:hAnsi="Century Gothic"/>
                <w:sz w:val="16"/>
                <w:szCs w:val="20"/>
              </w:rPr>
              <w:t>(TI)</w:t>
            </w:r>
          </w:p>
          <w:p w:rsidR="00D41680" w:rsidRPr="00D10FAA" w:rsidRDefault="00D41680" w:rsidP="00C06035">
            <w:pPr>
              <w:numPr>
                <w:ilvl w:val="0"/>
                <w:numId w:val="12"/>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w:t>
            </w:r>
            <w:proofErr w:type="spellStart"/>
            <w:r w:rsidRPr="00D10FAA">
              <w:rPr>
                <w:rFonts w:ascii="Century Gothic" w:eastAsia="Calibri" w:hAnsi="Century Gothic"/>
                <w:sz w:val="16"/>
                <w:szCs w:val="20"/>
              </w:rPr>
              <w:t>sobrecobertur</w:t>
            </w:r>
            <w:r>
              <w:rPr>
                <w:rFonts w:ascii="Century Gothic" w:eastAsia="Calibri" w:hAnsi="Century Gothic"/>
                <w:sz w:val="16"/>
                <w:szCs w:val="20"/>
              </w:rPr>
              <w:t>a</w:t>
            </w:r>
            <w:proofErr w:type="spellEnd"/>
            <w:r>
              <w:rPr>
                <w:rFonts w:ascii="Century Gothic" w:eastAsia="Calibri" w:hAnsi="Century Gothic"/>
                <w:sz w:val="16"/>
                <w:szCs w:val="20"/>
              </w:rPr>
              <w:t xml:space="preserve"> a nivel unidad de observación (TSU)</w:t>
            </w:r>
          </w:p>
        </w:tc>
      </w:tr>
    </w:tbl>
    <w:p w:rsidR="00D41680" w:rsidRPr="00D10FAA" w:rsidRDefault="00D41680" w:rsidP="00D41680">
      <w:pPr>
        <w:spacing w:before="240"/>
        <w:jc w:val="both"/>
        <w:rPr>
          <w:rFonts w:ascii="Century Gothic" w:hAnsi="Century Gothic" w:cstheme="minorHAnsi"/>
          <w:sz w:val="19"/>
          <w:szCs w:val="19"/>
        </w:rPr>
      </w:pPr>
      <w:r>
        <w:rPr>
          <w:rFonts w:ascii="Century Gothic" w:hAnsi="Century Gothic" w:cstheme="minorHAnsi"/>
          <w:sz w:val="19"/>
          <w:szCs w:val="19"/>
        </w:rPr>
        <w:t>E</w:t>
      </w:r>
      <w:r w:rsidRPr="00D10FAA">
        <w:rPr>
          <w:rFonts w:ascii="Century Gothic" w:hAnsi="Century Gothic" w:cstheme="minorHAnsi"/>
          <w:sz w:val="19"/>
          <w:szCs w:val="19"/>
        </w:rPr>
        <w:t xml:space="preserve">l Universo de encuestas por muestreo que </w:t>
      </w:r>
      <w:r>
        <w:rPr>
          <w:rFonts w:ascii="Century Gothic" w:hAnsi="Century Gothic" w:cstheme="minorHAnsi"/>
          <w:sz w:val="19"/>
          <w:szCs w:val="19"/>
        </w:rPr>
        <w:t xml:space="preserve">para 2019 </w:t>
      </w:r>
      <w:r w:rsidRPr="00D10FAA">
        <w:rPr>
          <w:rFonts w:ascii="Century Gothic" w:hAnsi="Century Gothic" w:cstheme="minorHAnsi"/>
          <w:sz w:val="19"/>
          <w:szCs w:val="19"/>
        </w:rPr>
        <w:t>deberían calcular y reportar los indicadores antes mencionados</w:t>
      </w:r>
      <w:r>
        <w:rPr>
          <w:rFonts w:ascii="Century Gothic" w:hAnsi="Century Gothic" w:cstheme="minorHAnsi"/>
          <w:sz w:val="19"/>
          <w:szCs w:val="19"/>
        </w:rPr>
        <w:t xml:space="preserve"> fue de 93 ciclos de 20 Programas de Información </w:t>
      </w:r>
      <w:r w:rsidRPr="00D10FAA">
        <w:rPr>
          <w:rFonts w:ascii="Century Gothic" w:hAnsi="Century Gothic" w:cstheme="minorHAnsi"/>
          <w:sz w:val="19"/>
          <w:szCs w:val="19"/>
        </w:rPr>
        <w:t>(</w:t>
      </w:r>
      <w:r>
        <w:rPr>
          <w:rFonts w:ascii="Century Gothic" w:hAnsi="Century Gothic" w:cstheme="minorHAnsi"/>
          <w:sz w:val="19"/>
          <w:szCs w:val="19"/>
        </w:rPr>
        <w:t>ver cuadro</w:t>
      </w:r>
      <w:r w:rsidRPr="00D10FAA">
        <w:rPr>
          <w:rFonts w:ascii="Century Gothic" w:hAnsi="Century Gothic" w:cstheme="minorHAnsi"/>
          <w:sz w:val="19"/>
          <w:szCs w:val="19"/>
        </w:rPr>
        <w:t xml:space="preserve"> </w:t>
      </w:r>
      <w:r>
        <w:rPr>
          <w:rFonts w:ascii="Century Gothic" w:hAnsi="Century Gothic" w:cstheme="minorHAnsi"/>
          <w:sz w:val="19"/>
          <w:szCs w:val="19"/>
        </w:rPr>
        <w:t>A.6.2</w:t>
      </w:r>
      <w:r w:rsidR="00E70D96">
        <w:rPr>
          <w:rFonts w:ascii="Century Gothic" w:hAnsi="Century Gothic" w:cstheme="minorHAnsi"/>
          <w:sz w:val="19"/>
          <w:szCs w:val="19"/>
        </w:rPr>
        <w:t>.</w:t>
      </w:r>
      <w:r w:rsidRPr="00D10FAA">
        <w:rPr>
          <w:rFonts w:ascii="Century Gothic" w:hAnsi="Century Gothic" w:cstheme="minorHAnsi"/>
          <w:sz w:val="19"/>
          <w:szCs w:val="19"/>
        </w:rPr>
        <w:t xml:space="preserve">). </w:t>
      </w:r>
      <w:r>
        <w:rPr>
          <w:rFonts w:ascii="Century Gothic" w:hAnsi="Century Gothic" w:cstheme="minorHAnsi"/>
          <w:sz w:val="19"/>
          <w:szCs w:val="19"/>
        </w:rPr>
        <w:t>Cabe señalar que las Encuestas de Viajeros Internacionales no se incluyen como parte de este universo</w:t>
      </w:r>
      <w:r w:rsidR="003511B6">
        <w:rPr>
          <w:rFonts w:ascii="Century Gothic" w:hAnsi="Century Gothic" w:cstheme="minorHAnsi"/>
          <w:sz w:val="19"/>
          <w:szCs w:val="19"/>
        </w:rPr>
        <w:t>,</w:t>
      </w:r>
      <w:r>
        <w:rPr>
          <w:rFonts w:ascii="Century Gothic" w:hAnsi="Century Gothic" w:cstheme="minorHAnsi"/>
          <w:sz w:val="19"/>
          <w:szCs w:val="19"/>
        </w:rPr>
        <w:t xml:space="preserve"> aunque </w:t>
      </w:r>
      <w:r w:rsidRPr="00141DEC">
        <w:rPr>
          <w:rFonts w:ascii="Century Gothic" w:hAnsi="Century Gothic" w:cstheme="minorHAnsi"/>
          <w:sz w:val="19"/>
          <w:szCs w:val="19"/>
        </w:rPr>
        <w:t>desde septiembre de 2018 el INEGI ha estado a cargo de levantar y publicar mensualmente</w:t>
      </w:r>
      <w:r>
        <w:rPr>
          <w:rFonts w:ascii="Century Gothic" w:hAnsi="Century Gothic" w:cstheme="minorHAnsi"/>
          <w:sz w:val="19"/>
          <w:szCs w:val="19"/>
        </w:rPr>
        <w:t xml:space="preserve"> sus resultados.  En 2019 se recibió información retroactiva de algunos ciclos de programa que publicaron información durante 2018, los cuales no aparecen en el siguiente cuadro.</w:t>
      </w:r>
    </w:p>
    <w:p w:rsidR="00D41680" w:rsidRDefault="00D41680" w:rsidP="00D41680">
      <w:pPr>
        <w:spacing w:after="120"/>
        <w:jc w:val="center"/>
        <w:rPr>
          <w:rFonts w:ascii="Century Gothic" w:hAnsi="Century Gothic" w:cstheme="majorHAnsi"/>
          <w:b/>
          <w:sz w:val="19"/>
          <w:szCs w:val="19"/>
        </w:rPr>
      </w:pPr>
      <w:r>
        <w:rPr>
          <w:rFonts w:ascii="Century Gothic" w:hAnsi="Century Gothic" w:cstheme="majorHAnsi"/>
          <w:b/>
          <w:sz w:val="19"/>
          <w:szCs w:val="19"/>
        </w:rPr>
        <w:t xml:space="preserve">A.6.2. </w:t>
      </w:r>
      <w:r w:rsidR="00412993">
        <w:rPr>
          <w:rFonts w:ascii="Century Gothic" w:hAnsi="Century Gothic" w:cstheme="majorHAnsi"/>
          <w:b/>
          <w:sz w:val="19"/>
          <w:szCs w:val="19"/>
        </w:rPr>
        <w:t xml:space="preserve">Programas </w:t>
      </w:r>
      <w:r>
        <w:rPr>
          <w:rFonts w:ascii="Century Gothic" w:hAnsi="Century Gothic" w:cstheme="majorHAnsi"/>
          <w:b/>
          <w:sz w:val="19"/>
          <w:szCs w:val="19"/>
        </w:rPr>
        <w:t xml:space="preserve">con obligación de reportar indicadores de precisión conforme al calendario de difusión 2019 </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5"/>
        <w:gridCol w:w="1559"/>
        <w:gridCol w:w="1418"/>
        <w:gridCol w:w="1701"/>
        <w:gridCol w:w="425"/>
        <w:gridCol w:w="425"/>
        <w:gridCol w:w="425"/>
        <w:gridCol w:w="426"/>
        <w:gridCol w:w="708"/>
        <w:gridCol w:w="709"/>
        <w:gridCol w:w="587"/>
        <w:gridCol w:w="445"/>
        <w:gridCol w:w="448"/>
      </w:tblGrid>
      <w:tr w:rsidR="00D41680" w:rsidRPr="00C06035" w:rsidTr="00036138">
        <w:trPr>
          <w:trHeight w:val="122"/>
          <w:tblHeader/>
          <w:jc w:val="center"/>
        </w:trPr>
        <w:tc>
          <w:tcPr>
            <w:tcW w:w="113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jc w:val="center"/>
              <w:rPr>
                <w:rFonts w:ascii="Century Gothic" w:hAnsi="Century Gothic"/>
                <w:bCs/>
                <w:sz w:val="17"/>
                <w:szCs w:val="17"/>
              </w:rPr>
            </w:pPr>
            <w:r w:rsidRPr="00C06035">
              <w:rPr>
                <w:rFonts w:ascii="Century Gothic" w:hAnsi="Century Gothic"/>
                <w:bCs/>
                <w:sz w:val="17"/>
                <w:szCs w:val="17"/>
              </w:rPr>
              <w:t>UA Responsable</w:t>
            </w:r>
          </w:p>
        </w:tc>
        <w:tc>
          <w:tcPr>
            <w:tcW w:w="155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hideMark/>
          </w:tcPr>
          <w:p w:rsidR="00D41680" w:rsidRPr="00C06035" w:rsidRDefault="00D41680" w:rsidP="00036138">
            <w:pPr>
              <w:spacing w:after="0" w:line="240" w:lineRule="auto"/>
              <w:jc w:val="center"/>
              <w:rPr>
                <w:rFonts w:ascii="Century Gothic" w:hAnsi="Century Gothic"/>
                <w:bCs/>
                <w:color w:val="BDD6EE" w:themeColor="accent1" w:themeTint="66"/>
                <w:sz w:val="17"/>
                <w:szCs w:val="17"/>
              </w:rPr>
            </w:pPr>
            <w:r w:rsidRPr="00C06035">
              <w:rPr>
                <w:rFonts w:ascii="Century Gothic" w:hAnsi="Century Gothic"/>
                <w:bCs/>
                <w:color w:val="FFFFFF" w:themeColor="background1"/>
                <w:sz w:val="17"/>
                <w:szCs w:val="17"/>
              </w:rPr>
              <w:t>Programa</w:t>
            </w:r>
          </w:p>
        </w:tc>
        <w:tc>
          <w:tcPr>
            <w:tcW w:w="1418"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hideMark/>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bCs/>
                <w:sz w:val="17"/>
                <w:szCs w:val="17"/>
              </w:rPr>
              <w:t>Periodicidad</w:t>
            </w:r>
          </w:p>
        </w:tc>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1"/>
              <w:jc w:val="center"/>
              <w:rPr>
                <w:rFonts w:ascii="Century Gothic" w:hAnsi="Century Gothic"/>
                <w:bCs/>
                <w:sz w:val="17"/>
                <w:szCs w:val="17"/>
              </w:rPr>
            </w:pPr>
            <w:r w:rsidRPr="00C06035">
              <w:rPr>
                <w:rFonts w:ascii="Century Gothic" w:hAnsi="Century Gothic"/>
                <w:bCs/>
                <w:sz w:val="17"/>
                <w:szCs w:val="17"/>
              </w:rPr>
              <w:t>Número de ciclos con obligación de reportar indicadores en 2019</w:t>
            </w:r>
          </w:p>
        </w:tc>
        <w:tc>
          <w:tcPr>
            <w:tcW w:w="4598"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Número de ciclos con indicadores</w:t>
            </w:r>
          </w:p>
        </w:tc>
      </w:tr>
      <w:tr w:rsidR="00D41680" w:rsidRPr="00C06035" w:rsidTr="00036138">
        <w:trPr>
          <w:trHeight w:val="122"/>
          <w:tblHeader/>
          <w:jc w:val="center"/>
        </w:trPr>
        <w:tc>
          <w:tcPr>
            <w:tcW w:w="113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jc w:val="center"/>
              <w:rPr>
                <w:rFonts w:ascii="Century Gothic" w:hAnsi="Century Gothic"/>
                <w:bCs/>
                <w:sz w:val="17"/>
                <w:szCs w:val="17"/>
              </w:rPr>
            </w:pPr>
          </w:p>
        </w:tc>
        <w:tc>
          <w:tcPr>
            <w:tcW w:w="15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bCs/>
                <w:sz w:val="17"/>
                <w:szCs w:val="17"/>
              </w:rPr>
            </w:pPr>
          </w:p>
        </w:tc>
        <w:tc>
          <w:tcPr>
            <w:tcW w:w="141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bCs/>
                <w:sz w:val="17"/>
                <w:szCs w:val="17"/>
              </w:rPr>
            </w:pPr>
          </w:p>
        </w:tc>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1"/>
              <w:jc w:val="center"/>
              <w:rPr>
                <w:rFonts w:ascii="Century Gothic" w:hAnsi="Century Gothic"/>
                <w:bCs/>
                <w:sz w:val="17"/>
                <w:szCs w:val="17"/>
              </w:rPr>
            </w:pPr>
          </w:p>
        </w:tc>
        <w:tc>
          <w:tcPr>
            <w:tcW w:w="17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Uso externo</w:t>
            </w:r>
          </w:p>
        </w:tc>
        <w:tc>
          <w:tcPr>
            <w:tcW w:w="28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Uso interno</w:t>
            </w:r>
          </w:p>
        </w:tc>
      </w:tr>
      <w:tr w:rsidR="00D41680" w:rsidRPr="00C06035" w:rsidTr="00036138">
        <w:trPr>
          <w:trHeight w:val="122"/>
          <w:tblHeader/>
          <w:jc w:val="center"/>
        </w:trPr>
        <w:tc>
          <w:tcPr>
            <w:tcW w:w="113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jc w:val="center"/>
              <w:rPr>
                <w:rFonts w:ascii="Century Gothic" w:hAnsi="Century Gothic"/>
                <w:bCs/>
                <w:sz w:val="17"/>
                <w:szCs w:val="17"/>
              </w:rPr>
            </w:pPr>
          </w:p>
        </w:tc>
        <w:tc>
          <w:tcPr>
            <w:tcW w:w="15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bCs/>
                <w:sz w:val="17"/>
                <w:szCs w:val="17"/>
              </w:rPr>
            </w:pPr>
          </w:p>
        </w:tc>
        <w:tc>
          <w:tcPr>
            <w:tcW w:w="141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bCs/>
                <w:sz w:val="17"/>
                <w:szCs w:val="17"/>
              </w:rPr>
            </w:pPr>
          </w:p>
        </w:tc>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1"/>
              <w:jc w:val="center"/>
              <w:rPr>
                <w:rFonts w:ascii="Century Gothic" w:hAnsi="Century Gothic"/>
                <w:bCs/>
                <w:sz w:val="17"/>
                <w:szCs w:val="17"/>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CV</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SE</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IC</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CD</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eastAsia="Calibri" w:hAnsi="Century Gothic"/>
                <w:sz w:val="17"/>
                <w:szCs w:val="17"/>
              </w:rPr>
              <w:t>TNRAI</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eastAsia="Calibri" w:hAnsi="Century Gothic"/>
                <w:sz w:val="17"/>
                <w:szCs w:val="17"/>
              </w:rPr>
              <w:t>TCMM</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eastAsia="Calibri" w:hAnsi="Century Gothic"/>
                <w:sz w:val="17"/>
                <w:szCs w:val="17"/>
              </w:rPr>
              <w:t>TNRDI</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hAnsi="Century Gothic"/>
                <w:bCs/>
                <w:sz w:val="17"/>
                <w:szCs w:val="17"/>
              </w:rPr>
              <w:t>TI</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bCs/>
                <w:sz w:val="17"/>
                <w:szCs w:val="17"/>
              </w:rPr>
            </w:pPr>
            <w:r w:rsidRPr="00C06035">
              <w:rPr>
                <w:rFonts w:ascii="Century Gothic" w:eastAsia="Calibri" w:hAnsi="Century Gothic"/>
                <w:sz w:val="17"/>
                <w:szCs w:val="17"/>
              </w:rPr>
              <w:t>TSC</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eastAsia="Calibri" w:hAnsi="Century Gothic"/>
                <w:sz w:val="17"/>
                <w:szCs w:val="17"/>
              </w:rPr>
              <w:t>1. EMIM</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eastAsia="Calibri" w:hAnsi="Century Gothic"/>
                <w:sz w:val="17"/>
                <w:szCs w:val="17"/>
              </w:rPr>
              <w:t>2. EMS</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3. EMEC</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4. ENEC</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5. EMOE</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A6076B">
            <w:pPr>
              <w:spacing w:after="0" w:line="240" w:lineRule="auto"/>
              <w:ind w:left="66"/>
              <w:jc w:val="center"/>
              <w:rPr>
                <w:rFonts w:ascii="Century Gothic" w:hAnsi="Century Gothic"/>
                <w:sz w:val="17"/>
                <w:szCs w:val="17"/>
              </w:rPr>
            </w:pPr>
            <w:r w:rsidRPr="00C06035">
              <w:rPr>
                <w:rFonts w:ascii="Century Gothic" w:hAnsi="Century Gothic"/>
                <w:sz w:val="17"/>
                <w:szCs w:val="17"/>
              </w:rPr>
              <w:t xml:space="preserve">NA </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trike/>
                <w:sz w:val="17"/>
                <w:szCs w:val="17"/>
              </w:rPr>
            </w:pPr>
            <w:r w:rsidRPr="00C06035">
              <w:rPr>
                <w:rFonts w:ascii="Century Gothic" w:hAnsi="Century Gothic"/>
                <w:sz w:val="17"/>
                <w:szCs w:val="17"/>
              </w:rPr>
              <w:t>10</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6. EAEC</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7. EAC</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8. EAT</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9. EASPNF</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10. EAIM</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lastRenderedPageBreak/>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11. ENOE</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Trimestral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4</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12. ENCO</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Mensual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12</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13. MOPRADEF</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14. MODECULT</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hAnsi="Century Gothic"/>
                <w:sz w:val="17"/>
                <w:szCs w:val="17"/>
              </w:rPr>
            </w:pPr>
            <w:r w:rsidRPr="00C06035">
              <w:rPr>
                <w:rFonts w:ascii="Century Gothic" w:hAnsi="Century Gothic"/>
                <w:sz w:val="17"/>
                <w:szCs w:val="17"/>
              </w:rPr>
              <w:t xml:space="preserve">15. MOLEC </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color w:val="000000"/>
                <w:sz w:val="17"/>
                <w:szCs w:val="17"/>
              </w:rPr>
              <w:t>1</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eastAsia="Calibri" w:hAnsi="Century Gothic"/>
                <w:sz w:val="17"/>
                <w:szCs w:val="17"/>
              </w:rPr>
            </w:pPr>
            <w:r w:rsidRPr="00C06035">
              <w:rPr>
                <w:rFonts w:ascii="Century Gothic" w:eastAsia="Calibri" w:hAnsi="Century Gothic"/>
                <w:sz w:val="17"/>
                <w:szCs w:val="17"/>
              </w:rPr>
              <w:t>16. BIARE</w:t>
            </w:r>
            <w:r w:rsidRPr="00C06035">
              <w:rPr>
                <w:rFonts w:ascii="Century Gothic" w:eastAsia="Calibri" w:hAnsi="Century Gothic"/>
                <w:sz w:val="17"/>
                <w:szCs w:val="17"/>
                <w:vertAlign w:val="superscript"/>
              </w:rPr>
              <w:t xml:space="preserve"> </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Semestral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2</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rPr>
                <w:rFonts w:ascii="Century Gothic" w:eastAsia="Calibri" w:hAnsi="Century Gothic"/>
                <w:sz w:val="17"/>
                <w:szCs w:val="17"/>
              </w:rPr>
            </w:pPr>
            <w:r w:rsidRPr="00C06035">
              <w:rPr>
                <w:rFonts w:ascii="Century Gothic" w:eastAsia="Calibri" w:hAnsi="Century Gothic"/>
                <w:sz w:val="17"/>
                <w:szCs w:val="17"/>
                <w:lang w:val="en-US"/>
              </w:rPr>
              <w:t xml:space="preserve">17. ENADID </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3511B6" w:rsidP="00036138">
            <w:pPr>
              <w:spacing w:after="0" w:line="240" w:lineRule="auto"/>
              <w:jc w:val="center"/>
              <w:rPr>
                <w:rFonts w:ascii="Century Gothic" w:hAnsi="Century Gothic"/>
                <w:color w:val="000000"/>
                <w:sz w:val="17"/>
                <w:szCs w:val="17"/>
              </w:rPr>
            </w:pPr>
            <w:r>
              <w:rPr>
                <w:rFonts w:ascii="Century Gothic" w:hAnsi="Century Gothic"/>
                <w:sz w:val="17"/>
                <w:szCs w:val="17"/>
              </w:rPr>
              <w:t>Quinquenal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DGES</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eastAsia="Calibri" w:hAnsi="Century Gothic"/>
                <w:sz w:val="17"/>
                <w:szCs w:val="17"/>
              </w:rPr>
            </w:pPr>
            <w:r w:rsidRPr="00C06035">
              <w:rPr>
                <w:rFonts w:ascii="Century Gothic" w:eastAsia="Calibri" w:hAnsi="Century Gothic"/>
                <w:sz w:val="17"/>
                <w:szCs w:val="17"/>
                <w:lang w:val="en-US"/>
              </w:rPr>
              <w:t xml:space="preserve">18. ENIGH </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Bienal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DGEGSPJ</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rPr>
                <w:rFonts w:ascii="Century Gothic" w:eastAsia="Calibri" w:hAnsi="Century Gothic"/>
                <w:sz w:val="17"/>
                <w:szCs w:val="17"/>
              </w:rPr>
            </w:pPr>
            <w:r w:rsidRPr="00C06035">
              <w:rPr>
                <w:rFonts w:ascii="Century Gothic" w:eastAsia="Calibri" w:hAnsi="Century Gothic"/>
                <w:sz w:val="17"/>
                <w:szCs w:val="17"/>
              </w:rPr>
              <w:t>19. ENVIPE</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Anual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AFF"/>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1</w:t>
            </w:r>
          </w:p>
        </w:tc>
      </w:tr>
      <w:tr w:rsidR="00D41680" w:rsidRPr="00C06035" w:rsidTr="00036138">
        <w:trPr>
          <w:trHeight w:val="198"/>
          <w:jc w:val="center"/>
        </w:trPr>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jc w:val="center"/>
              <w:rPr>
                <w:rFonts w:ascii="Century Gothic" w:hAnsi="Century Gothic"/>
                <w:sz w:val="17"/>
                <w:szCs w:val="17"/>
              </w:rPr>
            </w:pPr>
            <w:r w:rsidRPr="00C06035">
              <w:rPr>
                <w:rFonts w:ascii="Century Gothic" w:hAnsi="Century Gothic"/>
                <w:sz w:val="17"/>
                <w:szCs w:val="17"/>
              </w:rPr>
              <w:t>DGEGSPJ</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rPr>
                <w:rFonts w:ascii="Century Gothic" w:eastAsia="Calibri" w:hAnsi="Century Gothic"/>
                <w:sz w:val="17"/>
                <w:szCs w:val="17"/>
              </w:rPr>
            </w:pPr>
            <w:r w:rsidRPr="00C06035">
              <w:rPr>
                <w:rFonts w:ascii="Century Gothic" w:eastAsia="Calibri" w:hAnsi="Century Gothic"/>
                <w:sz w:val="17"/>
                <w:szCs w:val="17"/>
              </w:rPr>
              <w:t>20. ENSU</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72" w:type="dxa"/>
              <w:left w:w="144" w:type="dxa"/>
              <w:bottom w:w="72" w:type="dxa"/>
              <w:right w:w="144" w:type="dxa"/>
            </w:tcMar>
            <w:vAlign w:val="center"/>
          </w:tcPr>
          <w:p w:rsidR="00D41680" w:rsidRPr="00C06035" w:rsidRDefault="00D41680" w:rsidP="00036138">
            <w:pPr>
              <w:spacing w:after="0" w:line="240" w:lineRule="auto"/>
              <w:jc w:val="center"/>
              <w:rPr>
                <w:rFonts w:ascii="Century Gothic" w:hAnsi="Century Gothic"/>
                <w:color w:val="000000"/>
                <w:sz w:val="17"/>
                <w:szCs w:val="17"/>
              </w:rPr>
            </w:pPr>
            <w:r w:rsidRPr="00C06035">
              <w:rPr>
                <w:rFonts w:ascii="Century Gothic" w:hAnsi="Century Gothic"/>
                <w:sz w:val="17"/>
                <w:szCs w:val="17"/>
              </w:rPr>
              <w:t>Trimestral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1"/>
              <w:jc w:val="center"/>
              <w:rPr>
                <w:rFonts w:ascii="Century Gothic" w:hAnsi="Century Gothic"/>
                <w:color w:val="000000"/>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sz w:val="17"/>
                <w:szCs w:val="17"/>
              </w:rPr>
            </w:pPr>
            <w:r w:rsidRPr="00C06035">
              <w:rPr>
                <w:rFonts w:ascii="Century Gothic" w:hAnsi="Century Gothic"/>
                <w:sz w:val="17"/>
                <w:szCs w:val="17"/>
              </w:rPr>
              <w:t>NA</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FF0000"/>
                <w:sz w:val="17"/>
                <w:szCs w:val="17"/>
              </w:rPr>
              <w:t>-</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D41680" w:rsidRPr="00C06035" w:rsidRDefault="00D41680" w:rsidP="00036138">
            <w:pPr>
              <w:spacing w:after="0" w:line="240" w:lineRule="auto"/>
              <w:ind w:left="66"/>
              <w:jc w:val="center"/>
              <w:rPr>
                <w:rFonts w:ascii="Century Gothic" w:hAnsi="Century Gothic"/>
                <w:color w:val="000000"/>
                <w:sz w:val="17"/>
                <w:szCs w:val="17"/>
              </w:rPr>
            </w:pPr>
            <w:r w:rsidRPr="00C06035">
              <w:rPr>
                <w:rFonts w:ascii="Century Gothic" w:hAnsi="Century Gothic"/>
                <w:color w:val="000000"/>
                <w:sz w:val="17"/>
                <w:szCs w:val="17"/>
              </w:rPr>
              <w:t>4</w:t>
            </w:r>
          </w:p>
        </w:tc>
      </w:tr>
      <w:tr w:rsidR="00D41680" w:rsidRPr="00C06035" w:rsidTr="00036138">
        <w:trPr>
          <w:trHeight w:val="313"/>
          <w:jc w:val="center"/>
        </w:trPr>
        <w:tc>
          <w:tcPr>
            <w:tcW w:w="581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1"/>
              <w:jc w:val="right"/>
              <w:rPr>
                <w:rFonts w:ascii="Century Gothic" w:hAnsi="Century Gothic"/>
                <w:color w:val="FFFFFF" w:themeColor="background1"/>
                <w:sz w:val="17"/>
                <w:szCs w:val="17"/>
              </w:rPr>
            </w:pPr>
            <w:r w:rsidRPr="00C06035">
              <w:rPr>
                <w:rFonts w:ascii="Century Gothic" w:hAnsi="Century Gothic"/>
                <w:color w:val="FFFFFF" w:themeColor="background1"/>
                <w:sz w:val="17"/>
                <w:szCs w:val="17"/>
              </w:rPr>
              <w:t>Porcentaje de entrega</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97</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97</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97</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100</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81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81</w:t>
            </w:r>
          </w:p>
        </w:tc>
        <w:tc>
          <w:tcPr>
            <w:tcW w:w="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54 ª</w:t>
            </w:r>
          </w:p>
        </w:tc>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54 ª</w:t>
            </w:r>
          </w:p>
        </w:tc>
        <w:tc>
          <w:tcPr>
            <w:tcW w:w="4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F3864" w:themeFill="accent5" w:themeFillShade="80"/>
            <w:vAlign w:val="center"/>
          </w:tcPr>
          <w:p w:rsidR="00D41680" w:rsidRPr="00C06035" w:rsidRDefault="00D41680" w:rsidP="00036138">
            <w:pPr>
              <w:spacing w:after="0" w:line="240" w:lineRule="auto"/>
              <w:ind w:left="66"/>
              <w:jc w:val="center"/>
              <w:rPr>
                <w:rFonts w:ascii="Century Gothic" w:hAnsi="Century Gothic"/>
                <w:color w:val="FFFFFF" w:themeColor="background1"/>
                <w:sz w:val="17"/>
                <w:szCs w:val="17"/>
              </w:rPr>
            </w:pPr>
            <w:r w:rsidRPr="00C06035">
              <w:rPr>
                <w:rFonts w:ascii="Century Gothic" w:hAnsi="Century Gothic" w:cs="Calibri"/>
                <w:color w:val="FFFFFF" w:themeColor="background1"/>
                <w:sz w:val="17"/>
                <w:szCs w:val="17"/>
              </w:rPr>
              <w:t>81</w:t>
            </w:r>
          </w:p>
        </w:tc>
      </w:tr>
    </w:tbl>
    <w:p w:rsidR="00D41680" w:rsidRPr="00316762" w:rsidRDefault="00D41680" w:rsidP="00E70D96">
      <w:pPr>
        <w:ind w:left="-142" w:right="-120"/>
        <w:jc w:val="both"/>
        <w:rPr>
          <w:rFonts w:ascii="Century Gothic" w:hAnsi="Century Gothic" w:cstheme="majorHAnsi"/>
          <w:sz w:val="15"/>
          <w:szCs w:val="15"/>
        </w:rPr>
      </w:pPr>
      <w:r w:rsidRPr="00316762">
        <w:rPr>
          <w:rFonts w:ascii="Century Gothic" w:hAnsi="Century Gothic" w:cstheme="majorHAnsi"/>
          <w:sz w:val="15"/>
          <w:szCs w:val="15"/>
        </w:rPr>
        <w:t xml:space="preserve">NA: La cobertura de la variable de diseño sólo aplica a las encuestas con muestreo no probabilístico / </w:t>
      </w:r>
      <w:r w:rsidRPr="00316762">
        <w:rPr>
          <w:rFonts w:ascii="Century Gothic" w:hAnsi="Century Gothic" w:cs="Calibri"/>
          <w:sz w:val="15"/>
          <w:szCs w:val="15"/>
        </w:rPr>
        <w:t>ª</w:t>
      </w:r>
      <w:r w:rsidR="00E70D96">
        <w:rPr>
          <w:rFonts w:ascii="Century Gothic" w:hAnsi="Century Gothic" w:cs="Calibri"/>
          <w:sz w:val="15"/>
          <w:szCs w:val="15"/>
        </w:rPr>
        <w:t xml:space="preserve"> </w:t>
      </w:r>
      <w:r w:rsidRPr="00316762">
        <w:rPr>
          <w:rFonts w:ascii="Century Gothic" w:hAnsi="Century Gothic" w:cs="Calibri"/>
          <w:sz w:val="15"/>
          <w:szCs w:val="15"/>
        </w:rPr>
        <w:t>Los</w:t>
      </w:r>
      <w:r w:rsidRPr="00316762">
        <w:rPr>
          <w:rFonts w:ascii="Century Gothic" w:hAnsi="Century Gothic" w:cstheme="majorHAnsi"/>
          <w:sz w:val="15"/>
          <w:szCs w:val="15"/>
        </w:rPr>
        <w:t xml:space="preserve"> programas de DGES y DGEGSPJ no realizan imputación por lo que no han entregado información de la TNRDI y TI, sin embargo, se considera que</w:t>
      </w:r>
      <w:r w:rsidR="003511B6">
        <w:rPr>
          <w:rFonts w:ascii="Century Gothic" w:hAnsi="Century Gothic" w:cstheme="majorHAnsi"/>
          <w:sz w:val="15"/>
          <w:szCs w:val="15"/>
        </w:rPr>
        <w:t>,</w:t>
      </w:r>
      <w:r w:rsidRPr="00316762">
        <w:rPr>
          <w:rFonts w:ascii="Century Gothic" w:hAnsi="Century Gothic" w:cstheme="majorHAnsi"/>
          <w:sz w:val="15"/>
          <w:szCs w:val="15"/>
        </w:rPr>
        <w:t xml:space="preserve"> aunque tengan un valor de cero deben ser entregadas.</w:t>
      </w:r>
    </w:p>
    <w:p w:rsidR="00D41680" w:rsidRDefault="00D41680" w:rsidP="00D41680">
      <w:pPr>
        <w:spacing w:before="240"/>
        <w:jc w:val="both"/>
        <w:rPr>
          <w:rFonts w:ascii="Century Gothic" w:hAnsi="Century Gothic" w:cstheme="minorHAnsi"/>
          <w:sz w:val="19"/>
          <w:szCs w:val="19"/>
        </w:rPr>
      </w:pPr>
      <w:r w:rsidRPr="00665928">
        <w:rPr>
          <w:rFonts w:ascii="Century Gothic" w:hAnsi="Century Gothic" w:cstheme="minorHAnsi"/>
          <w:sz w:val="19"/>
          <w:szCs w:val="19"/>
        </w:rPr>
        <w:t>Cabe señalar que no todos los reportes de los programas cumplen con el formato establecido para la publicación en metadatos, lo que dificulta la integración e interpretación de la información.  Algunos tienen columnas invertidas, en otros casos los reportes son inconsistentes entre los distintos períodos reportados y algunas columnas están en blanco.</w:t>
      </w:r>
      <w:r>
        <w:rPr>
          <w:rFonts w:ascii="Century Gothic" w:hAnsi="Century Gothic" w:cstheme="minorHAnsi"/>
          <w:sz w:val="19"/>
          <w:szCs w:val="19"/>
        </w:rPr>
        <w:t xml:space="preserve">  Es necesario seguir reforzando el compromiso de las áreas de entregar a tiempo y en los formatos establecidos.</w:t>
      </w:r>
    </w:p>
    <w:p w:rsidR="00C06035" w:rsidRDefault="00C06035" w:rsidP="00D41680">
      <w:pPr>
        <w:spacing w:before="240"/>
        <w:jc w:val="both"/>
        <w:rPr>
          <w:rFonts w:ascii="Century Gothic" w:hAnsi="Century Gothic" w:cstheme="minorHAnsi"/>
          <w:b/>
          <w:sz w:val="19"/>
          <w:szCs w:val="19"/>
        </w:rPr>
      </w:pPr>
    </w:p>
    <w:p w:rsidR="00D41680" w:rsidRPr="00AD4EFD" w:rsidRDefault="00D41680" w:rsidP="00D41680">
      <w:pPr>
        <w:spacing w:before="240"/>
        <w:jc w:val="both"/>
        <w:rPr>
          <w:rFonts w:ascii="Century Gothic" w:hAnsi="Century Gothic" w:cstheme="minorHAnsi"/>
          <w:b/>
          <w:sz w:val="19"/>
          <w:szCs w:val="19"/>
        </w:rPr>
      </w:pPr>
      <w:r>
        <w:rPr>
          <w:rFonts w:ascii="Century Gothic" w:hAnsi="Century Gothic" w:cstheme="minorHAnsi"/>
          <w:b/>
          <w:sz w:val="19"/>
          <w:szCs w:val="19"/>
        </w:rPr>
        <w:t>INDICADORES DE USO EXTERNO</w:t>
      </w:r>
    </w:p>
    <w:p w:rsidR="00D41680" w:rsidRDefault="00D41680" w:rsidP="00D41680">
      <w:pPr>
        <w:spacing w:before="240"/>
        <w:jc w:val="both"/>
        <w:rPr>
          <w:rFonts w:ascii="Century Gothic" w:hAnsi="Century Gothic" w:cstheme="minorHAnsi"/>
          <w:sz w:val="19"/>
          <w:szCs w:val="19"/>
        </w:rPr>
      </w:pPr>
      <w:r>
        <w:rPr>
          <w:rFonts w:ascii="Century Gothic" w:hAnsi="Century Gothic" w:cstheme="minorHAnsi"/>
          <w:sz w:val="19"/>
          <w:szCs w:val="19"/>
        </w:rPr>
        <w:t>Para los</w:t>
      </w:r>
      <w:r w:rsidRPr="00AD4EFD">
        <w:rPr>
          <w:rFonts w:ascii="Century Gothic" w:hAnsi="Century Gothic" w:cstheme="minorHAnsi"/>
          <w:sz w:val="19"/>
          <w:szCs w:val="19"/>
        </w:rPr>
        <w:t xml:space="preserve"> programas con muestreo no probabilístico se presenta</w:t>
      </w:r>
      <w:r>
        <w:rPr>
          <w:rFonts w:ascii="Century Gothic" w:hAnsi="Century Gothic" w:cstheme="minorHAnsi"/>
          <w:sz w:val="19"/>
          <w:szCs w:val="19"/>
        </w:rPr>
        <w:t xml:space="preserve"> un resumen del indicador de la cobertura de la variable de diseño (</w:t>
      </w:r>
      <w:r w:rsidRPr="00AD4EFD">
        <w:rPr>
          <w:rFonts w:ascii="Century Gothic" w:hAnsi="Century Gothic" w:cstheme="minorHAnsi"/>
          <w:sz w:val="19"/>
          <w:szCs w:val="19"/>
        </w:rPr>
        <w:t>cuadro A.6.3</w:t>
      </w:r>
      <w:r w:rsidR="00E70D96">
        <w:rPr>
          <w:rFonts w:ascii="Century Gothic" w:hAnsi="Century Gothic" w:cstheme="minorHAnsi"/>
          <w:sz w:val="19"/>
          <w:szCs w:val="19"/>
        </w:rPr>
        <w:t>.</w:t>
      </w:r>
      <w:r>
        <w:rPr>
          <w:rFonts w:ascii="Century Gothic" w:hAnsi="Century Gothic" w:cstheme="minorHAnsi"/>
          <w:sz w:val="19"/>
          <w:szCs w:val="19"/>
        </w:rPr>
        <w:t>)</w:t>
      </w:r>
      <w:r w:rsidRPr="00AD4EFD">
        <w:rPr>
          <w:rFonts w:ascii="Century Gothic" w:hAnsi="Century Gothic" w:cstheme="minorHAnsi"/>
          <w:sz w:val="19"/>
          <w:szCs w:val="19"/>
        </w:rPr>
        <w:t>.</w:t>
      </w:r>
      <w:r>
        <w:rPr>
          <w:rFonts w:ascii="Century Gothic" w:hAnsi="Century Gothic" w:cstheme="minorHAnsi"/>
          <w:sz w:val="19"/>
          <w:szCs w:val="19"/>
        </w:rPr>
        <w:t xml:space="preserve">  El número de casos totales corresponde a los dominios de estudio por el número de observaciones correspondientes a la periodicidad. Adicionalmente se muestra la distribución de casos en que la cobertura de la variable de diseño presenta valores considerados de alta precisión (&gt;=80%), de precisión moderada (60-80%) y baja precisión (&lt;60%).</w:t>
      </w:r>
    </w:p>
    <w:p w:rsidR="00D41680" w:rsidRDefault="00D41680" w:rsidP="00D41680">
      <w:pPr>
        <w:spacing w:after="120"/>
        <w:jc w:val="center"/>
        <w:rPr>
          <w:rFonts w:ascii="Century Gothic" w:hAnsi="Century Gothic" w:cstheme="minorHAnsi"/>
          <w:sz w:val="19"/>
          <w:szCs w:val="19"/>
        </w:rPr>
      </w:pPr>
      <w:r>
        <w:rPr>
          <w:rFonts w:ascii="Century Gothic" w:hAnsi="Century Gothic" w:cstheme="majorHAnsi"/>
          <w:b/>
          <w:sz w:val="19"/>
          <w:szCs w:val="19"/>
        </w:rPr>
        <w:t>A.6.3. Frecuencias de la Cobertura de Diseño en encuestas en unidades económicas</w:t>
      </w:r>
      <w:r>
        <w:rPr>
          <w:rFonts w:ascii="Century Gothic" w:hAnsi="Century Gothic" w:cstheme="majorHAnsi"/>
          <w:b/>
          <w:sz w:val="19"/>
          <w:szCs w:val="19"/>
        </w:rPr>
        <w:br/>
      </w:r>
      <w:r w:rsidRPr="00604DC8">
        <w:rPr>
          <w:rFonts w:ascii="Century Gothic" w:hAnsi="Century Gothic" w:cstheme="majorHAnsi"/>
          <w:b/>
          <w:sz w:val="19"/>
          <w:szCs w:val="19"/>
        </w:rPr>
        <w:t xml:space="preserve"> de acuerdo </w:t>
      </w:r>
      <w:r>
        <w:rPr>
          <w:rFonts w:ascii="Century Gothic" w:hAnsi="Century Gothic" w:cstheme="majorHAnsi"/>
          <w:b/>
          <w:sz w:val="19"/>
          <w:szCs w:val="19"/>
        </w:rPr>
        <w:t>con</w:t>
      </w:r>
      <w:r w:rsidRPr="00604DC8">
        <w:rPr>
          <w:rFonts w:ascii="Century Gothic" w:hAnsi="Century Gothic" w:cstheme="majorHAnsi"/>
          <w:b/>
          <w:sz w:val="19"/>
          <w:szCs w:val="19"/>
        </w:rPr>
        <w:t xml:space="preserve"> los umbrales aprobados en el Comité por </w:t>
      </w:r>
      <w:r>
        <w:rPr>
          <w:rFonts w:ascii="Century Gothic" w:hAnsi="Century Gothic" w:cstheme="majorHAnsi"/>
          <w:b/>
          <w:sz w:val="19"/>
          <w:szCs w:val="19"/>
        </w:rPr>
        <w:t xml:space="preserve">Programa </w:t>
      </w:r>
    </w:p>
    <w:tbl>
      <w:tblPr>
        <w:tblW w:w="10622" w:type="dxa"/>
        <w:jc w:val="cente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700"/>
        <w:gridCol w:w="1417"/>
        <w:gridCol w:w="1134"/>
        <w:gridCol w:w="917"/>
        <w:gridCol w:w="769"/>
        <w:gridCol w:w="1201"/>
        <w:gridCol w:w="668"/>
        <w:gridCol w:w="981"/>
        <w:gridCol w:w="850"/>
        <w:gridCol w:w="1276"/>
        <w:gridCol w:w="709"/>
      </w:tblGrid>
      <w:tr w:rsidR="000C2B4E" w:rsidRPr="00C06035" w:rsidTr="000C2B4E">
        <w:trPr>
          <w:trHeight w:val="342"/>
          <w:tblHeader/>
          <w:jc w:val="center"/>
        </w:trPr>
        <w:tc>
          <w:tcPr>
            <w:tcW w:w="700" w:type="dxa"/>
            <w:vMerge w:val="restart"/>
            <w:shd w:val="clear" w:color="000000" w:fill="0F243E"/>
            <w:vAlign w:val="center"/>
          </w:tcPr>
          <w:p w:rsidR="000C2B4E" w:rsidRPr="00C06035" w:rsidRDefault="000C2B4E" w:rsidP="000C2B4E">
            <w:pPr>
              <w:spacing w:after="0" w:line="240" w:lineRule="auto"/>
              <w:jc w:val="center"/>
              <w:rPr>
                <w:rFonts w:ascii="Century Gothic" w:eastAsia="Times New Roman" w:hAnsi="Century Gothic" w:cs="Calibri"/>
                <w:bCs/>
                <w:color w:val="FFFFFF"/>
                <w:sz w:val="17"/>
                <w:szCs w:val="17"/>
                <w:lang w:val="en-US"/>
              </w:rPr>
            </w:pPr>
            <w:r w:rsidRPr="00C06035">
              <w:rPr>
                <w:rFonts w:ascii="Century Gothic" w:eastAsia="Times New Roman" w:hAnsi="Century Gothic" w:cs="Calibri"/>
                <w:bCs/>
                <w:color w:val="FFFFFF"/>
                <w:sz w:val="17"/>
                <w:szCs w:val="17"/>
                <w:lang w:val="en-US"/>
              </w:rPr>
              <w:t>UA</w:t>
            </w:r>
          </w:p>
        </w:tc>
        <w:tc>
          <w:tcPr>
            <w:tcW w:w="1417" w:type="dxa"/>
            <w:vMerge w:val="restart"/>
            <w:shd w:val="clear" w:color="000000" w:fill="0F243E"/>
            <w:vAlign w:val="center"/>
          </w:tcPr>
          <w:p w:rsidR="000C2B4E" w:rsidRPr="00C06035" w:rsidRDefault="000C2B4E" w:rsidP="000C2B4E">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Periodicidad</w:t>
            </w:r>
            <w:proofErr w:type="spellEnd"/>
          </w:p>
        </w:tc>
        <w:tc>
          <w:tcPr>
            <w:tcW w:w="1134" w:type="dxa"/>
            <w:vMerge w:val="restart"/>
            <w:shd w:val="clear" w:color="000000" w:fill="0F243E"/>
            <w:vAlign w:val="center"/>
          </w:tcPr>
          <w:p w:rsidR="000C2B4E" w:rsidRPr="00C06035" w:rsidRDefault="000C2B4E" w:rsidP="000C2B4E">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Programa</w:t>
            </w:r>
            <w:proofErr w:type="spellEnd"/>
          </w:p>
        </w:tc>
        <w:tc>
          <w:tcPr>
            <w:tcW w:w="3555" w:type="dxa"/>
            <w:gridSpan w:val="4"/>
            <w:shd w:val="clear" w:color="000000" w:fill="0F243E"/>
            <w:vAlign w:val="center"/>
          </w:tcPr>
          <w:p w:rsidR="000C2B4E" w:rsidRPr="00C06035" w:rsidRDefault="000C2B4E" w:rsidP="000C2B4E">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C06035">
              <w:rPr>
                <w:rFonts w:ascii="Century Gothic" w:eastAsia="Times New Roman" w:hAnsi="Century Gothic" w:cs="Calibri"/>
                <w:bCs/>
                <w:color w:val="FFFFFF" w:themeColor="background1"/>
                <w:sz w:val="17"/>
                <w:szCs w:val="17"/>
                <w:lang w:val="en-US"/>
              </w:rPr>
              <w:t>In</w:t>
            </w:r>
            <w:r>
              <w:rPr>
                <w:rFonts w:ascii="Century Gothic" w:eastAsia="Times New Roman" w:hAnsi="Century Gothic" w:cs="Calibri"/>
                <w:bCs/>
                <w:color w:val="FFFFFF" w:themeColor="background1"/>
                <w:sz w:val="17"/>
                <w:szCs w:val="17"/>
                <w:lang w:val="en-US"/>
              </w:rPr>
              <w:t>dicadores</w:t>
            </w:r>
            <w:proofErr w:type="spellEnd"/>
            <w:r>
              <w:rPr>
                <w:rFonts w:ascii="Century Gothic" w:eastAsia="Times New Roman" w:hAnsi="Century Gothic" w:cs="Calibri"/>
                <w:bCs/>
                <w:color w:val="FFFFFF" w:themeColor="background1"/>
                <w:sz w:val="17"/>
                <w:szCs w:val="17"/>
                <w:lang w:val="en-US"/>
              </w:rPr>
              <w:t xml:space="preserve"> </w:t>
            </w:r>
            <w:proofErr w:type="spellStart"/>
            <w:r>
              <w:rPr>
                <w:rFonts w:ascii="Century Gothic" w:eastAsia="Times New Roman" w:hAnsi="Century Gothic" w:cs="Calibri"/>
                <w:bCs/>
                <w:color w:val="FFFFFF" w:themeColor="background1"/>
                <w:sz w:val="17"/>
                <w:szCs w:val="17"/>
                <w:lang w:val="en-US"/>
              </w:rPr>
              <w:t>recibidos</w:t>
            </w:r>
            <w:proofErr w:type="spellEnd"/>
            <w:r w:rsidRPr="00C06035">
              <w:rPr>
                <w:rFonts w:ascii="Century Gothic" w:eastAsia="Times New Roman" w:hAnsi="Century Gothic" w:cs="Calibri"/>
                <w:bCs/>
                <w:color w:val="FFFFFF" w:themeColor="background1"/>
                <w:sz w:val="17"/>
                <w:szCs w:val="17"/>
                <w:lang w:val="en-US"/>
              </w:rPr>
              <w:t xml:space="preserve"> </w:t>
            </w:r>
            <w:proofErr w:type="spellStart"/>
            <w:r w:rsidRPr="00C06035">
              <w:rPr>
                <w:rFonts w:ascii="Century Gothic" w:eastAsia="Times New Roman" w:hAnsi="Century Gothic" w:cs="Calibri"/>
                <w:bCs/>
                <w:color w:val="FFFFFF" w:themeColor="background1"/>
                <w:sz w:val="17"/>
                <w:szCs w:val="17"/>
                <w:lang w:val="en-US"/>
              </w:rPr>
              <w:t>en</w:t>
            </w:r>
            <w:proofErr w:type="spellEnd"/>
            <w:r w:rsidRPr="00C06035">
              <w:rPr>
                <w:rFonts w:ascii="Century Gothic" w:eastAsia="Times New Roman" w:hAnsi="Century Gothic" w:cs="Calibri"/>
                <w:bCs/>
                <w:color w:val="FFFFFF" w:themeColor="background1"/>
                <w:sz w:val="17"/>
                <w:szCs w:val="17"/>
                <w:lang w:val="en-US"/>
              </w:rPr>
              <w:t xml:space="preserve"> 2018</w:t>
            </w:r>
          </w:p>
        </w:tc>
        <w:tc>
          <w:tcPr>
            <w:tcW w:w="3816" w:type="dxa"/>
            <w:gridSpan w:val="4"/>
            <w:shd w:val="clear" w:color="auto" w:fill="0F243E"/>
            <w:vAlign w:val="center"/>
          </w:tcPr>
          <w:p w:rsidR="000C2B4E" w:rsidRPr="00C06035" w:rsidRDefault="000C2B4E" w:rsidP="000C2B4E">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C06035">
              <w:rPr>
                <w:rFonts w:ascii="Century Gothic" w:eastAsia="Times New Roman" w:hAnsi="Century Gothic" w:cs="Calibri"/>
                <w:bCs/>
                <w:color w:val="FFFFFF" w:themeColor="background1"/>
                <w:sz w:val="17"/>
                <w:szCs w:val="17"/>
                <w:lang w:val="en-US"/>
              </w:rPr>
              <w:t>In</w:t>
            </w:r>
            <w:r>
              <w:rPr>
                <w:rFonts w:ascii="Century Gothic" w:eastAsia="Times New Roman" w:hAnsi="Century Gothic" w:cs="Calibri"/>
                <w:bCs/>
                <w:color w:val="FFFFFF" w:themeColor="background1"/>
                <w:sz w:val="17"/>
                <w:szCs w:val="17"/>
                <w:lang w:val="en-US"/>
              </w:rPr>
              <w:t>dicadores</w:t>
            </w:r>
            <w:proofErr w:type="spellEnd"/>
            <w:r>
              <w:rPr>
                <w:rFonts w:ascii="Century Gothic" w:eastAsia="Times New Roman" w:hAnsi="Century Gothic" w:cs="Calibri"/>
                <w:bCs/>
                <w:color w:val="FFFFFF" w:themeColor="background1"/>
                <w:sz w:val="17"/>
                <w:szCs w:val="17"/>
                <w:lang w:val="en-US"/>
              </w:rPr>
              <w:t xml:space="preserve"> </w:t>
            </w:r>
            <w:proofErr w:type="spellStart"/>
            <w:r>
              <w:rPr>
                <w:rFonts w:ascii="Century Gothic" w:eastAsia="Times New Roman" w:hAnsi="Century Gothic" w:cs="Calibri"/>
                <w:bCs/>
                <w:color w:val="FFFFFF" w:themeColor="background1"/>
                <w:sz w:val="17"/>
                <w:szCs w:val="17"/>
                <w:lang w:val="en-US"/>
              </w:rPr>
              <w:t>recibidos</w:t>
            </w:r>
            <w:proofErr w:type="spellEnd"/>
            <w:r w:rsidRPr="00C06035">
              <w:rPr>
                <w:rFonts w:ascii="Century Gothic" w:eastAsia="Times New Roman" w:hAnsi="Century Gothic" w:cs="Calibri"/>
                <w:bCs/>
                <w:color w:val="FFFFFF" w:themeColor="background1"/>
                <w:sz w:val="17"/>
                <w:szCs w:val="17"/>
                <w:lang w:val="en-US"/>
              </w:rPr>
              <w:t xml:space="preserve"> </w:t>
            </w:r>
            <w:proofErr w:type="spellStart"/>
            <w:r w:rsidRPr="00C06035">
              <w:rPr>
                <w:rFonts w:ascii="Century Gothic" w:eastAsia="Times New Roman" w:hAnsi="Century Gothic" w:cs="Calibri"/>
                <w:bCs/>
                <w:color w:val="FFFFFF" w:themeColor="background1"/>
                <w:sz w:val="17"/>
                <w:szCs w:val="17"/>
                <w:lang w:val="en-US"/>
              </w:rPr>
              <w:t>en</w:t>
            </w:r>
            <w:proofErr w:type="spellEnd"/>
            <w:r w:rsidRPr="00C06035">
              <w:rPr>
                <w:rFonts w:ascii="Century Gothic" w:eastAsia="Times New Roman" w:hAnsi="Century Gothic" w:cs="Calibri"/>
                <w:bCs/>
                <w:color w:val="FFFFFF" w:themeColor="background1"/>
                <w:sz w:val="17"/>
                <w:szCs w:val="17"/>
                <w:lang w:val="en-US"/>
              </w:rPr>
              <w:t xml:space="preserve"> 2019</w:t>
            </w:r>
          </w:p>
        </w:tc>
      </w:tr>
      <w:tr w:rsidR="000C2B4E" w:rsidRPr="00C06035" w:rsidTr="000C2B4E">
        <w:trPr>
          <w:trHeight w:val="646"/>
          <w:tblHeader/>
          <w:jc w:val="center"/>
        </w:trPr>
        <w:tc>
          <w:tcPr>
            <w:tcW w:w="700" w:type="dxa"/>
            <w:vMerge/>
            <w:shd w:val="clear" w:color="000000" w:fill="0F243E"/>
            <w:vAlign w:val="center"/>
            <w:hideMark/>
          </w:tcPr>
          <w:p w:rsidR="000C2B4E" w:rsidRPr="00C06035" w:rsidRDefault="000C2B4E" w:rsidP="000C2B4E">
            <w:pPr>
              <w:spacing w:after="0" w:line="240" w:lineRule="auto"/>
              <w:jc w:val="center"/>
              <w:rPr>
                <w:rFonts w:ascii="Century Gothic" w:eastAsia="Times New Roman" w:hAnsi="Century Gothic" w:cs="Calibri"/>
                <w:b/>
                <w:bCs/>
                <w:color w:val="FFFFFF"/>
                <w:sz w:val="17"/>
                <w:szCs w:val="17"/>
                <w:lang w:val="en-US"/>
              </w:rPr>
            </w:pPr>
          </w:p>
        </w:tc>
        <w:tc>
          <w:tcPr>
            <w:tcW w:w="1417" w:type="dxa"/>
            <w:vMerge/>
            <w:shd w:val="clear" w:color="000000" w:fill="0F243E"/>
            <w:vAlign w:val="center"/>
            <w:hideMark/>
          </w:tcPr>
          <w:p w:rsidR="000C2B4E" w:rsidRPr="00C06035" w:rsidRDefault="000C2B4E" w:rsidP="000C2B4E">
            <w:pPr>
              <w:spacing w:after="0" w:line="240" w:lineRule="auto"/>
              <w:jc w:val="center"/>
              <w:rPr>
                <w:rFonts w:ascii="Century Gothic" w:eastAsia="Times New Roman" w:hAnsi="Century Gothic" w:cs="Calibri"/>
                <w:b/>
                <w:bCs/>
                <w:color w:val="FFFFFF"/>
                <w:sz w:val="17"/>
                <w:szCs w:val="17"/>
                <w:lang w:val="en-US"/>
              </w:rPr>
            </w:pPr>
          </w:p>
        </w:tc>
        <w:tc>
          <w:tcPr>
            <w:tcW w:w="1134" w:type="dxa"/>
            <w:vMerge/>
            <w:shd w:val="clear" w:color="000000" w:fill="0F243E"/>
            <w:vAlign w:val="center"/>
            <w:hideMark/>
          </w:tcPr>
          <w:p w:rsidR="000C2B4E" w:rsidRPr="00C06035" w:rsidRDefault="000C2B4E" w:rsidP="000C2B4E">
            <w:pPr>
              <w:spacing w:after="0" w:line="240" w:lineRule="auto"/>
              <w:jc w:val="center"/>
              <w:rPr>
                <w:rFonts w:ascii="Century Gothic" w:eastAsia="Times New Roman" w:hAnsi="Century Gothic" w:cs="Calibri"/>
                <w:b/>
                <w:bCs/>
                <w:color w:val="FFFFFF"/>
                <w:sz w:val="17"/>
                <w:szCs w:val="17"/>
                <w:lang w:val="en-US"/>
              </w:rPr>
            </w:pPr>
          </w:p>
        </w:tc>
        <w:tc>
          <w:tcPr>
            <w:tcW w:w="917" w:type="dxa"/>
            <w:shd w:val="clear" w:color="000000" w:fill="0F243E"/>
            <w:vAlign w:val="center"/>
            <w:hideMark/>
          </w:tcPr>
          <w:p w:rsidR="000C2B4E" w:rsidRPr="00C06035" w:rsidRDefault="000C2B4E" w:rsidP="000C2B4E">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Número</w:t>
            </w:r>
            <w:proofErr w:type="spellEnd"/>
            <w:r w:rsidRPr="00C06035">
              <w:rPr>
                <w:rFonts w:ascii="Century Gothic" w:eastAsia="Times New Roman" w:hAnsi="Century Gothic" w:cs="Calibri"/>
                <w:bCs/>
                <w:color w:val="FFFFFF"/>
                <w:sz w:val="17"/>
                <w:szCs w:val="17"/>
                <w:lang w:val="en-US"/>
              </w:rPr>
              <w:t xml:space="preserve"> de </w:t>
            </w:r>
            <w:proofErr w:type="spellStart"/>
            <w:r w:rsidRPr="00C06035">
              <w:rPr>
                <w:rFonts w:ascii="Century Gothic" w:eastAsia="Times New Roman" w:hAnsi="Century Gothic" w:cs="Calibri"/>
                <w:bCs/>
                <w:color w:val="FFFFFF"/>
                <w:sz w:val="17"/>
                <w:szCs w:val="17"/>
                <w:lang w:val="en-US"/>
              </w:rPr>
              <w:t>Casos</w:t>
            </w:r>
            <w:proofErr w:type="spellEnd"/>
            <w:r w:rsidRPr="00C06035">
              <w:rPr>
                <w:rFonts w:ascii="Century Gothic" w:eastAsia="Times New Roman" w:hAnsi="Century Gothic" w:cs="Calibri"/>
                <w:bCs/>
                <w:color w:val="FFFFFF"/>
                <w:sz w:val="17"/>
                <w:szCs w:val="17"/>
                <w:lang w:val="en-US"/>
              </w:rPr>
              <w:t xml:space="preserve"> </w:t>
            </w:r>
            <w:proofErr w:type="spellStart"/>
            <w:r w:rsidRPr="00C06035">
              <w:rPr>
                <w:rFonts w:ascii="Century Gothic" w:eastAsia="Times New Roman" w:hAnsi="Century Gothic" w:cs="Calibri"/>
                <w:bCs/>
                <w:color w:val="FFFFFF"/>
                <w:sz w:val="17"/>
                <w:szCs w:val="17"/>
                <w:lang w:val="en-US"/>
              </w:rPr>
              <w:t>Totales</w:t>
            </w:r>
            <w:proofErr w:type="spellEnd"/>
          </w:p>
        </w:tc>
        <w:tc>
          <w:tcPr>
            <w:tcW w:w="769" w:type="dxa"/>
            <w:shd w:val="clear" w:color="auto" w:fill="auto"/>
            <w:vAlign w:val="center"/>
            <w:hideMark/>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Alta</w:t>
            </w:r>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&gt;=80</w:t>
            </w:r>
            <w:r w:rsidRPr="00C06035">
              <w:rPr>
                <w:rFonts w:ascii="Century Gothic" w:eastAsia="Times New Roman" w:hAnsi="Century Gothic" w:cs="Calibri"/>
                <w:bCs/>
                <w:color w:val="000000"/>
                <w:sz w:val="17"/>
                <w:szCs w:val="17"/>
                <w:vertAlign w:val="superscript"/>
                <w:lang w:val="en-US"/>
              </w:rPr>
              <w:t>a/</w:t>
            </w:r>
          </w:p>
        </w:tc>
        <w:tc>
          <w:tcPr>
            <w:tcW w:w="1201" w:type="dxa"/>
            <w:shd w:val="clear" w:color="auto" w:fill="FFEA00"/>
            <w:vAlign w:val="center"/>
            <w:hideMark/>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000000"/>
                <w:sz w:val="17"/>
                <w:szCs w:val="17"/>
                <w:lang w:val="en-US"/>
              </w:rPr>
              <w:t>Moderada</w:t>
            </w:r>
            <w:proofErr w:type="spellEnd"/>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[60%-80%)</w:t>
            </w:r>
            <w:r w:rsidRPr="00C06035">
              <w:rPr>
                <w:rFonts w:ascii="Century Gothic" w:eastAsia="Times New Roman" w:hAnsi="Century Gothic" w:cs="Calibri"/>
                <w:bCs/>
                <w:color w:val="000000"/>
                <w:sz w:val="17"/>
                <w:szCs w:val="17"/>
                <w:vertAlign w:val="superscript"/>
                <w:lang w:val="en-US"/>
              </w:rPr>
              <w:t>a/</w:t>
            </w:r>
          </w:p>
        </w:tc>
        <w:tc>
          <w:tcPr>
            <w:tcW w:w="668" w:type="dxa"/>
            <w:shd w:val="clear" w:color="000000" w:fill="FF5400"/>
            <w:vAlign w:val="center"/>
            <w:hideMark/>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Baja</w:t>
            </w:r>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&lt;60</w:t>
            </w:r>
            <w:r w:rsidRPr="00C06035">
              <w:rPr>
                <w:rFonts w:ascii="Century Gothic" w:eastAsia="Times New Roman" w:hAnsi="Century Gothic" w:cs="Calibri"/>
                <w:bCs/>
                <w:color w:val="000000"/>
                <w:sz w:val="17"/>
                <w:szCs w:val="17"/>
                <w:vertAlign w:val="superscript"/>
                <w:lang w:val="en-US"/>
              </w:rPr>
              <w:t>a/</w:t>
            </w:r>
          </w:p>
        </w:tc>
        <w:tc>
          <w:tcPr>
            <w:tcW w:w="981" w:type="dxa"/>
            <w:shd w:val="clear" w:color="auto" w:fill="0F243E"/>
            <w:vAlign w:val="center"/>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FFFFFF"/>
                <w:sz w:val="17"/>
                <w:szCs w:val="17"/>
                <w:lang w:val="en-US"/>
              </w:rPr>
              <w:t>Número</w:t>
            </w:r>
            <w:proofErr w:type="spellEnd"/>
            <w:r w:rsidRPr="00C06035">
              <w:rPr>
                <w:rFonts w:ascii="Century Gothic" w:eastAsia="Times New Roman" w:hAnsi="Century Gothic" w:cs="Calibri"/>
                <w:bCs/>
                <w:color w:val="FFFFFF"/>
                <w:sz w:val="17"/>
                <w:szCs w:val="17"/>
                <w:lang w:val="en-US"/>
              </w:rPr>
              <w:t xml:space="preserve"> de </w:t>
            </w:r>
            <w:proofErr w:type="spellStart"/>
            <w:r w:rsidRPr="00C06035">
              <w:rPr>
                <w:rFonts w:ascii="Century Gothic" w:eastAsia="Times New Roman" w:hAnsi="Century Gothic" w:cs="Calibri"/>
                <w:bCs/>
                <w:color w:val="FFFFFF"/>
                <w:sz w:val="17"/>
                <w:szCs w:val="17"/>
                <w:lang w:val="en-US"/>
              </w:rPr>
              <w:t>Casos</w:t>
            </w:r>
            <w:proofErr w:type="spellEnd"/>
            <w:r w:rsidRPr="00C06035">
              <w:rPr>
                <w:rFonts w:ascii="Century Gothic" w:eastAsia="Times New Roman" w:hAnsi="Century Gothic" w:cs="Calibri"/>
                <w:bCs/>
                <w:color w:val="FFFFFF"/>
                <w:sz w:val="17"/>
                <w:szCs w:val="17"/>
                <w:lang w:val="en-US"/>
              </w:rPr>
              <w:t xml:space="preserve"> </w:t>
            </w:r>
            <w:proofErr w:type="spellStart"/>
            <w:r w:rsidRPr="00C06035">
              <w:rPr>
                <w:rFonts w:ascii="Century Gothic" w:eastAsia="Times New Roman" w:hAnsi="Century Gothic" w:cs="Calibri"/>
                <w:bCs/>
                <w:color w:val="FFFFFF"/>
                <w:sz w:val="17"/>
                <w:szCs w:val="17"/>
                <w:lang w:val="en-US"/>
              </w:rPr>
              <w:t>Totales</w:t>
            </w:r>
            <w:proofErr w:type="spellEnd"/>
          </w:p>
        </w:tc>
        <w:tc>
          <w:tcPr>
            <w:tcW w:w="850" w:type="dxa"/>
            <w:shd w:val="clear" w:color="auto" w:fill="FFFFFF" w:themeFill="background1"/>
            <w:vAlign w:val="center"/>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Alta</w:t>
            </w:r>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&gt;=80</w:t>
            </w:r>
            <w:r w:rsidRPr="00C06035">
              <w:rPr>
                <w:rFonts w:ascii="Century Gothic" w:eastAsia="Times New Roman" w:hAnsi="Century Gothic" w:cs="Calibri"/>
                <w:bCs/>
                <w:color w:val="000000"/>
                <w:sz w:val="17"/>
                <w:szCs w:val="17"/>
                <w:vertAlign w:val="superscript"/>
                <w:lang w:val="en-US"/>
              </w:rPr>
              <w:t>a/</w:t>
            </w:r>
          </w:p>
        </w:tc>
        <w:tc>
          <w:tcPr>
            <w:tcW w:w="1276" w:type="dxa"/>
            <w:shd w:val="clear" w:color="auto" w:fill="FFEA00"/>
            <w:vAlign w:val="center"/>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000000"/>
                <w:sz w:val="17"/>
                <w:szCs w:val="17"/>
                <w:lang w:val="en-US"/>
              </w:rPr>
              <w:t>Moderada</w:t>
            </w:r>
            <w:proofErr w:type="spellEnd"/>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[60%-80%)</w:t>
            </w:r>
            <w:r w:rsidRPr="00C06035">
              <w:rPr>
                <w:rFonts w:ascii="Century Gothic" w:eastAsia="Times New Roman" w:hAnsi="Century Gothic" w:cs="Calibri"/>
                <w:bCs/>
                <w:color w:val="000000"/>
                <w:sz w:val="17"/>
                <w:szCs w:val="17"/>
                <w:vertAlign w:val="superscript"/>
                <w:lang w:val="en-US"/>
              </w:rPr>
              <w:t>a/</w:t>
            </w:r>
          </w:p>
        </w:tc>
        <w:tc>
          <w:tcPr>
            <w:tcW w:w="709" w:type="dxa"/>
            <w:shd w:val="clear" w:color="000000" w:fill="FF5400"/>
            <w:vAlign w:val="center"/>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Baja</w:t>
            </w:r>
          </w:p>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&lt;60</w:t>
            </w:r>
            <w:r w:rsidRPr="00C06035">
              <w:rPr>
                <w:rFonts w:ascii="Century Gothic" w:eastAsia="Times New Roman" w:hAnsi="Century Gothic" w:cs="Calibri"/>
                <w:bCs/>
                <w:color w:val="000000"/>
                <w:sz w:val="17"/>
                <w:szCs w:val="17"/>
                <w:vertAlign w:val="superscript"/>
                <w:lang w:val="en-US"/>
              </w:rPr>
              <w:t>a/</w:t>
            </w:r>
          </w:p>
        </w:tc>
      </w:tr>
      <w:tr w:rsidR="000C2B4E" w:rsidRPr="00C06035" w:rsidTr="000C2B4E">
        <w:trPr>
          <w:trHeight w:val="300"/>
          <w:jc w:val="center"/>
        </w:trPr>
        <w:tc>
          <w:tcPr>
            <w:tcW w:w="700"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EAC</w:t>
            </w:r>
          </w:p>
        </w:tc>
        <w:tc>
          <w:tcPr>
            <w:tcW w:w="9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20</w:t>
            </w:r>
          </w:p>
        </w:tc>
        <w:tc>
          <w:tcPr>
            <w:tcW w:w="769"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20%</w:t>
            </w:r>
          </w:p>
        </w:tc>
        <w:tc>
          <w:tcPr>
            <w:tcW w:w="1201"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45%</w:t>
            </w:r>
          </w:p>
        </w:tc>
        <w:tc>
          <w:tcPr>
            <w:tcW w:w="668"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35%</w:t>
            </w:r>
          </w:p>
        </w:tc>
        <w:tc>
          <w:tcPr>
            <w:tcW w:w="981"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18</w:t>
            </w:r>
          </w:p>
        </w:tc>
        <w:tc>
          <w:tcPr>
            <w:tcW w:w="850"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39%</w:t>
            </w:r>
          </w:p>
        </w:tc>
        <w:tc>
          <w:tcPr>
            <w:tcW w:w="1276"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61%</w:t>
            </w:r>
          </w:p>
        </w:tc>
        <w:tc>
          <w:tcPr>
            <w:tcW w:w="709"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0C2B4E" w:rsidRPr="00C06035" w:rsidTr="000C2B4E">
        <w:trPr>
          <w:trHeight w:val="300"/>
          <w:jc w:val="center"/>
        </w:trPr>
        <w:tc>
          <w:tcPr>
            <w:tcW w:w="700"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EAIM</w:t>
            </w:r>
          </w:p>
        </w:tc>
        <w:tc>
          <w:tcPr>
            <w:tcW w:w="9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236</w:t>
            </w:r>
          </w:p>
        </w:tc>
        <w:tc>
          <w:tcPr>
            <w:tcW w:w="769"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61%</w:t>
            </w:r>
          </w:p>
        </w:tc>
        <w:tc>
          <w:tcPr>
            <w:tcW w:w="1201"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27%</w:t>
            </w:r>
          </w:p>
        </w:tc>
        <w:tc>
          <w:tcPr>
            <w:tcW w:w="668"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12%</w:t>
            </w:r>
          </w:p>
        </w:tc>
        <w:tc>
          <w:tcPr>
            <w:tcW w:w="981"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219</w:t>
            </w:r>
          </w:p>
        </w:tc>
        <w:tc>
          <w:tcPr>
            <w:tcW w:w="850"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78%</w:t>
            </w:r>
          </w:p>
        </w:tc>
        <w:tc>
          <w:tcPr>
            <w:tcW w:w="1276"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22%</w:t>
            </w:r>
          </w:p>
        </w:tc>
        <w:tc>
          <w:tcPr>
            <w:tcW w:w="709"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0C2B4E" w:rsidRPr="00C06035" w:rsidTr="000C2B4E">
        <w:trPr>
          <w:trHeight w:val="300"/>
          <w:jc w:val="center"/>
        </w:trPr>
        <w:tc>
          <w:tcPr>
            <w:tcW w:w="700"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EASPNF</w:t>
            </w:r>
          </w:p>
        </w:tc>
        <w:tc>
          <w:tcPr>
            <w:tcW w:w="9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48</w:t>
            </w:r>
          </w:p>
        </w:tc>
        <w:tc>
          <w:tcPr>
            <w:tcW w:w="769"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56%</w:t>
            </w:r>
          </w:p>
        </w:tc>
        <w:tc>
          <w:tcPr>
            <w:tcW w:w="1201"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31%</w:t>
            </w:r>
          </w:p>
        </w:tc>
        <w:tc>
          <w:tcPr>
            <w:tcW w:w="668"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13%</w:t>
            </w:r>
          </w:p>
        </w:tc>
        <w:tc>
          <w:tcPr>
            <w:tcW w:w="981"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49</w:t>
            </w:r>
          </w:p>
        </w:tc>
        <w:tc>
          <w:tcPr>
            <w:tcW w:w="850"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67%</w:t>
            </w:r>
          </w:p>
        </w:tc>
        <w:tc>
          <w:tcPr>
            <w:tcW w:w="1276"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33%</w:t>
            </w:r>
          </w:p>
        </w:tc>
        <w:tc>
          <w:tcPr>
            <w:tcW w:w="709"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0%</w:t>
            </w:r>
          </w:p>
        </w:tc>
      </w:tr>
      <w:tr w:rsidR="000C2B4E" w:rsidRPr="00C06035" w:rsidTr="000C2B4E">
        <w:trPr>
          <w:trHeight w:val="300"/>
          <w:jc w:val="center"/>
        </w:trPr>
        <w:tc>
          <w:tcPr>
            <w:tcW w:w="700"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EAT</w:t>
            </w:r>
          </w:p>
        </w:tc>
        <w:tc>
          <w:tcPr>
            <w:tcW w:w="9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w:t>
            </w:r>
          </w:p>
        </w:tc>
        <w:tc>
          <w:tcPr>
            <w:tcW w:w="769"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57%</w:t>
            </w:r>
          </w:p>
        </w:tc>
        <w:tc>
          <w:tcPr>
            <w:tcW w:w="1201"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29%</w:t>
            </w:r>
          </w:p>
        </w:tc>
        <w:tc>
          <w:tcPr>
            <w:tcW w:w="668"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14%</w:t>
            </w:r>
          </w:p>
        </w:tc>
        <w:tc>
          <w:tcPr>
            <w:tcW w:w="981"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11</w:t>
            </w:r>
          </w:p>
        </w:tc>
        <w:tc>
          <w:tcPr>
            <w:tcW w:w="850"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100%</w:t>
            </w:r>
          </w:p>
        </w:tc>
        <w:tc>
          <w:tcPr>
            <w:tcW w:w="1276"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709" w:type="dxa"/>
            <w:vAlign w:val="center"/>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0C2B4E" w:rsidRPr="00C06035" w:rsidTr="000C2B4E">
        <w:trPr>
          <w:trHeight w:val="300"/>
          <w:jc w:val="center"/>
        </w:trPr>
        <w:tc>
          <w:tcPr>
            <w:tcW w:w="700"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EMEC</w:t>
            </w:r>
          </w:p>
        </w:tc>
        <w:tc>
          <w:tcPr>
            <w:tcW w:w="9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20</w:t>
            </w:r>
          </w:p>
        </w:tc>
        <w:tc>
          <w:tcPr>
            <w:tcW w:w="769"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30%</w:t>
            </w:r>
          </w:p>
        </w:tc>
        <w:tc>
          <w:tcPr>
            <w:tcW w:w="1201"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70%</w:t>
            </w:r>
          </w:p>
        </w:tc>
        <w:tc>
          <w:tcPr>
            <w:tcW w:w="668"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81"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18</w:t>
            </w:r>
          </w:p>
        </w:tc>
        <w:tc>
          <w:tcPr>
            <w:tcW w:w="850"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39%</w:t>
            </w:r>
          </w:p>
        </w:tc>
        <w:tc>
          <w:tcPr>
            <w:tcW w:w="1276"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61%</w:t>
            </w:r>
          </w:p>
        </w:tc>
        <w:tc>
          <w:tcPr>
            <w:tcW w:w="709"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0%</w:t>
            </w:r>
          </w:p>
        </w:tc>
      </w:tr>
      <w:tr w:rsidR="000C2B4E" w:rsidRPr="00C06035" w:rsidTr="000C2B4E">
        <w:trPr>
          <w:trHeight w:val="300"/>
          <w:jc w:val="center"/>
        </w:trPr>
        <w:tc>
          <w:tcPr>
            <w:tcW w:w="700"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lastRenderedPageBreak/>
              <w:t>DGEE</w:t>
            </w:r>
          </w:p>
        </w:tc>
        <w:tc>
          <w:tcPr>
            <w:tcW w:w="14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EMIM</w:t>
            </w:r>
          </w:p>
        </w:tc>
        <w:tc>
          <w:tcPr>
            <w:tcW w:w="917"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236</w:t>
            </w:r>
          </w:p>
        </w:tc>
        <w:tc>
          <w:tcPr>
            <w:tcW w:w="769"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89%</w:t>
            </w:r>
          </w:p>
        </w:tc>
        <w:tc>
          <w:tcPr>
            <w:tcW w:w="1201"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8%</w:t>
            </w:r>
          </w:p>
        </w:tc>
        <w:tc>
          <w:tcPr>
            <w:tcW w:w="668" w:type="dxa"/>
            <w:shd w:val="clear" w:color="auto" w:fill="auto"/>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w:t>
            </w:r>
          </w:p>
        </w:tc>
        <w:tc>
          <w:tcPr>
            <w:tcW w:w="981" w:type="dxa"/>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219%</w:t>
            </w:r>
          </w:p>
        </w:tc>
        <w:tc>
          <w:tcPr>
            <w:tcW w:w="850" w:type="dxa"/>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78%</w:t>
            </w:r>
          </w:p>
        </w:tc>
        <w:tc>
          <w:tcPr>
            <w:tcW w:w="1276" w:type="dxa"/>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22%</w:t>
            </w:r>
          </w:p>
        </w:tc>
        <w:tc>
          <w:tcPr>
            <w:tcW w:w="709" w:type="dxa"/>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0%</w:t>
            </w:r>
          </w:p>
        </w:tc>
      </w:tr>
      <w:tr w:rsidR="000C2B4E" w:rsidRPr="00C06035" w:rsidTr="000C2B4E">
        <w:trPr>
          <w:trHeight w:val="300"/>
          <w:jc w:val="center"/>
        </w:trPr>
        <w:tc>
          <w:tcPr>
            <w:tcW w:w="700"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4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EMS</w:t>
            </w:r>
          </w:p>
        </w:tc>
        <w:tc>
          <w:tcPr>
            <w:tcW w:w="917"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60</w:t>
            </w:r>
          </w:p>
        </w:tc>
        <w:tc>
          <w:tcPr>
            <w:tcW w:w="769"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72%</w:t>
            </w:r>
          </w:p>
        </w:tc>
        <w:tc>
          <w:tcPr>
            <w:tcW w:w="1201"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28%</w:t>
            </w:r>
          </w:p>
        </w:tc>
        <w:tc>
          <w:tcPr>
            <w:tcW w:w="668" w:type="dxa"/>
            <w:shd w:val="clear" w:color="auto" w:fill="D0CECE" w:themeFill="background2" w:themeFillShade="E6"/>
            <w:noWrap/>
            <w:vAlign w:val="center"/>
            <w:hideMark/>
          </w:tcPr>
          <w:p w:rsidR="000C2B4E" w:rsidRPr="00C06035" w:rsidRDefault="000C2B4E" w:rsidP="000C2B4E">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81"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60%</w:t>
            </w:r>
          </w:p>
        </w:tc>
        <w:tc>
          <w:tcPr>
            <w:tcW w:w="850"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7</w:t>
            </w:r>
            <w:r>
              <w:rPr>
                <w:rFonts w:ascii="Century Gothic" w:eastAsia="Times New Roman" w:hAnsi="Century Gothic" w:cs="Calibri"/>
                <w:sz w:val="17"/>
                <w:szCs w:val="17"/>
                <w:lang w:val="en-US"/>
              </w:rPr>
              <w:t>3</w:t>
            </w:r>
            <w:r w:rsidRPr="00C06035">
              <w:rPr>
                <w:rFonts w:ascii="Century Gothic" w:eastAsia="Times New Roman" w:hAnsi="Century Gothic" w:cs="Calibri"/>
                <w:sz w:val="17"/>
                <w:szCs w:val="17"/>
                <w:lang w:val="en-US"/>
              </w:rPr>
              <w:t>%</w:t>
            </w:r>
          </w:p>
        </w:tc>
        <w:tc>
          <w:tcPr>
            <w:tcW w:w="1276"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w:t>
            </w:r>
            <w:r>
              <w:rPr>
                <w:rFonts w:ascii="Century Gothic" w:eastAsia="Times New Roman" w:hAnsi="Century Gothic" w:cs="Calibri"/>
                <w:sz w:val="17"/>
                <w:szCs w:val="17"/>
                <w:lang w:val="en-US"/>
              </w:rPr>
              <w:t>7</w:t>
            </w:r>
            <w:r w:rsidRPr="00C06035">
              <w:rPr>
                <w:rFonts w:ascii="Century Gothic" w:eastAsia="Times New Roman" w:hAnsi="Century Gothic" w:cs="Calibri"/>
                <w:sz w:val="17"/>
                <w:szCs w:val="17"/>
                <w:lang w:val="en-US"/>
              </w:rPr>
              <w:t>%</w:t>
            </w:r>
          </w:p>
        </w:tc>
        <w:tc>
          <w:tcPr>
            <w:tcW w:w="709" w:type="dxa"/>
            <w:shd w:val="clear" w:color="auto" w:fill="D0CECE" w:themeFill="background2" w:themeFillShade="E6"/>
            <w:vAlign w:val="center"/>
          </w:tcPr>
          <w:p w:rsidR="000C2B4E" w:rsidRPr="00C06035" w:rsidRDefault="000C2B4E" w:rsidP="000C2B4E">
            <w:pPr>
              <w:spacing w:after="0" w:line="240" w:lineRule="auto"/>
              <w:jc w:val="center"/>
              <w:rPr>
                <w:rFonts w:ascii="Century Gothic" w:eastAsia="Times New Roman" w:hAnsi="Century Gothic" w:cs="Calibri"/>
                <w:strike/>
                <w:color w:val="FF0000"/>
                <w:sz w:val="17"/>
                <w:szCs w:val="17"/>
                <w:lang w:val="en-US"/>
              </w:rPr>
            </w:pPr>
            <w:r w:rsidRPr="00C06035">
              <w:rPr>
                <w:rFonts w:ascii="Century Gothic" w:eastAsia="Times New Roman" w:hAnsi="Century Gothic" w:cs="Calibri"/>
                <w:sz w:val="17"/>
                <w:szCs w:val="17"/>
                <w:lang w:val="en-US"/>
              </w:rPr>
              <w:t>0%</w:t>
            </w:r>
          </w:p>
        </w:tc>
      </w:tr>
    </w:tbl>
    <w:p w:rsidR="00D41680" w:rsidRPr="00316762" w:rsidRDefault="00D41680" w:rsidP="00D41680">
      <w:pPr>
        <w:ind w:left="284" w:right="21"/>
        <w:rPr>
          <w:rFonts w:ascii="Century Gothic" w:eastAsia="Century Gothic" w:hAnsi="Century Gothic" w:cs="Century Gothic"/>
          <w:position w:val="4"/>
          <w:sz w:val="15"/>
          <w:szCs w:val="15"/>
        </w:rPr>
      </w:pPr>
      <w:r w:rsidRPr="00316762">
        <w:rPr>
          <w:rFonts w:ascii="Century Gothic" w:eastAsia="Century Gothic" w:hAnsi="Century Gothic" w:cs="Century Gothic"/>
          <w:position w:val="4"/>
          <w:sz w:val="15"/>
          <w:szCs w:val="15"/>
        </w:rPr>
        <w:t>a/ Los umbrales para la cobertura de la variable de diseño aprobados por el Comité de Aseguramiento de la Calidad para encuestas en unidades económicas.</w:t>
      </w:r>
    </w:p>
    <w:p w:rsidR="00D41680" w:rsidRDefault="00D41680" w:rsidP="00E70D96">
      <w:pPr>
        <w:jc w:val="both"/>
        <w:rPr>
          <w:rFonts w:ascii="Century Gothic" w:hAnsi="Century Gothic" w:cstheme="minorHAnsi"/>
          <w:sz w:val="19"/>
          <w:szCs w:val="19"/>
        </w:rPr>
      </w:pPr>
      <w:r w:rsidRPr="00AD4EFD">
        <w:rPr>
          <w:rFonts w:ascii="Century Gothic" w:hAnsi="Century Gothic" w:cstheme="minorHAnsi"/>
          <w:sz w:val="19"/>
          <w:szCs w:val="19"/>
        </w:rPr>
        <w:t>En los cuadros A.6.4</w:t>
      </w:r>
      <w:r w:rsidR="00E70D96">
        <w:rPr>
          <w:rFonts w:ascii="Century Gothic" w:hAnsi="Century Gothic" w:cstheme="minorHAnsi"/>
          <w:sz w:val="19"/>
          <w:szCs w:val="19"/>
        </w:rPr>
        <w:t>.</w:t>
      </w:r>
      <w:r w:rsidRPr="00AD4EFD">
        <w:rPr>
          <w:rFonts w:ascii="Century Gothic" w:hAnsi="Century Gothic" w:cstheme="minorHAnsi"/>
          <w:sz w:val="19"/>
          <w:szCs w:val="19"/>
        </w:rPr>
        <w:t xml:space="preserve"> y A.6.5</w:t>
      </w:r>
      <w:r w:rsidR="00E70D96">
        <w:rPr>
          <w:rFonts w:ascii="Century Gothic" w:hAnsi="Century Gothic" w:cstheme="minorHAnsi"/>
          <w:sz w:val="19"/>
          <w:szCs w:val="19"/>
        </w:rPr>
        <w:t>.</w:t>
      </w:r>
      <w:r w:rsidRPr="00AD4EFD">
        <w:rPr>
          <w:rFonts w:ascii="Century Gothic" w:hAnsi="Century Gothic" w:cstheme="minorHAnsi"/>
          <w:sz w:val="19"/>
          <w:szCs w:val="19"/>
        </w:rPr>
        <w:t xml:space="preserve"> se presenta el porcentaje de coeficientes de variación reportados que se encuentran en cada uno de los rangos de interpretación de la precisión: alta, moderada y baja.</w:t>
      </w:r>
      <w:r>
        <w:rPr>
          <w:rFonts w:ascii="Century Gothic" w:hAnsi="Century Gothic" w:cstheme="minorHAnsi"/>
          <w:sz w:val="19"/>
          <w:szCs w:val="19"/>
        </w:rPr>
        <w:t xml:space="preserve">  El número de casos totales corresponde al número de indicadores de diseño en cada dominio de estudio conforme a la periodicidad de la encuesta.</w:t>
      </w:r>
    </w:p>
    <w:p w:rsidR="00C06035" w:rsidRDefault="00C06035" w:rsidP="00D41680">
      <w:pPr>
        <w:rPr>
          <w:rFonts w:ascii="Century Gothic" w:hAnsi="Century Gothic" w:cstheme="majorHAnsi"/>
          <w:b/>
          <w:sz w:val="19"/>
          <w:szCs w:val="19"/>
        </w:rPr>
      </w:pPr>
    </w:p>
    <w:p w:rsidR="00D41680" w:rsidRDefault="00D41680" w:rsidP="00D41680">
      <w:pPr>
        <w:jc w:val="center"/>
        <w:rPr>
          <w:rFonts w:ascii="Century Gothic" w:hAnsi="Century Gothic" w:cstheme="majorHAnsi"/>
          <w:b/>
          <w:sz w:val="19"/>
          <w:szCs w:val="19"/>
        </w:rPr>
      </w:pPr>
      <w:r>
        <w:rPr>
          <w:rFonts w:ascii="Century Gothic" w:hAnsi="Century Gothic" w:cstheme="majorHAnsi"/>
          <w:b/>
          <w:sz w:val="19"/>
          <w:szCs w:val="19"/>
        </w:rPr>
        <w:t>A.6.4. Frecuencias del Coeficiente de Variación en encuestas en unidades económicas</w:t>
      </w:r>
      <w:r>
        <w:rPr>
          <w:rFonts w:ascii="Century Gothic" w:hAnsi="Century Gothic" w:cstheme="majorHAnsi"/>
          <w:b/>
          <w:sz w:val="19"/>
          <w:szCs w:val="19"/>
        </w:rPr>
        <w:br/>
      </w:r>
      <w:r w:rsidRPr="00604DC8">
        <w:rPr>
          <w:rFonts w:ascii="Century Gothic" w:hAnsi="Century Gothic" w:cstheme="majorHAnsi"/>
          <w:b/>
          <w:sz w:val="19"/>
          <w:szCs w:val="19"/>
        </w:rPr>
        <w:t xml:space="preserve"> de acuerdo </w:t>
      </w:r>
      <w:r>
        <w:rPr>
          <w:rFonts w:ascii="Century Gothic" w:hAnsi="Century Gothic" w:cstheme="majorHAnsi"/>
          <w:b/>
          <w:sz w:val="19"/>
          <w:szCs w:val="19"/>
        </w:rPr>
        <w:t>con</w:t>
      </w:r>
      <w:r w:rsidRPr="00604DC8">
        <w:rPr>
          <w:rFonts w:ascii="Century Gothic" w:hAnsi="Century Gothic" w:cstheme="majorHAnsi"/>
          <w:b/>
          <w:sz w:val="19"/>
          <w:szCs w:val="19"/>
        </w:rPr>
        <w:t xml:space="preserve"> los umbrales aprobados en el Comité por </w:t>
      </w:r>
      <w:r>
        <w:rPr>
          <w:rFonts w:ascii="Century Gothic" w:hAnsi="Century Gothic" w:cstheme="majorHAnsi"/>
          <w:b/>
          <w:sz w:val="19"/>
          <w:szCs w:val="19"/>
        </w:rPr>
        <w:t xml:space="preserve">Programa </w:t>
      </w:r>
    </w:p>
    <w:p w:rsidR="00F61A11" w:rsidRDefault="00714407" w:rsidP="00491E0C">
      <w:pPr>
        <w:ind w:left="-142" w:right="-404"/>
        <w:rPr>
          <w:rFonts w:ascii="Century Gothic" w:eastAsia="Century Gothic" w:hAnsi="Century Gothic" w:cs="Century Gothic"/>
          <w:position w:val="4"/>
          <w:sz w:val="15"/>
          <w:szCs w:val="15"/>
        </w:rPr>
      </w:pPr>
      <w:r w:rsidRPr="00714407">
        <w:rPr>
          <w:noProof/>
          <w:lang w:val="en-US"/>
        </w:rPr>
        <w:drawing>
          <wp:inline distT="0" distB="0" distL="0" distR="0">
            <wp:extent cx="6404610" cy="28911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4610" cy="2891155"/>
                    </a:xfrm>
                    <a:prstGeom prst="rect">
                      <a:avLst/>
                    </a:prstGeom>
                    <a:noFill/>
                    <a:ln>
                      <a:noFill/>
                    </a:ln>
                  </pic:spPr>
                </pic:pic>
              </a:graphicData>
            </a:graphic>
          </wp:inline>
        </w:drawing>
      </w:r>
    </w:p>
    <w:p w:rsidR="00D41680" w:rsidRPr="00316762" w:rsidRDefault="00D41680" w:rsidP="00491E0C">
      <w:pPr>
        <w:ind w:left="-142" w:right="-404"/>
        <w:rPr>
          <w:rFonts w:ascii="Century Gothic" w:hAnsi="Century Gothic" w:cstheme="minorHAnsi"/>
          <w:sz w:val="15"/>
          <w:szCs w:val="15"/>
        </w:rPr>
      </w:pPr>
      <w:r w:rsidRPr="00316762">
        <w:rPr>
          <w:rFonts w:ascii="Century Gothic" w:eastAsia="Century Gothic" w:hAnsi="Century Gothic" w:cs="Century Gothic"/>
          <w:position w:val="4"/>
          <w:sz w:val="15"/>
          <w:szCs w:val="15"/>
        </w:rPr>
        <w:t>a/ Los umbrales para el Coeficiente de Variación de las variables principales aprobados por el Comité de Aseguramiento de la Calidad para encuestas en unidades económicas.</w:t>
      </w:r>
      <w:r w:rsidRPr="00316762">
        <w:rPr>
          <w:rFonts w:ascii="Century Gothic" w:hAnsi="Century Gothic" w:cstheme="minorHAnsi"/>
          <w:sz w:val="15"/>
          <w:szCs w:val="15"/>
        </w:rPr>
        <w:t xml:space="preserve"> </w:t>
      </w:r>
    </w:p>
    <w:p w:rsidR="00D41680" w:rsidRDefault="00D41680" w:rsidP="00D41680">
      <w:pPr>
        <w:ind w:right="-404"/>
        <w:rPr>
          <w:rFonts w:ascii="Century Gothic" w:hAnsi="Century Gothic" w:cstheme="minorHAnsi"/>
          <w:sz w:val="19"/>
          <w:szCs w:val="19"/>
        </w:rPr>
      </w:pPr>
    </w:p>
    <w:p w:rsidR="00C06035" w:rsidRDefault="00C06035" w:rsidP="00D41680">
      <w:pPr>
        <w:ind w:right="-404"/>
        <w:rPr>
          <w:rFonts w:ascii="Century Gothic" w:hAnsi="Century Gothic" w:cstheme="minorHAnsi"/>
          <w:sz w:val="19"/>
          <w:szCs w:val="19"/>
        </w:rPr>
      </w:pPr>
    </w:p>
    <w:p w:rsidR="00C06035" w:rsidRDefault="00C06035" w:rsidP="00D41680">
      <w:pPr>
        <w:ind w:right="-404"/>
        <w:rPr>
          <w:rFonts w:ascii="Century Gothic" w:hAnsi="Century Gothic" w:cstheme="minorHAnsi"/>
          <w:sz w:val="19"/>
          <w:szCs w:val="19"/>
        </w:rPr>
      </w:pPr>
    </w:p>
    <w:p w:rsidR="00C06035" w:rsidRDefault="00C06035" w:rsidP="00D41680">
      <w:pPr>
        <w:ind w:right="-404"/>
        <w:rPr>
          <w:rFonts w:ascii="Century Gothic" w:hAnsi="Century Gothic" w:cstheme="minorHAnsi"/>
          <w:sz w:val="19"/>
          <w:szCs w:val="19"/>
        </w:rPr>
      </w:pPr>
    </w:p>
    <w:p w:rsidR="00C97256" w:rsidRDefault="00C97256" w:rsidP="00D41680">
      <w:pPr>
        <w:jc w:val="center"/>
        <w:rPr>
          <w:rFonts w:ascii="Century Gothic" w:hAnsi="Century Gothic" w:cstheme="majorHAnsi"/>
          <w:b/>
          <w:sz w:val="19"/>
          <w:szCs w:val="19"/>
        </w:rPr>
      </w:pPr>
    </w:p>
    <w:p w:rsidR="00C97256" w:rsidRDefault="00C97256" w:rsidP="00D41680">
      <w:pPr>
        <w:jc w:val="center"/>
        <w:rPr>
          <w:rFonts w:ascii="Century Gothic" w:hAnsi="Century Gothic" w:cstheme="majorHAnsi"/>
          <w:b/>
          <w:sz w:val="19"/>
          <w:szCs w:val="19"/>
        </w:rPr>
      </w:pPr>
    </w:p>
    <w:p w:rsidR="00C97256" w:rsidRDefault="00C97256" w:rsidP="00D41680">
      <w:pPr>
        <w:jc w:val="center"/>
        <w:rPr>
          <w:rFonts w:ascii="Century Gothic" w:hAnsi="Century Gothic" w:cstheme="majorHAnsi"/>
          <w:b/>
          <w:sz w:val="19"/>
          <w:szCs w:val="19"/>
        </w:rPr>
      </w:pPr>
    </w:p>
    <w:p w:rsidR="00C97256" w:rsidRDefault="00C97256" w:rsidP="00D41680">
      <w:pPr>
        <w:jc w:val="center"/>
        <w:rPr>
          <w:rFonts w:ascii="Century Gothic" w:hAnsi="Century Gothic" w:cstheme="majorHAnsi"/>
          <w:b/>
          <w:sz w:val="19"/>
          <w:szCs w:val="19"/>
        </w:rPr>
      </w:pPr>
    </w:p>
    <w:p w:rsidR="00D41680" w:rsidRDefault="00D41680" w:rsidP="00D41680">
      <w:pPr>
        <w:jc w:val="center"/>
        <w:rPr>
          <w:rFonts w:ascii="Century Gothic" w:hAnsi="Century Gothic" w:cstheme="majorHAnsi"/>
          <w:b/>
          <w:sz w:val="19"/>
          <w:szCs w:val="19"/>
        </w:rPr>
      </w:pPr>
      <w:r>
        <w:rPr>
          <w:rFonts w:ascii="Century Gothic" w:hAnsi="Century Gothic" w:cstheme="majorHAnsi"/>
          <w:b/>
          <w:sz w:val="19"/>
          <w:szCs w:val="19"/>
        </w:rPr>
        <w:lastRenderedPageBreak/>
        <w:t xml:space="preserve">A.6.5. Frecuencias del Coeficiente de Variación en encuestas a hogares y otras unidades </w:t>
      </w:r>
      <w:r>
        <w:rPr>
          <w:rFonts w:ascii="Century Gothic" w:hAnsi="Century Gothic" w:cstheme="majorHAnsi"/>
          <w:b/>
          <w:sz w:val="19"/>
          <w:szCs w:val="19"/>
        </w:rPr>
        <w:br/>
      </w:r>
      <w:r w:rsidRPr="00604DC8">
        <w:rPr>
          <w:rFonts w:ascii="Century Gothic" w:hAnsi="Century Gothic" w:cstheme="majorHAnsi"/>
          <w:b/>
          <w:sz w:val="19"/>
          <w:szCs w:val="19"/>
        </w:rPr>
        <w:t xml:space="preserve">de acuerdo </w:t>
      </w:r>
      <w:r>
        <w:rPr>
          <w:rFonts w:ascii="Century Gothic" w:hAnsi="Century Gothic" w:cstheme="majorHAnsi"/>
          <w:b/>
          <w:sz w:val="19"/>
          <w:szCs w:val="19"/>
        </w:rPr>
        <w:t>con</w:t>
      </w:r>
      <w:r w:rsidRPr="00604DC8">
        <w:rPr>
          <w:rFonts w:ascii="Century Gothic" w:hAnsi="Century Gothic" w:cstheme="majorHAnsi"/>
          <w:b/>
          <w:sz w:val="19"/>
          <w:szCs w:val="19"/>
        </w:rPr>
        <w:t xml:space="preserve"> los umbrales aprobados en el Comité por </w:t>
      </w:r>
      <w:r>
        <w:rPr>
          <w:rFonts w:ascii="Century Gothic" w:hAnsi="Century Gothic" w:cstheme="majorHAnsi"/>
          <w:b/>
          <w:sz w:val="19"/>
          <w:szCs w:val="19"/>
        </w:rPr>
        <w:t xml:space="preserve">Programa </w:t>
      </w:r>
    </w:p>
    <w:tbl>
      <w:tblPr>
        <w:tblW w:w="10994" w:type="dxa"/>
        <w:jc w:val="cente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1044"/>
        <w:gridCol w:w="1329"/>
        <w:gridCol w:w="1237"/>
        <w:gridCol w:w="1077"/>
        <w:gridCol w:w="945"/>
        <w:gridCol w:w="1213"/>
        <w:gridCol w:w="813"/>
        <w:gridCol w:w="917"/>
        <w:gridCol w:w="622"/>
        <w:gridCol w:w="1163"/>
        <w:gridCol w:w="634"/>
      </w:tblGrid>
      <w:tr w:rsidR="00D41680" w:rsidRPr="00EA0003" w:rsidTr="00036138">
        <w:trPr>
          <w:trHeight w:val="266"/>
          <w:tblHeader/>
          <w:jc w:val="center"/>
        </w:trPr>
        <w:tc>
          <w:tcPr>
            <w:tcW w:w="1044" w:type="dxa"/>
            <w:vMerge w:val="restart"/>
            <w:shd w:val="clear" w:color="000000" w:fill="0F243E"/>
            <w:vAlign w:val="center"/>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r w:rsidRPr="00EA0003">
              <w:rPr>
                <w:rFonts w:ascii="Century Gothic" w:eastAsia="Times New Roman" w:hAnsi="Century Gothic" w:cs="Calibri"/>
                <w:bCs/>
                <w:color w:val="FFFFFF"/>
                <w:sz w:val="18"/>
                <w:szCs w:val="18"/>
                <w:lang w:val="en-US"/>
              </w:rPr>
              <w:t>UA</w:t>
            </w:r>
          </w:p>
        </w:tc>
        <w:tc>
          <w:tcPr>
            <w:tcW w:w="1329" w:type="dxa"/>
            <w:vMerge w:val="restart"/>
            <w:shd w:val="clear" w:color="000000" w:fill="0F243E"/>
            <w:vAlign w:val="center"/>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roofErr w:type="spellStart"/>
            <w:r w:rsidRPr="00EA0003">
              <w:rPr>
                <w:rFonts w:ascii="Century Gothic" w:eastAsia="Times New Roman" w:hAnsi="Century Gothic" w:cs="Calibri"/>
                <w:bCs/>
                <w:color w:val="FFFFFF"/>
                <w:sz w:val="18"/>
                <w:szCs w:val="18"/>
                <w:lang w:val="en-US"/>
              </w:rPr>
              <w:t>Periodicidad</w:t>
            </w:r>
            <w:proofErr w:type="spellEnd"/>
          </w:p>
        </w:tc>
        <w:tc>
          <w:tcPr>
            <w:tcW w:w="1237" w:type="dxa"/>
            <w:vMerge w:val="restart"/>
            <w:shd w:val="clear" w:color="000000" w:fill="0F243E"/>
            <w:vAlign w:val="center"/>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roofErr w:type="spellStart"/>
            <w:r w:rsidRPr="00EA0003">
              <w:rPr>
                <w:rFonts w:ascii="Century Gothic" w:eastAsia="Times New Roman" w:hAnsi="Century Gothic" w:cs="Calibri"/>
                <w:bCs/>
                <w:color w:val="FFFFFF"/>
                <w:sz w:val="18"/>
                <w:szCs w:val="18"/>
                <w:lang w:val="en-US"/>
              </w:rPr>
              <w:t>Programa</w:t>
            </w:r>
            <w:proofErr w:type="spellEnd"/>
          </w:p>
        </w:tc>
        <w:tc>
          <w:tcPr>
            <w:tcW w:w="4048" w:type="dxa"/>
            <w:gridSpan w:val="4"/>
            <w:shd w:val="clear" w:color="000000" w:fill="0F243E"/>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proofErr w:type="spellStart"/>
            <w:r w:rsidRPr="002A7D7E">
              <w:rPr>
                <w:rFonts w:ascii="Century Gothic" w:eastAsia="Times New Roman" w:hAnsi="Century Gothic" w:cs="Calibri"/>
                <w:bCs/>
                <w:color w:val="FFFFFF" w:themeColor="background1"/>
                <w:sz w:val="18"/>
                <w:szCs w:val="18"/>
                <w:lang w:val="en-US"/>
              </w:rPr>
              <w:t>In</w:t>
            </w:r>
            <w:r w:rsidR="00714407">
              <w:rPr>
                <w:rFonts w:ascii="Century Gothic" w:eastAsia="Times New Roman" w:hAnsi="Century Gothic" w:cs="Calibri"/>
                <w:bCs/>
                <w:color w:val="FFFFFF" w:themeColor="background1"/>
                <w:sz w:val="18"/>
                <w:szCs w:val="18"/>
                <w:lang w:val="en-US"/>
              </w:rPr>
              <w:t>dicadores</w:t>
            </w:r>
            <w:proofErr w:type="spellEnd"/>
            <w:r w:rsidR="00714407">
              <w:rPr>
                <w:rFonts w:ascii="Century Gothic" w:eastAsia="Times New Roman" w:hAnsi="Century Gothic" w:cs="Calibri"/>
                <w:bCs/>
                <w:color w:val="FFFFFF" w:themeColor="background1"/>
                <w:sz w:val="18"/>
                <w:szCs w:val="18"/>
                <w:lang w:val="en-US"/>
              </w:rPr>
              <w:t xml:space="preserve"> </w:t>
            </w:r>
            <w:proofErr w:type="spellStart"/>
            <w:r w:rsidR="00714407">
              <w:rPr>
                <w:rFonts w:ascii="Century Gothic" w:eastAsia="Times New Roman" w:hAnsi="Century Gothic" w:cs="Calibri"/>
                <w:bCs/>
                <w:color w:val="FFFFFF" w:themeColor="background1"/>
                <w:sz w:val="18"/>
                <w:szCs w:val="18"/>
                <w:lang w:val="en-US"/>
              </w:rPr>
              <w:t>reportados</w:t>
            </w:r>
            <w:proofErr w:type="spellEnd"/>
            <w:r w:rsidR="00714407">
              <w:rPr>
                <w:rFonts w:ascii="Century Gothic" w:eastAsia="Times New Roman" w:hAnsi="Century Gothic" w:cs="Calibri"/>
                <w:bCs/>
                <w:color w:val="FFFFFF" w:themeColor="background1"/>
                <w:sz w:val="18"/>
                <w:szCs w:val="18"/>
                <w:lang w:val="en-US"/>
              </w:rPr>
              <w:t xml:space="preserve"> </w:t>
            </w:r>
            <w:proofErr w:type="spellStart"/>
            <w:r w:rsidRPr="002A7D7E">
              <w:rPr>
                <w:rFonts w:ascii="Century Gothic" w:eastAsia="Times New Roman" w:hAnsi="Century Gothic" w:cs="Calibri"/>
                <w:bCs/>
                <w:color w:val="FFFFFF" w:themeColor="background1"/>
                <w:sz w:val="18"/>
                <w:szCs w:val="18"/>
                <w:lang w:val="en-US"/>
              </w:rPr>
              <w:t>en</w:t>
            </w:r>
            <w:proofErr w:type="spellEnd"/>
            <w:r w:rsidRPr="002A7D7E">
              <w:rPr>
                <w:rFonts w:ascii="Century Gothic" w:eastAsia="Times New Roman" w:hAnsi="Century Gothic" w:cs="Calibri"/>
                <w:bCs/>
                <w:color w:val="FFFFFF" w:themeColor="background1"/>
                <w:sz w:val="18"/>
                <w:szCs w:val="18"/>
                <w:lang w:val="en-US"/>
              </w:rPr>
              <w:t xml:space="preserve"> 2018</w:t>
            </w:r>
          </w:p>
        </w:tc>
        <w:tc>
          <w:tcPr>
            <w:tcW w:w="3336" w:type="dxa"/>
            <w:gridSpan w:val="4"/>
            <w:shd w:val="clear" w:color="auto" w:fill="0F243E"/>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proofErr w:type="spellStart"/>
            <w:r w:rsidRPr="002A7D7E">
              <w:rPr>
                <w:rFonts w:ascii="Century Gothic" w:eastAsia="Times New Roman" w:hAnsi="Century Gothic" w:cs="Calibri"/>
                <w:bCs/>
                <w:color w:val="FFFFFF" w:themeColor="background1"/>
                <w:sz w:val="18"/>
                <w:szCs w:val="18"/>
                <w:lang w:val="en-US"/>
              </w:rPr>
              <w:t>In</w:t>
            </w:r>
            <w:r w:rsidR="00714407">
              <w:rPr>
                <w:rFonts w:ascii="Century Gothic" w:eastAsia="Times New Roman" w:hAnsi="Century Gothic" w:cs="Calibri"/>
                <w:bCs/>
                <w:color w:val="FFFFFF" w:themeColor="background1"/>
                <w:sz w:val="18"/>
                <w:szCs w:val="18"/>
                <w:lang w:val="en-US"/>
              </w:rPr>
              <w:t>dicadores</w:t>
            </w:r>
            <w:proofErr w:type="spellEnd"/>
            <w:r w:rsidR="00714407">
              <w:rPr>
                <w:rFonts w:ascii="Century Gothic" w:eastAsia="Times New Roman" w:hAnsi="Century Gothic" w:cs="Calibri"/>
                <w:bCs/>
                <w:color w:val="FFFFFF" w:themeColor="background1"/>
                <w:sz w:val="18"/>
                <w:szCs w:val="18"/>
                <w:lang w:val="en-US"/>
              </w:rPr>
              <w:t xml:space="preserve"> </w:t>
            </w:r>
            <w:proofErr w:type="spellStart"/>
            <w:r w:rsidR="00714407">
              <w:rPr>
                <w:rFonts w:ascii="Century Gothic" w:eastAsia="Times New Roman" w:hAnsi="Century Gothic" w:cs="Calibri"/>
                <w:bCs/>
                <w:color w:val="FFFFFF" w:themeColor="background1"/>
                <w:sz w:val="18"/>
                <w:szCs w:val="18"/>
                <w:lang w:val="en-US"/>
              </w:rPr>
              <w:t>reportados</w:t>
            </w:r>
            <w:proofErr w:type="spellEnd"/>
            <w:r w:rsidRPr="002A7D7E">
              <w:rPr>
                <w:rFonts w:ascii="Century Gothic" w:eastAsia="Times New Roman" w:hAnsi="Century Gothic" w:cs="Calibri"/>
                <w:bCs/>
                <w:color w:val="FFFFFF" w:themeColor="background1"/>
                <w:sz w:val="18"/>
                <w:szCs w:val="18"/>
                <w:lang w:val="en-US"/>
              </w:rPr>
              <w:t xml:space="preserve"> </w:t>
            </w:r>
            <w:proofErr w:type="spellStart"/>
            <w:r w:rsidRPr="002A7D7E">
              <w:rPr>
                <w:rFonts w:ascii="Century Gothic" w:eastAsia="Times New Roman" w:hAnsi="Century Gothic" w:cs="Calibri"/>
                <w:bCs/>
                <w:color w:val="FFFFFF" w:themeColor="background1"/>
                <w:sz w:val="18"/>
                <w:szCs w:val="18"/>
                <w:lang w:val="en-US"/>
              </w:rPr>
              <w:t>en</w:t>
            </w:r>
            <w:proofErr w:type="spellEnd"/>
            <w:r w:rsidRPr="002A7D7E">
              <w:rPr>
                <w:rFonts w:ascii="Century Gothic" w:eastAsia="Times New Roman" w:hAnsi="Century Gothic" w:cs="Calibri"/>
                <w:bCs/>
                <w:color w:val="FFFFFF" w:themeColor="background1"/>
                <w:sz w:val="18"/>
                <w:szCs w:val="18"/>
                <w:lang w:val="en-US"/>
              </w:rPr>
              <w:t xml:space="preserve"> 2019</w:t>
            </w:r>
          </w:p>
        </w:tc>
      </w:tr>
      <w:tr w:rsidR="00D41680" w:rsidRPr="00EA0003" w:rsidTr="00036138">
        <w:trPr>
          <w:trHeight w:val="748"/>
          <w:tblHeader/>
          <w:jc w:val="center"/>
        </w:trPr>
        <w:tc>
          <w:tcPr>
            <w:tcW w:w="1044" w:type="dxa"/>
            <w:vMerge/>
            <w:shd w:val="clear" w:color="000000" w:fill="0F243E"/>
            <w:vAlign w:val="center"/>
            <w:hideMark/>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
        </w:tc>
        <w:tc>
          <w:tcPr>
            <w:tcW w:w="1329" w:type="dxa"/>
            <w:vMerge/>
            <w:shd w:val="clear" w:color="000000" w:fill="0F243E"/>
            <w:vAlign w:val="center"/>
            <w:hideMark/>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
        </w:tc>
        <w:tc>
          <w:tcPr>
            <w:tcW w:w="1237" w:type="dxa"/>
            <w:vMerge/>
            <w:shd w:val="clear" w:color="000000" w:fill="0F243E"/>
            <w:vAlign w:val="center"/>
            <w:hideMark/>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
        </w:tc>
        <w:tc>
          <w:tcPr>
            <w:tcW w:w="1077" w:type="dxa"/>
            <w:shd w:val="clear" w:color="000000" w:fill="0F243E"/>
            <w:vAlign w:val="center"/>
            <w:hideMark/>
          </w:tcPr>
          <w:p w:rsidR="00D41680" w:rsidRPr="00EA0003" w:rsidRDefault="00D41680" w:rsidP="00036138">
            <w:pPr>
              <w:spacing w:after="0" w:line="240" w:lineRule="auto"/>
              <w:jc w:val="center"/>
              <w:rPr>
                <w:rFonts w:ascii="Century Gothic" w:eastAsia="Times New Roman" w:hAnsi="Century Gothic" w:cs="Calibri"/>
                <w:bCs/>
                <w:color w:val="FFFFFF"/>
                <w:sz w:val="18"/>
                <w:szCs w:val="18"/>
                <w:lang w:val="en-US"/>
              </w:rPr>
            </w:pPr>
            <w:proofErr w:type="spellStart"/>
            <w:r w:rsidRPr="00EA0003">
              <w:rPr>
                <w:rFonts w:ascii="Century Gothic" w:eastAsia="Times New Roman" w:hAnsi="Century Gothic" w:cs="Calibri"/>
                <w:bCs/>
                <w:color w:val="FFFFFF"/>
                <w:sz w:val="18"/>
                <w:szCs w:val="18"/>
                <w:lang w:val="en-US"/>
              </w:rPr>
              <w:t>Número</w:t>
            </w:r>
            <w:proofErr w:type="spellEnd"/>
            <w:r w:rsidRPr="00EA0003">
              <w:rPr>
                <w:rFonts w:ascii="Century Gothic" w:eastAsia="Times New Roman" w:hAnsi="Century Gothic" w:cs="Calibri"/>
                <w:bCs/>
                <w:color w:val="FFFFFF"/>
                <w:sz w:val="18"/>
                <w:szCs w:val="18"/>
                <w:lang w:val="en-US"/>
              </w:rPr>
              <w:t xml:space="preserve"> de </w:t>
            </w:r>
            <w:proofErr w:type="spellStart"/>
            <w:r w:rsidRPr="00EA0003">
              <w:rPr>
                <w:rFonts w:ascii="Century Gothic" w:eastAsia="Times New Roman" w:hAnsi="Century Gothic" w:cs="Calibri"/>
                <w:bCs/>
                <w:color w:val="FFFFFF"/>
                <w:sz w:val="18"/>
                <w:szCs w:val="18"/>
                <w:lang w:val="en-US"/>
              </w:rPr>
              <w:t>Casos</w:t>
            </w:r>
            <w:proofErr w:type="spellEnd"/>
            <w:r w:rsidRPr="00EA0003">
              <w:rPr>
                <w:rFonts w:ascii="Century Gothic" w:eastAsia="Times New Roman" w:hAnsi="Century Gothic" w:cs="Calibri"/>
                <w:bCs/>
                <w:color w:val="FFFFFF"/>
                <w:sz w:val="18"/>
                <w:szCs w:val="18"/>
                <w:lang w:val="en-US"/>
              </w:rPr>
              <w:t xml:space="preserve"> </w:t>
            </w:r>
            <w:proofErr w:type="spellStart"/>
            <w:r w:rsidRPr="00EA0003">
              <w:rPr>
                <w:rFonts w:ascii="Century Gothic" w:eastAsia="Times New Roman" w:hAnsi="Century Gothic" w:cs="Calibri"/>
                <w:bCs/>
                <w:color w:val="FFFFFF"/>
                <w:sz w:val="18"/>
                <w:szCs w:val="18"/>
                <w:lang w:val="en-US"/>
              </w:rPr>
              <w:t>Totales</w:t>
            </w:r>
            <w:proofErr w:type="spellEnd"/>
          </w:p>
        </w:tc>
        <w:tc>
          <w:tcPr>
            <w:tcW w:w="945" w:type="dxa"/>
            <w:shd w:val="clear" w:color="auto" w:fill="auto"/>
            <w:vAlign w:val="center"/>
            <w:hideMark/>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 xml:space="preserve">Alta </w:t>
            </w:r>
            <w:r>
              <w:rPr>
                <w:rFonts w:ascii="Century Gothic" w:eastAsia="Times New Roman" w:hAnsi="Century Gothic" w:cs="Calibri"/>
                <w:bCs/>
                <w:color w:val="000000"/>
                <w:sz w:val="18"/>
                <w:szCs w:val="18"/>
                <w:lang w:val="en-US"/>
              </w:rPr>
              <w:br/>
            </w:r>
            <w:r w:rsidRPr="00EA0003">
              <w:rPr>
                <w:rFonts w:ascii="Century Gothic" w:eastAsia="Times New Roman" w:hAnsi="Century Gothic" w:cs="Calibri"/>
                <w:bCs/>
                <w:color w:val="000000"/>
                <w:sz w:val="18"/>
                <w:szCs w:val="18"/>
                <w:lang w:val="en-US"/>
              </w:rPr>
              <w:t>[0%-15%)</w:t>
            </w:r>
            <w:r w:rsidRPr="00E50A55">
              <w:rPr>
                <w:rFonts w:ascii="Century Gothic" w:eastAsia="Times New Roman" w:hAnsi="Century Gothic" w:cstheme="minorHAnsi"/>
                <w:b/>
                <w:bCs/>
                <w:color w:val="000000"/>
                <w:sz w:val="18"/>
                <w:szCs w:val="18"/>
                <w:vertAlign w:val="superscript"/>
                <w:lang w:val="en-US"/>
              </w:rPr>
              <w:t xml:space="preserve"> a/</w:t>
            </w:r>
          </w:p>
        </w:tc>
        <w:tc>
          <w:tcPr>
            <w:tcW w:w="1213" w:type="dxa"/>
            <w:shd w:val="clear" w:color="000000" w:fill="FFEA00"/>
            <w:vAlign w:val="center"/>
            <w:hideMark/>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proofErr w:type="spellStart"/>
            <w:r w:rsidRPr="00EA0003">
              <w:rPr>
                <w:rFonts w:ascii="Century Gothic" w:eastAsia="Times New Roman" w:hAnsi="Century Gothic" w:cs="Calibri"/>
                <w:bCs/>
                <w:color w:val="000000"/>
                <w:sz w:val="18"/>
                <w:szCs w:val="18"/>
                <w:lang w:val="en-US"/>
              </w:rPr>
              <w:t>Moderada</w:t>
            </w:r>
            <w:proofErr w:type="spellEnd"/>
            <w:r w:rsidRPr="00EA0003">
              <w:rPr>
                <w:rFonts w:ascii="Century Gothic" w:eastAsia="Times New Roman" w:hAnsi="Century Gothic" w:cs="Calibri"/>
                <w:bCs/>
                <w:color w:val="000000"/>
                <w:sz w:val="18"/>
                <w:szCs w:val="18"/>
                <w:lang w:val="en-US"/>
              </w:rPr>
              <w:t xml:space="preserve"> [15%-30%)</w:t>
            </w:r>
            <w:r w:rsidRPr="00E50A55">
              <w:rPr>
                <w:rFonts w:ascii="Century Gothic" w:eastAsia="Times New Roman" w:hAnsi="Century Gothic" w:cstheme="minorHAnsi"/>
                <w:b/>
                <w:bCs/>
                <w:color w:val="000000"/>
                <w:sz w:val="18"/>
                <w:szCs w:val="18"/>
                <w:vertAlign w:val="superscript"/>
                <w:lang w:val="en-US"/>
              </w:rPr>
              <w:t xml:space="preserve"> a/</w:t>
            </w:r>
          </w:p>
        </w:tc>
        <w:tc>
          <w:tcPr>
            <w:tcW w:w="813" w:type="dxa"/>
            <w:shd w:val="clear" w:color="000000" w:fill="FF5400"/>
            <w:vAlign w:val="center"/>
            <w:hideMark/>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Baja &gt;=30</w:t>
            </w:r>
            <w:r w:rsidRPr="00E50A55">
              <w:rPr>
                <w:rFonts w:ascii="Century Gothic" w:eastAsia="Times New Roman" w:hAnsi="Century Gothic" w:cstheme="minorHAnsi"/>
                <w:b/>
                <w:bCs/>
                <w:color w:val="000000"/>
                <w:sz w:val="18"/>
                <w:szCs w:val="18"/>
                <w:vertAlign w:val="superscript"/>
                <w:lang w:val="en-US"/>
              </w:rPr>
              <w:t xml:space="preserve"> a/</w:t>
            </w:r>
          </w:p>
        </w:tc>
        <w:tc>
          <w:tcPr>
            <w:tcW w:w="917" w:type="dxa"/>
            <w:shd w:val="clear" w:color="auto" w:fill="0F243E"/>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proofErr w:type="spellStart"/>
            <w:r w:rsidRPr="00EA0003">
              <w:rPr>
                <w:rFonts w:ascii="Century Gothic" w:eastAsia="Times New Roman" w:hAnsi="Century Gothic" w:cs="Calibri"/>
                <w:bCs/>
                <w:color w:val="FFFFFF"/>
                <w:sz w:val="18"/>
                <w:szCs w:val="18"/>
                <w:lang w:val="en-US"/>
              </w:rPr>
              <w:t>Número</w:t>
            </w:r>
            <w:proofErr w:type="spellEnd"/>
            <w:r w:rsidRPr="00EA0003">
              <w:rPr>
                <w:rFonts w:ascii="Century Gothic" w:eastAsia="Times New Roman" w:hAnsi="Century Gothic" w:cs="Calibri"/>
                <w:bCs/>
                <w:color w:val="FFFFFF"/>
                <w:sz w:val="18"/>
                <w:szCs w:val="18"/>
                <w:lang w:val="en-US"/>
              </w:rPr>
              <w:t xml:space="preserve"> de </w:t>
            </w:r>
            <w:proofErr w:type="spellStart"/>
            <w:r w:rsidRPr="00EA0003">
              <w:rPr>
                <w:rFonts w:ascii="Century Gothic" w:eastAsia="Times New Roman" w:hAnsi="Century Gothic" w:cs="Calibri"/>
                <w:bCs/>
                <w:color w:val="FFFFFF"/>
                <w:sz w:val="18"/>
                <w:szCs w:val="18"/>
                <w:lang w:val="en-US"/>
              </w:rPr>
              <w:t>Casos</w:t>
            </w:r>
            <w:proofErr w:type="spellEnd"/>
            <w:r w:rsidRPr="00EA0003">
              <w:rPr>
                <w:rFonts w:ascii="Century Gothic" w:eastAsia="Times New Roman" w:hAnsi="Century Gothic" w:cs="Calibri"/>
                <w:bCs/>
                <w:color w:val="FFFFFF"/>
                <w:sz w:val="18"/>
                <w:szCs w:val="18"/>
                <w:lang w:val="en-US"/>
              </w:rPr>
              <w:t xml:space="preserve"> </w:t>
            </w:r>
            <w:proofErr w:type="spellStart"/>
            <w:r w:rsidRPr="00EA0003">
              <w:rPr>
                <w:rFonts w:ascii="Century Gothic" w:eastAsia="Times New Roman" w:hAnsi="Century Gothic" w:cs="Calibri"/>
                <w:bCs/>
                <w:color w:val="FFFFFF"/>
                <w:sz w:val="18"/>
                <w:szCs w:val="18"/>
                <w:lang w:val="en-US"/>
              </w:rPr>
              <w:t>Totales</w:t>
            </w:r>
            <w:proofErr w:type="spellEnd"/>
          </w:p>
        </w:tc>
        <w:tc>
          <w:tcPr>
            <w:tcW w:w="622" w:type="dxa"/>
            <w:shd w:val="clear" w:color="auto" w:fill="FFFFFF" w:themeFill="background1"/>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 xml:space="preserve">Alta </w:t>
            </w:r>
            <w:r>
              <w:rPr>
                <w:rFonts w:ascii="Century Gothic" w:eastAsia="Times New Roman" w:hAnsi="Century Gothic" w:cs="Calibri"/>
                <w:bCs/>
                <w:color w:val="000000"/>
                <w:sz w:val="18"/>
                <w:szCs w:val="18"/>
                <w:lang w:val="en-US"/>
              </w:rPr>
              <w:br/>
            </w:r>
            <w:r w:rsidRPr="00EA0003">
              <w:rPr>
                <w:rFonts w:ascii="Century Gothic" w:eastAsia="Times New Roman" w:hAnsi="Century Gothic" w:cs="Calibri"/>
                <w:bCs/>
                <w:color w:val="000000"/>
                <w:sz w:val="18"/>
                <w:szCs w:val="18"/>
                <w:lang w:val="en-US"/>
              </w:rPr>
              <w:t>[0%-15%)</w:t>
            </w:r>
            <w:r w:rsidRPr="00E50A55">
              <w:rPr>
                <w:rFonts w:ascii="Century Gothic" w:eastAsia="Times New Roman" w:hAnsi="Century Gothic" w:cstheme="minorHAnsi"/>
                <w:b/>
                <w:bCs/>
                <w:color w:val="000000"/>
                <w:sz w:val="18"/>
                <w:szCs w:val="18"/>
                <w:vertAlign w:val="superscript"/>
                <w:lang w:val="en-US"/>
              </w:rPr>
              <w:t xml:space="preserve"> a/</w:t>
            </w:r>
          </w:p>
        </w:tc>
        <w:tc>
          <w:tcPr>
            <w:tcW w:w="1163" w:type="dxa"/>
            <w:shd w:val="clear" w:color="auto" w:fill="FFEA00"/>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proofErr w:type="spellStart"/>
            <w:r w:rsidRPr="00EA0003">
              <w:rPr>
                <w:rFonts w:ascii="Century Gothic" w:eastAsia="Times New Roman" w:hAnsi="Century Gothic" w:cs="Calibri"/>
                <w:bCs/>
                <w:color w:val="000000"/>
                <w:sz w:val="18"/>
                <w:szCs w:val="18"/>
                <w:lang w:val="en-US"/>
              </w:rPr>
              <w:t>Moderada</w:t>
            </w:r>
            <w:proofErr w:type="spellEnd"/>
            <w:r w:rsidRPr="00EA0003">
              <w:rPr>
                <w:rFonts w:ascii="Century Gothic" w:eastAsia="Times New Roman" w:hAnsi="Century Gothic" w:cs="Calibri"/>
                <w:bCs/>
                <w:color w:val="000000"/>
                <w:sz w:val="18"/>
                <w:szCs w:val="18"/>
                <w:lang w:val="en-US"/>
              </w:rPr>
              <w:t xml:space="preserve"> [15%-30%)</w:t>
            </w:r>
            <w:r w:rsidRPr="00E50A55">
              <w:rPr>
                <w:rFonts w:ascii="Century Gothic" w:eastAsia="Times New Roman" w:hAnsi="Century Gothic" w:cstheme="minorHAnsi"/>
                <w:b/>
                <w:bCs/>
                <w:color w:val="000000"/>
                <w:sz w:val="18"/>
                <w:szCs w:val="18"/>
                <w:vertAlign w:val="superscript"/>
                <w:lang w:val="en-US"/>
              </w:rPr>
              <w:t xml:space="preserve"> a/</w:t>
            </w:r>
          </w:p>
        </w:tc>
        <w:tc>
          <w:tcPr>
            <w:tcW w:w="634" w:type="dxa"/>
            <w:shd w:val="clear" w:color="000000" w:fill="FF5400"/>
            <w:vAlign w:val="center"/>
          </w:tcPr>
          <w:p w:rsidR="00D41680" w:rsidRPr="00EA0003" w:rsidRDefault="00D41680" w:rsidP="00036138">
            <w:pPr>
              <w:spacing w:after="0" w:line="240" w:lineRule="auto"/>
              <w:jc w:val="center"/>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Baja &gt;=30</w:t>
            </w:r>
            <w:r w:rsidRPr="00E50A55">
              <w:rPr>
                <w:rFonts w:ascii="Century Gothic" w:eastAsia="Times New Roman" w:hAnsi="Century Gothic" w:cstheme="minorHAnsi"/>
                <w:b/>
                <w:bCs/>
                <w:color w:val="000000"/>
                <w:sz w:val="18"/>
                <w:szCs w:val="18"/>
                <w:vertAlign w:val="superscript"/>
                <w:lang w:val="en-US"/>
              </w:rPr>
              <w:t xml:space="preserve"> a/</w:t>
            </w:r>
          </w:p>
        </w:tc>
      </w:tr>
      <w:tr w:rsidR="00B75EDC" w:rsidRPr="00EA0003" w:rsidTr="00B75EDC">
        <w:trPr>
          <w:trHeight w:val="300"/>
          <w:jc w:val="center"/>
        </w:trPr>
        <w:tc>
          <w:tcPr>
            <w:tcW w:w="1044"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No regular</w:t>
            </w:r>
          </w:p>
        </w:tc>
        <w:tc>
          <w:tcPr>
            <w:tcW w:w="1237"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EDER</w:t>
            </w:r>
          </w:p>
        </w:tc>
        <w:tc>
          <w:tcPr>
            <w:tcW w:w="1077"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1 319</w:t>
            </w:r>
          </w:p>
        </w:tc>
        <w:tc>
          <w:tcPr>
            <w:tcW w:w="622"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75</w:t>
            </w:r>
          </w:p>
        </w:tc>
        <w:tc>
          <w:tcPr>
            <w:tcW w:w="1163"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19</w:t>
            </w:r>
          </w:p>
        </w:tc>
        <w:tc>
          <w:tcPr>
            <w:tcW w:w="634"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5</w:t>
            </w:r>
          </w:p>
        </w:tc>
      </w:tr>
      <w:tr w:rsidR="00B75EDC" w:rsidRPr="00EA0003" w:rsidTr="0015396D">
        <w:trPr>
          <w:trHeight w:val="315"/>
          <w:jc w:val="center"/>
        </w:trPr>
        <w:tc>
          <w:tcPr>
            <w:tcW w:w="1044" w:type="dxa"/>
            <w:shd w:val="clear" w:color="auto" w:fill="FFFFFF" w:themeFill="background1"/>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DGEGSPJ</w:t>
            </w:r>
          </w:p>
        </w:tc>
        <w:tc>
          <w:tcPr>
            <w:tcW w:w="1329" w:type="dxa"/>
            <w:shd w:val="clear" w:color="auto" w:fill="FFFFFF" w:themeFill="background1"/>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No regular</w:t>
            </w:r>
          </w:p>
        </w:tc>
        <w:tc>
          <w:tcPr>
            <w:tcW w:w="1237" w:type="dxa"/>
            <w:shd w:val="clear" w:color="auto" w:fill="FFFFFF" w:themeFill="background1"/>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ENASJUP</w:t>
            </w:r>
          </w:p>
        </w:tc>
        <w:tc>
          <w:tcPr>
            <w:tcW w:w="1077" w:type="dxa"/>
            <w:shd w:val="clear" w:color="auto" w:fill="FFFFFF" w:themeFill="background1"/>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FFFFFF" w:themeFill="background1"/>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FFFFFF" w:themeFill="background1"/>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FFFFFF" w:themeFill="background1"/>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FFFFFF" w:themeFill="background1"/>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99</w:t>
            </w:r>
          </w:p>
        </w:tc>
        <w:tc>
          <w:tcPr>
            <w:tcW w:w="622" w:type="dxa"/>
            <w:shd w:val="clear" w:color="auto" w:fill="FFFFFF" w:themeFill="background1"/>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75</w:t>
            </w:r>
          </w:p>
        </w:tc>
        <w:tc>
          <w:tcPr>
            <w:tcW w:w="1163" w:type="dxa"/>
            <w:shd w:val="clear" w:color="auto" w:fill="FFFFFF" w:themeFill="background1"/>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21</w:t>
            </w:r>
          </w:p>
        </w:tc>
        <w:tc>
          <w:tcPr>
            <w:tcW w:w="634" w:type="dxa"/>
            <w:shd w:val="clear" w:color="auto" w:fill="FFFFFF" w:themeFill="background1"/>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4</w:t>
            </w:r>
          </w:p>
        </w:tc>
      </w:tr>
      <w:tr w:rsidR="00B75EDC" w:rsidRPr="00EA0003" w:rsidTr="000C2B4E">
        <w:trPr>
          <w:trHeight w:val="315"/>
          <w:jc w:val="center"/>
        </w:trPr>
        <w:tc>
          <w:tcPr>
            <w:tcW w:w="1044" w:type="dxa"/>
            <w:shd w:val="clear" w:color="auto" w:fill="D0CECE" w:themeFill="background2" w:themeFillShade="E6"/>
            <w:noWrap/>
            <w:vAlign w:val="center"/>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No </w:t>
            </w:r>
            <w:r>
              <w:rPr>
                <w:rFonts w:ascii="Century Gothic" w:eastAsia="Times New Roman" w:hAnsi="Century Gothic" w:cs="Calibri"/>
                <w:color w:val="000000"/>
                <w:sz w:val="18"/>
                <w:szCs w:val="18"/>
                <w:lang w:val="en-US"/>
              </w:rPr>
              <w:t>regular</w:t>
            </w:r>
          </w:p>
        </w:tc>
        <w:tc>
          <w:tcPr>
            <w:tcW w:w="1237" w:type="dxa"/>
            <w:shd w:val="clear" w:color="auto" w:fill="D0CECE" w:themeFill="background2" w:themeFillShade="E6"/>
            <w:noWrap/>
            <w:vAlign w:val="center"/>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ENH</w:t>
            </w:r>
          </w:p>
        </w:tc>
        <w:tc>
          <w:tcPr>
            <w:tcW w:w="1077"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6</w:t>
            </w:r>
          </w:p>
        </w:tc>
        <w:tc>
          <w:tcPr>
            <w:tcW w:w="622"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100</w:t>
            </w:r>
          </w:p>
        </w:tc>
        <w:tc>
          <w:tcPr>
            <w:tcW w:w="1163"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B75EDC" w:rsidRPr="00EA0003" w:rsidTr="00036138">
        <w:trPr>
          <w:trHeight w:val="300"/>
          <w:jc w:val="center"/>
        </w:trPr>
        <w:tc>
          <w:tcPr>
            <w:tcW w:w="1044"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Mensual</w:t>
            </w:r>
            <w:proofErr w:type="spellEnd"/>
          </w:p>
        </w:tc>
        <w:tc>
          <w:tcPr>
            <w:tcW w:w="1237"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ENCO</w:t>
            </w:r>
          </w:p>
        </w:tc>
        <w:tc>
          <w:tcPr>
            <w:tcW w:w="1077"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59</w:t>
            </w:r>
          </w:p>
        </w:tc>
        <w:tc>
          <w:tcPr>
            <w:tcW w:w="945"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213"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813"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917"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72</w:t>
            </w:r>
          </w:p>
        </w:tc>
        <w:tc>
          <w:tcPr>
            <w:tcW w:w="622"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163"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B75EDC" w:rsidRPr="00EA0003" w:rsidTr="00036138">
        <w:trPr>
          <w:trHeight w:val="300"/>
          <w:jc w:val="center"/>
        </w:trPr>
        <w:tc>
          <w:tcPr>
            <w:tcW w:w="1044"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Trimestral</w:t>
            </w:r>
          </w:p>
        </w:tc>
        <w:tc>
          <w:tcPr>
            <w:tcW w:w="1237"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ENOE</w:t>
            </w:r>
          </w:p>
        </w:tc>
        <w:tc>
          <w:tcPr>
            <w:tcW w:w="1077"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878</w:t>
            </w:r>
          </w:p>
        </w:tc>
        <w:tc>
          <w:tcPr>
            <w:tcW w:w="945"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98</w:t>
            </w:r>
          </w:p>
        </w:tc>
        <w:tc>
          <w:tcPr>
            <w:tcW w:w="1213"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2</w:t>
            </w:r>
          </w:p>
        </w:tc>
        <w:tc>
          <w:tcPr>
            <w:tcW w:w="813"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917"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900</w:t>
            </w:r>
          </w:p>
        </w:tc>
        <w:tc>
          <w:tcPr>
            <w:tcW w:w="622"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99</w:t>
            </w:r>
          </w:p>
        </w:tc>
        <w:tc>
          <w:tcPr>
            <w:tcW w:w="1163"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w:t>
            </w:r>
          </w:p>
        </w:tc>
        <w:tc>
          <w:tcPr>
            <w:tcW w:w="634"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B75EDC" w:rsidRPr="00EA0003" w:rsidTr="00036138">
        <w:trPr>
          <w:trHeight w:val="300"/>
          <w:jc w:val="center"/>
        </w:trPr>
        <w:tc>
          <w:tcPr>
            <w:tcW w:w="1044"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DGEGSPJ</w:t>
            </w:r>
          </w:p>
        </w:tc>
        <w:tc>
          <w:tcPr>
            <w:tcW w:w="1329"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Trimestral</w:t>
            </w:r>
          </w:p>
        </w:tc>
        <w:tc>
          <w:tcPr>
            <w:tcW w:w="1237"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ENSU</w:t>
            </w:r>
          </w:p>
        </w:tc>
        <w:tc>
          <w:tcPr>
            <w:tcW w:w="1077"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1 376</w:t>
            </w:r>
          </w:p>
        </w:tc>
        <w:tc>
          <w:tcPr>
            <w:tcW w:w="945"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92</w:t>
            </w:r>
          </w:p>
        </w:tc>
        <w:tc>
          <w:tcPr>
            <w:tcW w:w="1213"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7</w:t>
            </w:r>
          </w:p>
        </w:tc>
        <w:tc>
          <w:tcPr>
            <w:tcW w:w="813" w:type="dxa"/>
            <w:shd w:val="clear" w:color="auto" w:fill="auto"/>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w:t>
            </w:r>
          </w:p>
        </w:tc>
        <w:tc>
          <w:tcPr>
            <w:tcW w:w="917"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936</w:t>
            </w:r>
          </w:p>
        </w:tc>
        <w:tc>
          <w:tcPr>
            <w:tcW w:w="622"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92</w:t>
            </w:r>
          </w:p>
        </w:tc>
        <w:tc>
          <w:tcPr>
            <w:tcW w:w="1163"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7</w:t>
            </w:r>
          </w:p>
        </w:tc>
        <w:tc>
          <w:tcPr>
            <w:tcW w:w="634"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w:t>
            </w:r>
          </w:p>
        </w:tc>
      </w:tr>
      <w:tr w:rsidR="00B75EDC" w:rsidRPr="00EA0003" w:rsidTr="00036138">
        <w:trPr>
          <w:trHeight w:val="300"/>
          <w:jc w:val="center"/>
        </w:trPr>
        <w:tc>
          <w:tcPr>
            <w:tcW w:w="1044"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DGEGSPJ</w:t>
            </w:r>
          </w:p>
        </w:tc>
        <w:tc>
          <w:tcPr>
            <w:tcW w:w="1329"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Anual</w:t>
            </w:r>
            <w:proofErr w:type="spellEnd"/>
          </w:p>
        </w:tc>
        <w:tc>
          <w:tcPr>
            <w:tcW w:w="1237"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ENVIPE</w:t>
            </w:r>
          </w:p>
        </w:tc>
        <w:tc>
          <w:tcPr>
            <w:tcW w:w="1077"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99</w:t>
            </w:r>
          </w:p>
        </w:tc>
        <w:tc>
          <w:tcPr>
            <w:tcW w:w="945"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213"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813" w:type="dxa"/>
            <w:shd w:val="clear" w:color="auto" w:fill="D0CECE" w:themeFill="background2" w:themeFillShade="E6"/>
            <w:noWrap/>
            <w:vAlign w:val="center"/>
            <w:hideMark/>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917"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99</w:t>
            </w:r>
          </w:p>
        </w:tc>
        <w:tc>
          <w:tcPr>
            <w:tcW w:w="622"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163"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B75EDC" w:rsidRPr="00EA0003" w:rsidTr="0027757E">
        <w:trPr>
          <w:trHeight w:val="300"/>
          <w:jc w:val="center"/>
        </w:trPr>
        <w:tc>
          <w:tcPr>
            <w:tcW w:w="1044"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Anual</w:t>
            </w:r>
            <w:proofErr w:type="spellEnd"/>
          </w:p>
        </w:tc>
        <w:tc>
          <w:tcPr>
            <w:tcW w:w="1237" w:type="dxa"/>
            <w:shd w:val="clear" w:color="auto" w:fill="auto"/>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MODECULT</w:t>
            </w:r>
          </w:p>
        </w:tc>
        <w:tc>
          <w:tcPr>
            <w:tcW w:w="1077" w:type="dxa"/>
            <w:shd w:val="clear" w:color="auto" w:fill="auto"/>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auto"/>
            <w:noWrap/>
            <w:vAlign w:val="center"/>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p>
        </w:tc>
        <w:tc>
          <w:tcPr>
            <w:tcW w:w="1213" w:type="dxa"/>
            <w:shd w:val="clear" w:color="auto" w:fill="auto"/>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auto"/>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17"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w:t>
            </w:r>
            <w:r w:rsidR="0027757E">
              <w:rPr>
                <w:rFonts w:ascii="Century Gothic" w:eastAsia="Times New Roman" w:hAnsi="Century Gothic" w:cs="Calibri"/>
                <w:color w:val="000000"/>
                <w:sz w:val="18"/>
                <w:szCs w:val="18"/>
                <w:lang w:val="en-US"/>
              </w:rPr>
              <w:t>13</w:t>
            </w:r>
          </w:p>
        </w:tc>
        <w:tc>
          <w:tcPr>
            <w:tcW w:w="622"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163"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B75EDC" w:rsidRPr="00EA0003" w:rsidTr="0027757E">
        <w:trPr>
          <w:trHeight w:val="300"/>
          <w:jc w:val="center"/>
        </w:trPr>
        <w:tc>
          <w:tcPr>
            <w:tcW w:w="1044"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Anual</w:t>
            </w:r>
            <w:proofErr w:type="spellEnd"/>
          </w:p>
        </w:tc>
        <w:tc>
          <w:tcPr>
            <w:tcW w:w="1237" w:type="dxa"/>
            <w:shd w:val="clear" w:color="auto" w:fill="D0CECE" w:themeFill="background2" w:themeFillShade="E6"/>
            <w:noWrap/>
            <w:vAlign w:val="center"/>
            <w:hideMark/>
          </w:tcPr>
          <w:p w:rsidR="00B75EDC" w:rsidRPr="00EA0003" w:rsidRDefault="00B75EDC" w:rsidP="00B75EDC">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MOLEC</w:t>
            </w:r>
          </w:p>
        </w:tc>
        <w:tc>
          <w:tcPr>
            <w:tcW w:w="1077"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bCs/>
                <w:color w:val="000000"/>
                <w:sz w:val="18"/>
                <w:szCs w:val="18"/>
                <w:lang w:val="en-US"/>
              </w:rPr>
            </w:pPr>
          </w:p>
        </w:tc>
        <w:tc>
          <w:tcPr>
            <w:tcW w:w="12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D0CECE" w:themeFill="background2" w:themeFillShade="E6"/>
            <w:noWrap/>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w:t>
            </w:r>
            <w:r w:rsidR="0027757E">
              <w:rPr>
                <w:rFonts w:ascii="Century Gothic" w:eastAsia="Times New Roman" w:hAnsi="Century Gothic" w:cs="Calibri"/>
                <w:color w:val="000000"/>
                <w:sz w:val="18"/>
                <w:szCs w:val="18"/>
                <w:lang w:val="en-US"/>
              </w:rPr>
              <w:t>2</w:t>
            </w:r>
          </w:p>
        </w:tc>
        <w:tc>
          <w:tcPr>
            <w:tcW w:w="622"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bCs/>
                <w:color w:val="000000"/>
                <w:sz w:val="18"/>
                <w:szCs w:val="18"/>
                <w:lang w:val="en-US"/>
              </w:rPr>
              <w:t>100</w:t>
            </w:r>
          </w:p>
        </w:tc>
        <w:tc>
          <w:tcPr>
            <w:tcW w:w="1163"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shd w:val="clear" w:color="auto" w:fill="D0CECE" w:themeFill="background2" w:themeFillShade="E6"/>
            <w:vAlign w:val="center"/>
          </w:tcPr>
          <w:p w:rsidR="00B75EDC" w:rsidRPr="00EA0003" w:rsidRDefault="00B75EDC" w:rsidP="00B75EDC">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27757E" w:rsidRPr="00EA0003" w:rsidTr="000C2B4E">
        <w:trPr>
          <w:trHeight w:val="315"/>
          <w:jc w:val="center"/>
        </w:trPr>
        <w:tc>
          <w:tcPr>
            <w:tcW w:w="1044"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Trimestral</w:t>
            </w:r>
          </w:p>
        </w:tc>
        <w:tc>
          <w:tcPr>
            <w:tcW w:w="1237"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BIARE</w:t>
            </w:r>
          </w:p>
        </w:tc>
        <w:tc>
          <w:tcPr>
            <w:tcW w:w="1077" w:type="dxa"/>
            <w:shd w:val="clear" w:color="auto" w:fill="auto"/>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auto"/>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auto"/>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auto"/>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17" w:type="dxa"/>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1</w:t>
            </w:r>
          </w:p>
        </w:tc>
        <w:tc>
          <w:tcPr>
            <w:tcW w:w="622" w:type="dxa"/>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100</w:t>
            </w:r>
          </w:p>
        </w:tc>
        <w:tc>
          <w:tcPr>
            <w:tcW w:w="1163" w:type="dxa"/>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27757E" w:rsidRPr="00EA0003" w:rsidTr="000C2B4E">
        <w:trPr>
          <w:trHeight w:val="315"/>
          <w:jc w:val="center"/>
        </w:trPr>
        <w:tc>
          <w:tcPr>
            <w:tcW w:w="1044"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Anual</w:t>
            </w:r>
            <w:proofErr w:type="spellEnd"/>
          </w:p>
        </w:tc>
        <w:tc>
          <w:tcPr>
            <w:tcW w:w="1237"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MOPRADEF</w:t>
            </w:r>
          </w:p>
        </w:tc>
        <w:tc>
          <w:tcPr>
            <w:tcW w:w="1077"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6</w:t>
            </w:r>
          </w:p>
        </w:tc>
        <w:tc>
          <w:tcPr>
            <w:tcW w:w="622"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100</w:t>
            </w:r>
          </w:p>
        </w:tc>
        <w:tc>
          <w:tcPr>
            <w:tcW w:w="1163"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27757E" w:rsidRPr="00EA0003" w:rsidTr="00036138">
        <w:trPr>
          <w:trHeight w:val="315"/>
          <w:jc w:val="center"/>
        </w:trPr>
        <w:tc>
          <w:tcPr>
            <w:tcW w:w="1044"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DGEE</w:t>
            </w:r>
          </w:p>
        </w:tc>
        <w:tc>
          <w:tcPr>
            <w:tcW w:w="1329"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Anual</w:t>
            </w:r>
            <w:proofErr w:type="spellEnd"/>
          </w:p>
        </w:tc>
        <w:tc>
          <w:tcPr>
            <w:tcW w:w="1237" w:type="dxa"/>
            <w:shd w:val="clear" w:color="auto" w:fill="auto"/>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ENDUTIH</w:t>
            </w:r>
          </w:p>
        </w:tc>
        <w:tc>
          <w:tcPr>
            <w:tcW w:w="1077" w:type="dxa"/>
            <w:shd w:val="clear" w:color="auto" w:fill="auto"/>
            <w:noWrap/>
            <w:vAlign w:val="center"/>
          </w:tcPr>
          <w:p w:rsidR="0027757E" w:rsidRPr="00D91471" w:rsidRDefault="0027757E" w:rsidP="0027757E">
            <w:pPr>
              <w:spacing w:after="0" w:line="240" w:lineRule="auto"/>
              <w:jc w:val="right"/>
              <w:rPr>
                <w:rFonts w:ascii="Century Gothic" w:eastAsia="Times New Roman" w:hAnsi="Century Gothic" w:cs="Calibri"/>
                <w:strike/>
                <w:color w:val="FF0000"/>
                <w:sz w:val="18"/>
                <w:szCs w:val="18"/>
                <w:lang w:val="en-US"/>
              </w:rPr>
            </w:pPr>
          </w:p>
        </w:tc>
        <w:tc>
          <w:tcPr>
            <w:tcW w:w="945" w:type="dxa"/>
            <w:shd w:val="clear" w:color="auto" w:fill="auto"/>
            <w:noWrap/>
            <w:vAlign w:val="center"/>
          </w:tcPr>
          <w:p w:rsidR="0027757E" w:rsidRPr="00D91471" w:rsidRDefault="0027757E" w:rsidP="0027757E">
            <w:pPr>
              <w:spacing w:after="0" w:line="240" w:lineRule="auto"/>
              <w:jc w:val="right"/>
              <w:rPr>
                <w:rFonts w:ascii="Century Gothic" w:eastAsia="Times New Roman" w:hAnsi="Century Gothic" w:cs="Calibri"/>
                <w:strike/>
                <w:color w:val="FF0000"/>
                <w:sz w:val="18"/>
                <w:szCs w:val="18"/>
                <w:lang w:val="en-US"/>
              </w:rPr>
            </w:pPr>
          </w:p>
        </w:tc>
        <w:tc>
          <w:tcPr>
            <w:tcW w:w="1213" w:type="dxa"/>
            <w:shd w:val="clear" w:color="auto" w:fill="auto"/>
            <w:noWrap/>
            <w:vAlign w:val="center"/>
          </w:tcPr>
          <w:p w:rsidR="0027757E" w:rsidRPr="00D91471" w:rsidRDefault="0027757E" w:rsidP="0027757E">
            <w:pPr>
              <w:spacing w:after="0" w:line="240" w:lineRule="auto"/>
              <w:jc w:val="right"/>
              <w:rPr>
                <w:rFonts w:ascii="Century Gothic" w:eastAsia="Times New Roman" w:hAnsi="Century Gothic" w:cs="Calibri"/>
                <w:strike/>
                <w:color w:val="FF0000"/>
                <w:sz w:val="18"/>
                <w:szCs w:val="18"/>
                <w:lang w:val="en-US"/>
              </w:rPr>
            </w:pPr>
          </w:p>
        </w:tc>
        <w:tc>
          <w:tcPr>
            <w:tcW w:w="813" w:type="dxa"/>
            <w:shd w:val="clear" w:color="auto" w:fill="auto"/>
            <w:noWrap/>
            <w:vAlign w:val="center"/>
          </w:tcPr>
          <w:p w:rsidR="0027757E" w:rsidRPr="00D91471" w:rsidRDefault="0027757E" w:rsidP="0027757E">
            <w:pPr>
              <w:spacing w:after="0" w:line="240" w:lineRule="auto"/>
              <w:jc w:val="right"/>
              <w:rPr>
                <w:rFonts w:ascii="Century Gothic" w:eastAsia="Times New Roman" w:hAnsi="Century Gothic" w:cs="Calibri"/>
                <w:strike/>
                <w:color w:val="FF0000"/>
                <w:sz w:val="18"/>
                <w:szCs w:val="18"/>
                <w:lang w:val="en-US"/>
              </w:rPr>
            </w:pPr>
          </w:p>
        </w:tc>
        <w:tc>
          <w:tcPr>
            <w:tcW w:w="917" w:type="dxa"/>
          </w:tcPr>
          <w:p w:rsidR="0027757E" w:rsidRPr="00732D19" w:rsidRDefault="0027757E" w:rsidP="0027757E">
            <w:pPr>
              <w:spacing w:after="0" w:line="240" w:lineRule="auto"/>
              <w:jc w:val="right"/>
              <w:rPr>
                <w:rFonts w:ascii="Century Gothic" w:eastAsia="Times New Roman" w:hAnsi="Century Gothic" w:cs="Calibri"/>
                <w:sz w:val="18"/>
                <w:szCs w:val="18"/>
                <w:lang w:val="en-US"/>
              </w:rPr>
            </w:pPr>
            <w:r w:rsidRPr="00732D19">
              <w:rPr>
                <w:rFonts w:ascii="Century Gothic" w:eastAsia="Times New Roman" w:hAnsi="Century Gothic" w:cs="Calibri"/>
                <w:sz w:val="18"/>
                <w:szCs w:val="18"/>
                <w:lang w:val="en-US"/>
              </w:rPr>
              <w:t>1</w:t>
            </w:r>
            <w:r w:rsidR="007A46BB">
              <w:rPr>
                <w:rFonts w:ascii="Century Gothic" w:eastAsia="Times New Roman" w:hAnsi="Century Gothic" w:cs="Calibri"/>
                <w:sz w:val="18"/>
                <w:szCs w:val="18"/>
                <w:lang w:val="en-US"/>
              </w:rPr>
              <w:t xml:space="preserve"> </w:t>
            </w:r>
            <w:r w:rsidRPr="00732D19">
              <w:rPr>
                <w:rFonts w:ascii="Century Gothic" w:eastAsia="Times New Roman" w:hAnsi="Century Gothic" w:cs="Calibri"/>
                <w:sz w:val="18"/>
                <w:szCs w:val="18"/>
                <w:lang w:val="en-US"/>
              </w:rPr>
              <w:t>043</w:t>
            </w:r>
          </w:p>
        </w:tc>
        <w:tc>
          <w:tcPr>
            <w:tcW w:w="622" w:type="dxa"/>
          </w:tcPr>
          <w:p w:rsidR="0027757E" w:rsidRPr="00732D19" w:rsidRDefault="0027757E" w:rsidP="0027757E">
            <w:pPr>
              <w:spacing w:after="0" w:line="240" w:lineRule="auto"/>
              <w:jc w:val="right"/>
              <w:rPr>
                <w:rFonts w:ascii="Century Gothic" w:eastAsia="Times New Roman" w:hAnsi="Century Gothic" w:cs="Calibri"/>
                <w:sz w:val="18"/>
                <w:szCs w:val="18"/>
                <w:lang w:val="en-US"/>
              </w:rPr>
            </w:pPr>
            <w:r w:rsidRPr="00732D19">
              <w:rPr>
                <w:rFonts w:ascii="Century Gothic" w:eastAsia="Times New Roman" w:hAnsi="Century Gothic" w:cs="Calibri"/>
                <w:sz w:val="18"/>
                <w:szCs w:val="18"/>
                <w:lang w:val="en-US"/>
              </w:rPr>
              <w:t>98</w:t>
            </w:r>
          </w:p>
        </w:tc>
        <w:tc>
          <w:tcPr>
            <w:tcW w:w="1163" w:type="dxa"/>
          </w:tcPr>
          <w:p w:rsidR="0027757E" w:rsidRPr="00732D19" w:rsidRDefault="0027757E" w:rsidP="0027757E">
            <w:pPr>
              <w:spacing w:after="0" w:line="240" w:lineRule="auto"/>
              <w:jc w:val="right"/>
              <w:rPr>
                <w:rFonts w:ascii="Century Gothic" w:eastAsia="Times New Roman" w:hAnsi="Century Gothic" w:cs="Calibri"/>
                <w:sz w:val="18"/>
                <w:szCs w:val="18"/>
                <w:lang w:val="en-US"/>
              </w:rPr>
            </w:pPr>
            <w:r w:rsidRPr="00732D19">
              <w:rPr>
                <w:rFonts w:ascii="Century Gothic" w:eastAsia="Times New Roman" w:hAnsi="Century Gothic" w:cs="Calibri"/>
                <w:sz w:val="18"/>
                <w:szCs w:val="18"/>
                <w:lang w:val="en-US"/>
              </w:rPr>
              <w:t>1</w:t>
            </w:r>
          </w:p>
        </w:tc>
        <w:tc>
          <w:tcPr>
            <w:tcW w:w="634" w:type="dxa"/>
          </w:tcPr>
          <w:p w:rsidR="0027757E" w:rsidRPr="00732D19" w:rsidRDefault="0027757E" w:rsidP="0027757E">
            <w:pPr>
              <w:spacing w:after="0" w:line="240" w:lineRule="auto"/>
              <w:jc w:val="right"/>
              <w:rPr>
                <w:rFonts w:ascii="Century Gothic" w:eastAsia="Times New Roman" w:hAnsi="Century Gothic" w:cs="Calibri"/>
                <w:sz w:val="18"/>
                <w:szCs w:val="18"/>
                <w:lang w:val="en-US"/>
              </w:rPr>
            </w:pPr>
            <w:r w:rsidRPr="00732D19">
              <w:rPr>
                <w:rFonts w:ascii="Century Gothic" w:eastAsia="Times New Roman" w:hAnsi="Century Gothic" w:cs="Calibri"/>
                <w:sz w:val="18"/>
                <w:szCs w:val="18"/>
                <w:lang w:val="en-US"/>
              </w:rPr>
              <w:t>0</w:t>
            </w:r>
          </w:p>
        </w:tc>
      </w:tr>
      <w:tr w:rsidR="0027757E" w:rsidRPr="00EA0003" w:rsidTr="00A05E78">
        <w:trPr>
          <w:trHeight w:val="315"/>
          <w:jc w:val="center"/>
        </w:trPr>
        <w:tc>
          <w:tcPr>
            <w:tcW w:w="1044"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Bienal</w:t>
            </w:r>
            <w:proofErr w:type="spellEnd"/>
          </w:p>
        </w:tc>
        <w:tc>
          <w:tcPr>
            <w:tcW w:w="1237" w:type="dxa"/>
            <w:shd w:val="clear" w:color="auto" w:fill="D0CECE" w:themeFill="background2" w:themeFillShade="E6"/>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ENIGH</w:t>
            </w:r>
          </w:p>
        </w:tc>
        <w:tc>
          <w:tcPr>
            <w:tcW w:w="1077"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D0CECE" w:themeFill="background2" w:themeFillShade="E6"/>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198</w:t>
            </w:r>
          </w:p>
        </w:tc>
        <w:tc>
          <w:tcPr>
            <w:tcW w:w="622"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99</w:t>
            </w:r>
          </w:p>
        </w:tc>
        <w:tc>
          <w:tcPr>
            <w:tcW w:w="1163"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w:t>
            </w:r>
          </w:p>
        </w:tc>
        <w:tc>
          <w:tcPr>
            <w:tcW w:w="634" w:type="dxa"/>
            <w:shd w:val="clear" w:color="auto" w:fill="D0CECE" w:themeFill="background2" w:themeFillShade="E6"/>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r w:rsidR="0027757E" w:rsidRPr="00EA0003" w:rsidTr="000C2B4E">
        <w:trPr>
          <w:trHeight w:val="315"/>
          <w:jc w:val="center"/>
        </w:trPr>
        <w:tc>
          <w:tcPr>
            <w:tcW w:w="1044" w:type="dxa"/>
            <w:shd w:val="clear" w:color="auto" w:fill="FFFFFF" w:themeFill="background1"/>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DGES</w:t>
            </w:r>
          </w:p>
        </w:tc>
        <w:tc>
          <w:tcPr>
            <w:tcW w:w="1329" w:type="dxa"/>
            <w:shd w:val="clear" w:color="auto" w:fill="FFFFFF" w:themeFill="background1"/>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proofErr w:type="spellStart"/>
            <w:r w:rsidRPr="00EA0003">
              <w:rPr>
                <w:rFonts w:ascii="Century Gothic" w:eastAsia="Times New Roman" w:hAnsi="Century Gothic" w:cs="Calibri"/>
                <w:color w:val="000000"/>
                <w:sz w:val="18"/>
                <w:szCs w:val="18"/>
                <w:lang w:val="en-US"/>
              </w:rPr>
              <w:t>Trianual</w:t>
            </w:r>
            <w:proofErr w:type="spellEnd"/>
          </w:p>
        </w:tc>
        <w:tc>
          <w:tcPr>
            <w:tcW w:w="1237" w:type="dxa"/>
            <w:shd w:val="clear" w:color="auto" w:fill="FFFFFF" w:themeFill="background1"/>
            <w:noWrap/>
            <w:vAlign w:val="center"/>
          </w:tcPr>
          <w:p w:rsidR="0027757E" w:rsidRPr="00EA0003" w:rsidRDefault="0027757E" w:rsidP="0027757E">
            <w:pPr>
              <w:spacing w:after="0" w:line="240" w:lineRule="auto"/>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ENIF</w:t>
            </w:r>
          </w:p>
        </w:tc>
        <w:tc>
          <w:tcPr>
            <w:tcW w:w="1077" w:type="dxa"/>
            <w:shd w:val="clear" w:color="auto" w:fill="FFFFFF" w:themeFill="background1"/>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45" w:type="dxa"/>
            <w:shd w:val="clear" w:color="auto" w:fill="FFFFFF" w:themeFill="background1"/>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1213" w:type="dxa"/>
            <w:shd w:val="clear" w:color="auto" w:fill="FFFFFF" w:themeFill="background1"/>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813" w:type="dxa"/>
            <w:shd w:val="clear" w:color="auto" w:fill="FFFFFF" w:themeFill="background1"/>
            <w:noWrap/>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p>
        </w:tc>
        <w:tc>
          <w:tcPr>
            <w:tcW w:w="917" w:type="dxa"/>
            <w:shd w:val="clear" w:color="auto" w:fill="FFFFFF" w:themeFill="background1"/>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 xml:space="preserve"> 6</w:t>
            </w:r>
          </w:p>
        </w:tc>
        <w:tc>
          <w:tcPr>
            <w:tcW w:w="622" w:type="dxa"/>
            <w:shd w:val="clear" w:color="auto" w:fill="FFFFFF" w:themeFill="background1"/>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100</w:t>
            </w:r>
          </w:p>
        </w:tc>
        <w:tc>
          <w:tcPr>
            <w:tcW w:w="1163" w:type="dxa"/>
            <w:shd w:val="clear" w:color="auto" w:fill="FFFFFF" w:themeFill="background1"/>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c>
          <w:tcPr>
            <w:tcW w:w="634" w:type="dxa"/>
            <w:shd w:val="clear" w:color="auto" w:fill="FFFFFF" w:themeFill="background1"/>
            <w:vAlign w:val="center"/>
          </w:tcPr>
          <w:p w:rsidR="0027757E" w:rsidRPr="00EA0003" w:rsidRDefault="0027757E" w:rsidP="0027757E">
            <w:pPr>
              <w:spacing w:after="0" w:line="240" w:lineRule="auto"/>
              <w:jc w:val="right"/>
              <w:rPr>
                <w:rFonts w:ascii="Century Gothic" w:eastAsia="Times New Roman" w:hAnsi="Century Gothic" w:cs="Calibri"/>
                <w:color w:val="000000"/>
                <w:sz w:val="18"/>
                <w:szCs w:val="18"/>
                <w:lang w:val="en-US"/>
              </w:rPr>
            </w:pPr>
            <w:r w:rsidRPr="00EA0003">
              <w:rPr>
                <w:rFonts w:ascii="Century Gothic" w:eastAsia="Times New Roman" w:hAnsi="Century Gothic" w:cs="Calibri"/>
                <w:color w:val="000000"/>
                <w:sz w:val="18"/>
                <w:szCs w:val="18"/>
                <w:lang w:val="en-US"/>
              </w:rPr>
              <w:t>0</w:t>
            </w:r>
          </w:p>
        </w:tc>
      </w:tr>
    </w:tbl>
    <w:p w:rsidR="00D41680" w:rsidRPr="00316762" w:rsidRDefault="00D41680" w:rsidP="00D41680">
      <w:pPr>
        <w:ind w:right="-404"/>
        <w:rPr>
          <w:rFonts w:ascii="Century Gothic" w:hAnsi="Century Gothic" w:cstheme="minorHAnsi"/>
          <w:sz w:val="15"/>
          <w:szCs w:val="15"/>
        </w:rPr>
      </w:pPr>
      <w:r w:rsidRPr="00316762">
        <w:rPr>
          <w:rFonts w:ascii="Century Gothic" w:eastAsia="Century Gothic" w:hAnsi="Century Gothic" w:cs="Century Gothic"/>
          <w:position w:val="4"/>
          <w:sz w:val="15"/>
          <w:szCs w:val="15"/>
        </w:rPr>
        <w:t>a/ Los umbrales para el Coeficiente de Variación aprobados por el Comité de Aseguramiento de la Calidad para las encuestas en hogares y otras unidades diferentes a las económicas.</w:t>
      </w:r>
    </w:p>
    <w:p w:rsidR="00D41680" w:rsidRDefault="00D41680" w:rsidP="00D41680">
      <w:pPr>
        <w:spacing w:before="240"/>
        <w:jc w:val="both"/>
        <w:rPr>
          <w:rFonts w:ascii="Century Gothic" w:hAnsi="Century Gothic" w:cstheme="minorHAnsi"/>
          <w:sz w:val="19"/>
          <w:szCs w:val="19"/>
        </w:rPr>
      </w:pPr>
      <w:r>
        <w:rPr>
          <w:rFonts w:ascii="Century Gothic" w:hAnsi="Century Gothic" w:cstheme="minorHAnsi"/>
          <w:sz w:val="19"/>
          <w:szCs w:val="19"/>
        </w:rPr>
        <w:t xml:space="preserve">El análisis de los Coeficientes de Variación -presentado en los cuadros </w:t>
      </w:r>
      <w:r w:rsidRPr="00D07015">
        <w:rPr>
          <w:rFonts w:ascii="Century Gothic" w:hAnsi="Century Gothic" w:cstheme="majorHAnsi"/>
          <w:sz w:val="19"/>
          <w:szCs w:val="19"/>
        </w:rPr>
        <w:t>A.6.4</w:t>
      </w:r>
      <w:r w:rsidR="00E70D96">
        <w:rPr>
          <w:rFonts w:ascii="Century Gothic" w:hAnsi="Century Gothic" w:cstheme="majorHAnsi"/>
          <w:sz w:val="19"/>
          <w:szCs w:val="19"/>
        </w:rPr>
        <w:t>.</w:t>
      </w:r>
      <w:r w:rsidRPr="00D07015">
        <w:rPr>
          <w:rFonts w:ascii="Century Gothic" w:hAnsi="Century Gothic" w:cstheme="minorHAnsi"/>
          <w:sz w:val="19"/>
          <w:szCs w:val="19"/>
        </w:rPr>
        <w:t xml:space="preserve"> y </w:t>
      </w:r>
      <w:r w:rsidRPr="00D07015">
        <w:rPr>
          <w:rFonts w:ascii="Century Gothic" w:hAnsi="Century Gothic" w:cstheme="majorHAnsi"/>
          <w:sz w:val="19"/>
          <w:szCs w:val="19"/>
        </w:rPr>
        <w:t>A.6.5</w:t>
      </w:r>
      <w:r w:rsidR="00E70D96">
        <w:rPr>
          <w:rFonts w:ascii="Century Gothic" w:hAnsi="Century Gothic" w:cstheme="majorHAnsi"/>
          <w:sz w:val="19"/>
          <w:szCs w:val="19"/>
        </w:rPr>
        <w:t>.</w:t>
      </w:r>
      <w:r w:rsidRPr="00D07015">
        <w:rPr>
          <w:rFonts w:ascii="Century Gothic" w:hAnsi="Century Gothic" w:cstheme="minorHAnsi"/>
          <w:sz w:val="19"/>
          <w:szCs w:val="19"/>
        </w:rPr>
        <w:t xml:space="preserve"> </w:t>
      </w:r>
      <w:r>
        <w:rPr>
          <w:rFonts w:ascii="Century Gothic" w:hAnsi="Century Gothic" w:cstheme="minorHAnsi"/>
          <w:sz w:val="19"/>
          <w:szCs w:val="19"/>
        </w:rPr>
        <w:t>es complementado con su distribución por ciclo de Programa, como se observa en las siguientes gráficas, donde se pueden observar la distribución de los Coeficientes de Variación reportados para los indicadores de diseño en los dominios de estudio de la encuesta conforme a la periodicidad de cada encuesta. Los colores amarillo y naranja corresponden a los umbrales aprobados en el Comité de Aseguramiento de la Calidad.</w:t>
      </w:r>
    </w:p>
    <w:p w:rsidR="00C06035" w:rsidRDefault="00C06035">
      <w:pPr>
        <w:rPr>
          <w:rFonts w:ascii="Century Gothic" w:hAnsi="Century Gothic" w:cstheme="majorHAnsi"/>
          <w:b/>
          <w:sz w:val="19"/>
          <w:szCs w:val="19"/>
        </w:rPr>
      </w:pPr>
      <w:r>
        <w:rPr>
          <w:rFonts w:ascii="Century Gothic" w:hAnsi="Century Gothic" w:cstheme="majorHAnsi"/>
          <w:b/>
          <w:sz w:val="19"/>
          <w:szCs w:val="19"/>
        </w:rPr>
        <w:br w:type="page"/>
      </w:r>
    </w:p>
    <w:p w:rsidR="00D41680" w:rsidRPr="008A38E5" w:rsidRDefault="00D41680" w:rsidP="00D41680">
      <w:pPr>
        <w:jc w:val="center"/>
        <w:rPr>
          <w:rFonts w:ascii="Century Gothic" w:hAnsi="Century Gothic" w:cstheme="majorHAnsi"/>
          <w:b/>
          <w:sz w:val="19"/>
          <w:szCs w:val="19"/>
        </w:rPr>
      </w:pPr>
      <w:r>
        <w:rPr>
          <w:rFonts w:ascii="Century Gothic" w:hAnsi="Century Gothic" w:cstheme="majorHAnsi"/>
          <w:b/>
          <w:sz w:val="19"/>
          <w:szCs w:val="19"/>
        </w:rPr>
        <w:lastRenderedPageBreak/>
        <w:t xml:space="preserve">A.6.6. Distribución del Coeficiente de Variación en programas de información </w:t>
      </w:r>
      <w:r>
        <w:rPr>
          <w:rFonts w:ascii="Century Gothic" w:hAnsi="Century Gothic" w:cstheme="majorHAnsi"/>
          <w:b/>
          <w:sz w:val="19"/>
          <w:szCs w:val="19"/>
        </w:rPr>
        <w:br/>
        <w:t xml:space="preserve"> con observaciones superiores a 20%   (escala 0-60) </w:t>
      </w:r>
    </w:p>
    <w:p w:rsidR="00D41680" w:rsidRDefault="00D41680" w:rsidP="00D41680">
      <w:pPr>
        <w:spacing w:before="240"/>
        <w:jc w:val="both"/>
        <w:rPr>
          <w:rFonts w:ascii="Century Gothic" w:hAnsi="Century Gothic" w:cstheme="minorHAnsi"/>
          <w:sz w:val="19"/>
          <w:szCs w:val="19"/>
        </w:rPr>
      </w:pPr>
      <w:r w:rsidRPr="006B75BB">
        <w:rPr>
          <w:noProof/>
          <w:lang w:val="en-US"/>
        </w:rPr>
        <w:drawing>
          <wp:inline distT="0" distB="0" distL="0" distR="0" wp14:anchorId="1E2D6547" wp14:editId="4E930472">
            <wp:extent cx="6404610" cy="270488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4610" cy="2704886"/>
                    </a:xfrm>
                    <a:prstGeom prst="rect">
                      <a:avLst/>
                    </a:prstGeom>
                    <a:noFill/>
                    <a:ln>
                      <a:noFill/>
                    </a:ln>
                  </pic:spPr>
                </pic:pic>
              </a:graphicData>
            </a:graphic>
          </wp:inline>
        </w:drawing>
      </w:r>
    </w:p>
    <w:p w:rsidR="00D41680" w:rsidRDefault="00D41680" w:rsidP="00D41680">
      <w:pPr>
        <w:spacing w:before="240"/>
        <w:jc w:val="center"/>
        <w:rPr>
          <w:rFonts w:ascii="Century Gothic" w:hAnsi="Century Gothic" w:cstheme="minorHAnsi"/>
          <w:sz w:val="19"/>
          <w:szCs w:val="19"/>
        </w:rPr>
      </w:pPr>
      <w:r w:rsidRPr="006B75BB">
        <w:rPr>
          <w:noProof/>
          <w:lang w:val="en-US"/>
        </w:rPr>
        <w:drawing>
          <wp:inline distT="0" distB="0" distL="0" distR="0" wp14:anchorId="791E7755" wp14:editId="20D4E3A1">
            <wp:extent cx="3771265" cy="2623715"/>
            <wp:effectExtent l="0" t="0" r="63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7558" cy="2628093"/>
                    </a:xfrm>
                    <a:prstGeom prst="rect">
                      <a:avLst/>
                    </a:prstGeom>
                    <a:noFill/>
                    <a:ln>
                      <a:noFill/>
                    </a:ln>
                  </pic:spPr>
                </pic:pic>
              </a:graphicData>
            </a:graphic>
          </wp:inline>
        </w:drawing>
      </w:r>
    </w:p>
    <w:p w:rsidR="00D41680" w:rsidRDefault="00D41680" w:rsidP="00D41680">
      <w:pPr>
        <w:jc w:val="center"/>
        <w:rPr>
          <w:rFonts w:ascii="Century Gothic" w:hAnsi="Century Gothic" w:cstheme="majorHAnsi"/>
          <w:b/>
          <w:sz w:val="19"/>
          <w:szCs w:val="19"/>
        </w:rPr>
      </w:pPr>
      <w:r w:rsidRPr="0058005B">
        <w:rPr>
          <w:rFonts w:ascii="Century Gothic" w:hAnsi="Century Gothic" w:cstheme="majorHAnsi"/>
          <w:b/>
          <w:sz w:val="19"/>
          <w:szCs w:val="19"/>
        </w:rPr>
        <w:t xml:space="preserve"> </w:t>
      </w:r>
    </w:p>
    <w:p w:rsidR="00D41680" w:rsidRDefault="00D41680" w:rsidP="00D41680">
      <w:pPr>
        <w:jc w:val="center"/>
        <w:rPr>
          <w:rFonts w:ascii="Century Gothic" w:hAnsi="Century Gothic" w:cstheme="majorHAnsi"/>
          <w:b/>
          <w:sz w:val="19"/>
          <w:szCs w:val="19"/>
        </w:rPr>
      </w:pPr>
      <w:r w:rsidRPr="00080235">
        <w:rPr>
          <w:noProof/>
          <w:lang w:val="en-US"/>
        </w:rPr>
        <w:lastRenderedPageBreak/>
        <w:drawing>
          <wp:anchor distT="0" distB="0" distL="114300" distR="114300" simplePos="0" relativeHeight="251738112" behindDoc="0" locked="0" layoutInCell="1" allowOverlap="1" wp14:anchorId="222D52C2" wp14:editId="3FCCA9F4">
            <wp:simplePos x="0" y="0"/>
            <wp:positionH relativeFrom="margin">
              <wp:posOffset>-322580</wp:posOffset>
            </wp:positionH>
            <wp:positionV relativeFrom="paragraph">
              <wp:posOffset>408305</wp:posOffset>
            </wp:positionV>
            <wp:extent cx="7068820" cy="239077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6882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theme="majorHAnsi"/>
          <w:b/>
          <w:sz w:val="19"/>
          <w:szCs w:val="19"/>
        </w:rPr>
        <w:t xml:space="preserve">A.6.7. Distribución del Coeficiente de Variación en programas de información </w:t>
      </w:r>
      <w:r>
        <w:rPr>
          <w:rFonts w:ascii="Century Gothic" w:hAnsi="Century Gothic" w:cstheme="majorHAnsi"/>
          <w:b/>
          <w:sz w:val="19"/>
          <w:szCs w:val="19"/>
        </w:rPr>
        <w:br/>
        <w:t xml:space="preserve">con observaciones inferiores a 20%  (escala 0-20) </w:t>
      </w:r>
    </w:p>
    <w:p w:rsidR="00D41680" w:rsidRPr="00ED5219" w:rsidRDefault="00D41680" w:rsidP="00D41680">
      <w:pPr>
        <w:jc w:val="center"/>
        <w:rPr>
          <w:rFonts w:ascii="Century Gothic" w:hAnsi="Century Gothic" w:cstheme="minorHAnsi"/>
          <w:sz w:val="19"/>
          <w:szCs w:val="19"/>
        </w:rPr>
      </w:pPr>
    </w:p>
    <w:p w:rsidR="00D41680" w:rsidRDefault="00D41680" w:rsidP="00D41680">
      <w:pPr>
        <w:spacing w:before="120"/>
        <w:jc w:val="center"/>
        <w:rPr>
          <w:rFonts w:ascii="Century Gothic" w:hAnsi="Century Gothic" w:cstheme="majorHAnsi"/>
          <w:b/>
          <w:sz w:val="19"/>
          <w:szCs w:val="19"/>
        </w:rPr>
      </w:pPr>
      <w:r w:rsidRPr="00AE3424">
        <w:rPr>
          <w:noProof/>
          <w:lang w:val="en-US"/>
        </w:rPr>
        <w:drawing>
          <wp:inline distT="0" distB="0" distL="0" distR="0" wp14:anchorId="29A0C870" wp14:editId="18363F84">
            <wp:extent cx="6404610" cy="2451881"/>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4610" cy="2451881"/>
                    </a:xfrm>
                    <a:prstGeom prst="rect">
                      <a:avLst/>
                    </a:prstGeom>
                    <a:noFill/>
                    <a:ln>
                      <a:noFill/>
                    </a:ln>
                  </pic:spPr>
                </pic:pic>
              </a:graphicData>
            </a:graphic>
          </wp:inline>
        </w:drawing>
      </w:r>
    </w:p>
    <w:p w:rsidR="00D41680" w:rsidRDefault="00D41680" w:rsidP="00D41680">
      <w:pPr>
        <w:spacing w:before="120"/>
        <w:jc w:val="both"/>
        <w:rPr>
          <w:rFonts w:ascii="Century Gothic" w:hAnsi="Century Gothic" w:cstheme="majorHAnsi"/>
          <w:sz w:val="19"/>
          <w:szCs w:val="19"/>
        </w:rPr>
      </w:pPr>
    </w:p>
    <w:p w:rsidR="00D41680" w:rsidRDefault="00D41680" w:rsidP="00D41680">
      <w:pPr>
        <w:spacing w:before="120"/>
        <w:jc w:val="both"/>
        <w:rPr>
          <w:rFonts w:ascii="Century Gothic" w:hAnsi="Century Gothic" w:cstheme="majorHAnsi"/>
          <w:sz w:val="19"/>
          <w:szCs w:val="19"/>
        </w:rPr>
      </w:pPr>
      <w:r>
        <w:rPr>
          <w:rFonts w:ascii="Century Gothic" w:hAnsi="Century Gothic" w:cstheme="majorHAnsi"/>
          <w:sz w:val="19"/>
          <w:szCs w:val="19"/>
        </w:rPr>
        <w:t>Se observa una mejora en los Coeficientes de Variación de las Encuestas Económicas respecto a los reportados en 2018.  Asimismo</w:t>
      </w:r>
      <w:r w:rsidR="00C04015">
        <w:rPr>
          <w:rFonts w:ascii="Century Gothic" w:hAnsi="Century Gothic" w:cstheme="majorHAnsi"/>
          <w:sz w:val="19"/>
          <w:szCs w:val="19"/>
        </w:rPr>
        <w:t>,</w:t>
      </w:r>
      <w:r>
        <w:rPr>
          <w:rFonts w:ascii="Century Gothic" w:hAnsi="Century Gothic" w:cstheme="majorHAnsi"/>
          <w:sz w:val="19"/>
          <w:szCs w:val="19"/>
        </w:rPr>
        <w:t xml:space="preserve"> se observa mayor número de casos en algunas encuestas probabilísticas.</w:t>
      </w:r>
      <w:r w:rsidR="00732D19">
        <w:rPr>
          <w:rFonts w:ascii="Century Gothic" w:hAnsi="Century Gothic" w:cstheme="majorHAnsi"/>
          <w:sz w:val="19"/>
          <w:szCs w:val="19"/>
        </w:rPr>
        <w:t xml:space="preserve">  Esta mejora refleja la actualización de las encuestas económicas a partir de la publicación de la nueva serie 2013 en mayo de 2019.</w:t>
      </w:r>
    </w:p>
    <w:p w:rsidR="00D41680" w:rsidRDefault="00D41680" w:rsidP="00D41680">
      <w:pPr>
        <w:spacing w:before="120"/>
        <w:jc w:val="both"/>
        <w:rPr>
          <w:rFonts w:ascii="Century Gothic" w:hAnsi="Century Gothic" w:cstheme="majorHAnsi"/>
          <w:b/>
          <w:sz w:val="19"/>
          <w:szCs w:val="19"/>
        </w:rPr>
      </w:pPr>
    </w:p>
    <w:p w:rsidR="00D41680" w:rsidRPr="00E11B2F" w:rsidRDefault="00D41680" w:rsidP="00D41680">
      <w:pPr>
        <w:spacing w:before="120"/>
        <w:jc w:val="both"/>
        <w:rPr>
          <w:rFonts w:ascii="Century Gothic" w:hAnsi="Century Gothic" w:cstheme="majorHAnsi"/>
          <w:b/>
          <w:sz w:val="19"/>
          <w:szCs w:val="19"/>
        </w:rPr>
      </w:pPr>
      <w:r w:rsidRPr="00E11B2F">
        <w:rPr>
          <w:rFonts w:ascii="Century Gothic" w:hAnsi="Century Gothic" w:cstheme="majorHAnsi"/>
          <w:b/>
          <w:sz w:val="19"/>
          <w:szCs w:val="19"/>
        </w:rPr>
        <w:t>INDICADORES DE USO INTERNO</w:t>
      </w:r>
    </w:p>
    <w:p w:rsidR="00D41680" w:rsidRDefault="00D41680" w:rsidP="00D41680">
      <w:pPr>
        <w:spacing w:before="120"/>
        <w:jc w:val="both"/>
        <w:rPr>
          <w:rFonts w:ascii="Century Gothic" w:hAnsi="Century Gothic" w:cstheme="majorHAnsi"/>
          <w:sz w:val="19"/>
          <w:szCs w:val="19"/>
        </w:rPr>
      </w:pPr>
      <w:r>
        <w:rPr>
          <w:rFonts w:ascii="Century Gothic" w:hAnsi="Century Gothic" w:cstheme="majorHAnsi"/>
          <w:sz w:val="19"/>
          <w:szCs w:val="19"/>
        </w:rPr>
        <w:t>Con el fin de dar un resumen general de los indicadores de uso interno, en el cuadro A.6</w:t>
      </w:r>
      <w:r w:rsidR="00726E9D">
        <w:rPr>
          <w:rFonts w:ascii="Century Gothic" w:hAnsi="Century Gothic" w:cstheme="majorHAnsi"/>
          <w:sz w:val="19"/>
          <w:szCs w:val="19"/>
        </w:rPr>
        <w:t>.</w:t>
      </w:r>
      <w:r>
        <w:rPr>
          <w:rFonts w:ascii="Century Gothic" w:hAnsi="Century Gothic" w:cstheme="majorHAnsi"/>
          <w:sz w:val="19"/>
          <w:szCs w:val="19"/>
        </w:rPr>
        <w:t>8</w:t>
      </w:r>
      <w:r w:rsidR="00726E9D">
        <w:rPr>
          <w:rFonts w:ascii="Century Gothic" w:hAnsi="Century Gothic" w:cstheme="majorHAnsi"/>
          <w:sz w:val="19"/>
          <w:szCs w:val="19"/>
        </w:rPr>
        <w:t>.</w:t>
      </w:r>
      <w:r>
        <w:rPr>
          <w:rFonts w:ascii="Century Gothic" w:hAnsi="Century Gothic" w:cstheme="majorHAnsi"/>
          <w:sz w:val="19"/>
          <w:szCs w:val="19"/>
        </w:rPr>
        <w:t xml:space="preserve"> se presenta para cada encuesta el promedio de las tasas reportadas durante 2019: la tasa de no respuesta antes de imputación (ponderada); la tasa de imputación, la tasa de </w:t>
      </w:r>
      <w:proofErr w:type="spellStart"/>
      <w:r>
        <w:rPr>
          <w:rFonts w:ascii="Century Gothic" w:hAnsi="Century Gothic" w:cstheme="majorHAnsi"/>
          <w:sz w:val="19"/>
          <w:szCs w:val="19"/>
        </w:rPr>
        <w:t>sobrecobertura</w:t>
      </w:r>
      <w:proofErr w:type="spellEnd"/>
      <w:r>
        <w:rPr>
          <w:rFonts w:ascii="Century Gothic" w:hAnsi="Century Gothic" w:cstheme="majorHAnsi"/>
          <w:sz w:val="19"/>
          <w:szCs w:val="19"/>
        </w:rPr>
        <w:t xml:space="preserve"> ponderada y la tasa de cumplimiento mínimo de la muestra. Como referencia para la interpretación, en el cuadro se presenta la tasa de no respuesta esperada conforme a los documentos públicos del diseño muestral.</w:t>
      </w:r>
    </w:p>
    <w:p w:rsidR="00C06035" w:rsidRPr="0071291F" w:rsidRDefault="00C06035" w:rsidP="00D41680">
      <w:pPr>
        <w:spacing w:before="120"/>
        <w:jc w:val="both"/>
        <w:rPr>
          <w:rFonts w:ascii="Century Gothic" w:hAnsi="Century Gothic" w:cstheme="majorHAnsi"/>
          <w:sz w:val="19"/>
          <w:szCs w:val="19"/>
        </w:rPr>
      </w:pPr>
    </w:p>
    <w:p w:rsidR="00D41680" w:rsidRDefault="00D41680" w:rsidP="00D41680">
      <w:pPr>
        <w:jc w:val="center"/>
        <w:rPr>
          <w:rFonts w:ascii="Century Gothic" w:hAnsi="Century Gothic" w:cstheme="minorHAnsi"/>
          <w:sz w:val="19"/>
          <w:szCs w:val="19"/>
        </w:rPr>
      </w:pPr>
      <w:r>
        <w:rPr>
          <w:rFonts w:ascii="Century Gothic" w:hAnsi="Century Gothic" w:cstheme="majorHAnsi"/>
          <w:b/>
          <w:sz w:val="19"/>
          <w:szCs w:val="19"/>
        </w:rPr>
        <w:lastRenderedPageBreak/>
        <w:t xml:space="preserve">A.6.8. Promedio de las tasas reportadas (No respuesta antes de imputación, Imputación, </w:t>
      </w:r>
      <w:proofErr w:type="spellStart"/>
      <w:r>
        <w:rPr>
          <w:rFonts w:ascii="Century Gothic" w:hAnsi="Century Gothic" w:cstheme="majorHAnsi"/>
          <w:b/>
          <w:sz w:val="19"/>
          <w:szCs w:val="19"/>
        </w:rPr>
        <w:t>Sobrecobertura</w:t>
      </w:r>
      <w:proofErr w:type="spellEnd"/>
      <w:r>
        <w:rPr>
          <w:rFonts w:ascii="Century Gothic" w:hAnsi="Century Gothic" w:cstheme="majorHAnsi"/>
          <w:b/>
          <w:sz w:val="19"/>
          <w:szCs w:val="19"/>
        </w:rPr>
        <w:t>, Cumplimiento mínimo de la muestra)</w:t>
      </w:r>
    </w:p>
    <w:tbl>
      <w:tblPr>
        <w:tblW w:w="11260" w:type="dxa"/>
        <w:jc w:val="center"/>
        <w:tblCellMar>
          <w:left w:w="70" w:type="dxa"/>
          <w:right w:w="70" w:type="dxa"/>
        </w:tblCellMar>
        <w:tblLook w:val="04A0" w:firstRow="1" w:lastRow="0" w:firstColumn="1" w:lastColumn="0" w:noHBand="0" w:noVBand="1"/>
      </w:tblPr>
      <w:tblGrid>
        <w:gridCol w:w="1104"/>
        <w:gridCol w:w="558"/>
        <w:gridCol w:w="1192"/>
        <w:gridCol w:w="982"/>
        <w:gridCol w:w="709"/>
        <w:gridCol w:w="1283"/>
        <w:gridCol w:w="1418"/>
        <w:gridCol w:w="1290"/>
        <w:gridCol w:w="1422"/>
        <w:gridCol w:w="1302"/>
      </w:tblGrid>
      <w:tr w:rsidR="006C0E98" w:rsidRPr="006C0E98" w:rsidTr="006C0E98">
        <w:trPr>
          <w:trHeight w:val="315"/>
          <w:jc w:val="center"/>
        </w:trPr>
        <w:tc>
          <w:tcPr>
            <w:tcW w:w="1104"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proofErr w:type="spellStart"/>
            <w:r w:rsidRPr="006C0E98">
              <w:rPr>
                <w:rFonts w:ascii="Century Gothic" w:eastAsia="Times New Roman" w:hAnsi="Century Gothic" w:cs="Calibri"/>
                <w:color w:val="FFFFFF"/>
                <w:sz w:val="17"/>
                <w:szCs w:val="17"/>
                <w:lang w:val="en-US" w:eastAsia="es-MX"/>
              </w:rPr>
              <w:t>Programa</w:t>
            </w:r>
            <w:proofErr w:type="spellEnd"/>
          </w:p>
        </w:tc>
        <w:tc>
          <w:tcPr>
            <w:tcW w:w="558"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Año</w:t>
            </w:r>
          </w:p>
        </w:tc>
        <w:tc>
          <w:tcPr>
            <w:tcW w:w="1192"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Periodicidad</w:t>
            </w:r>
          </w:p>
        </w:tc>
        <w:tc>
          <w:tcPr>
            <w:tcW w:w="982"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Periodo reportado</w:t>
            </w:r>
          </w:p>
        </w:tc>
        <w:tc>
          <w:tcPr>
            <w:tcW w:w="709"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Total de casos</w:t>
            </w:r>
          </w:p>
        </w:tc>
        <w:tc>
          <w:tcPr>
            <w:tcW w:w="1283" w:type="dxa"/>
            <w:vMerge w:val="restart"/>
            <w:tcBorders>
              <w:top w:val="single" w:sz="8" w:space="0" w:color="AEAAAA"/>
              <w:left w:val="single" w:sz="8" w:space="0" w:color="AEAAAA"/>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TNR máxima esperada (Diseño muestral)</w:t>
            </w:r>
          </w:p>
        </w:tc>
        <w:tc>
          <w:tcPr>
            <w:tcW w:w="5432" w:type="dxa"/>
            <w:gridSpan w:val="4"/>
            <w:tcBorders>
              <w:top w:val="single" w:sz="8" w:space="0" w:color="AEAAAA"/>
              <w:left w:val="nil"/>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Promedio de tasas reportadas</w:t>
            </w:r>
          </w:p>
        </w:tc>
      </w:tr>
      <w:tr w:rsidR="006C0E98" w:rsidRPr="006C0E98" w:rsidTr="006C0E98">
        <w:trPr>
          <w:trHeight w:val="1095"/>
          <w:jc w:val="center"/>
        </w:trPr>
        <w:tc>
          <w:tcPr>
            <w:tcW w:w="1104"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558"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1192"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982"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709"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1283"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FFFFFF"/>
                <w:sz w:val="17"/>
                <w:szCs w:val="17"/>
                <w:lang w:eastAsia="es-MX"/>
              </w:rPr>
            </w:pPr>
          </w:p>
        </w:tc>
        <w:tc>
          <w:tcPr>
            <w:tcW w:w="1418" w:type="dxa"/>
            <w:tcBorders>
              <w:top w:val="nil"/>
              <w:left w:val="nil"/>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Tasa de no respuesta antes de imputación (ponderadas)</w:t>
            </w:r>
            <w:r w:rsidRPr="006C0E98">
              <w:rPr>
                <w:rFonts w:ascii="Century Gothic" w:eastAsia="Times New Roman" w:hAnsi="Century Gothic" w:cs="Calibri"/>
                <w:color w:val="FFFFFF"/>
                <w:sz w:val="17"/>
                <w:szCs w:val="17"/>
                <w:vertAlign w:val="superscript"/>
                <w:lang w:eastAsia="es-MX"/>
              </w:rPr>
              <w:t>a/</w:t>
            </w:r>
          </w:p>
        </w:tc>
        <w:tc>
          <w:tcPr>
            <w:tcW w:w="1290" w:type="dxa"/>
            <w:tcBorders>
              <w:top w:val="nil"/>
              <w:left w:val="nil"/>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 xml:space="preserve">Tasa de imputación (ponderadas) </w:t>
            </w:r>
          </w:p>
        </w:tc>
        <w:tc>
          <w:tcPr>
            <w:tcW w:w="1422" w:type="dxa"/>
            <w:tcBorders>
              <w:top w:val="nil"/>
              <w:left w:val="nil"/>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 xml:space="preserve">Tasa de </w:t>
            </w:r>
            <w:proofErr w:type="spellStart"/>
            <w:r w:rsidRPr="006C0E98">
              <w:rPr>
                <w:rFonts w:ascii="Century Gothic" w:eastAsia="Times New Roman" w:hAnsi="Century Gothic" w:cs="Calibri"/>
                <w:color w:val="FFFFFF"/>
                <w:sz w:val="17"/>
                <w:szCs w:val="17"/>
                <w:lang w:eastAsia="es-MX"/>
              </w:rPr>
              <w:t>sobrecobertura</w:t>
            </w:r>
            <w:proofErr w:type="spellEnd"/>
            <w:r w:rsidRPr="006C0E98">
              <w:rPr>
                <w:rFonts w:ascii="Century Gothic" w:eastAsia="Times New Roman" w:hAnsi="Century Gothic" w:cs="Calibri"/>
                <w:color w:val="FFFFFF"/>
                <w:sz w:val="17"/>
                <w:szCs w:val="17"/>
                <w:lang w:eastAsia="es-MX"/>
              </w:rPr>
              <w:t xml:space="preserve"> (ponderadas)</w:t>
            </w:r>
          </w:p>
        </w:tc>
        <w:tc>
          <w:tcPr>
            <w:tcW w:w="1302" w:type="dxa"/>
            <w:tcBorders>
              <w:top w:val="nil"/>
              <w:left w:val="nil"/>
              <w:bottom w:val="single" w:sz="8" w:space="0" w:color="AEAAAA"/>
              <w:right w:val="single" w:sz="8" w:space="0" w:color="AEAAAA"/>
            </w:tcBorders>
            <w:shd w:val="clear" w:color="000000" w:fill="1F3864"/>
            <w:vAlign w:val="center"/>
            <w:hideMark/>
          </w:tcPr>
          <w:p w:rsidR="006C0E98" w:rsidRPr="006C0E98" w:rsidRDefault="006C0E98" w:rsidP="006C0E98">
            <w:pPr>
              <w:spacing w:after="0" w:line="240" w:lineRule="auto"/>
              <w:jc w:val="center"/>
              <w:rPr>
                <w:rFonts w:ascii="Century Gothic" w:eastAsia="Times New Roman" w:hAnsi="Century Gothic" w:cs="Calibri"/>
                <w:color w:val="FFFFFF"/>
                <w:sz w:val="17"/>
                <w:szCs w:val="17"/>
                <w:lang w:eastAsia="es-MX"/>
              </w:rPr>
            </w:pPr>
            <w:r w:rsidRPr="006C0E98">
              <w:rPr>
                <w:rFonts w:ascii="Century Gothic" w:eastAsia="Times New Roman" w:hAnsi="Century Gothic" w:cs="Calibri"/>
                <w:color w:val="FFFFFF"/>
                <w:sz w:val="17"/>
                <w:szCs w:val="17"/>
                <w:lang w:eastAsia="es-MX"/>
              </w:rPr>
              <w:t>Tasa de Cumplimiento Mínimo de la Muestra</w:t>
            </w: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EMIM</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 6, …, 12</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1792</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4.79%</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5.15%</w:t>
            </w:r>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106%</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8</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1792</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EMEC</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 6, …, 12</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328</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5.05%</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5.51%</w:t>
            </w:r>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106%</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8</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328</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EMS</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 6, …, 12</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824</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8.39%</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9.34%</w:t>
            </w:r>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99%</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8</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824</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ENEC</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 6, …, 12</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288</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20%</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10.13%</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nr</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8</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288</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EMOE MAN</w:t>
            </w:r>
          </w:p>
        </w:tc>
        <w:tc>
          <w:tcPr>
            <w:tcW w:w="558" w:type="dxa"/>
            <w:tcBorders>
              <w:top w:val="nil"/>
              <w:left w:val="nil"/>
              <w:bottom w:val="nil"/>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6, 7, …, 12</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56</w:t>
            </w:r>
          </w:p>
        </w:tc>
        <w:tc>
          <w:tcPr>
            <w:tcW w:w="1283"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15%</w:t>
            </w:r>
          </w:p>
        </w:tc>
        <w:tc>
          <w:tcPr>
            <w:tcW w:w="1418"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12.89%</w:t>
            </w:r>
          </w:p>
        </w:tc>
        <w:tc>
          <w:tcPr>
            <w:tcW w:w="1290"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nr</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9</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72</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E961F0" w:rsidRPr="006C0E98" w:rsidTr="00616EFA">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EMOE CONS</w:t>
            </w:r>
          </w:p>
        </w:tc>
        <w:tc>
          <w:tcPr>
            <w:tcW w:w="558" w:type="dxa"/>
            <w:tcBorders>
              <w:top w:val="nil"/>
              <w:left w:val="nil"/>
              <w:bottom w:val="nil"/>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6, 7, …, 12</w:t>
            </w:r>
          </w:p>
        </w:tc>
        <w:tc>
          <w:tcPr>
            <w:tcW w:w="709"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w:t>
            </w:r>
          </w:p>
        </w:tc>
        <w:tc>
          <w:tcPr>
            <w:tcW w:w="1283"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15%</w:t>
            </w:r>
          </w:p>
        </w:tc>
        <w:tc>
          <w:tcPr>
            <w:tcW w:w="1418"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13.54%</w:t>
            </w:r>
          </w:p>
        </w:tc>
        <w:tc>
          <w:tcPr>
            <w:tcW w:w="1290"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auto" w:fill="auto"/>
            <w:hideMark/>
          </w:tcPr>
          <w:p w:rsidR="00E961F0" w:rsidRDefault="00E961F0" w:rsidP="00E961F0">
            <w:pPr>
              <w:jc w:val="center"/>
            </w:pPr>
            <w:r w:rsidRPr="008165BE">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val="en-US" w:eastAsia="es-MX"/>
              </w:rPr>
              <w:t>nr</w:t>
            </w:r>
            <w:proofErr w:type="spellEnd"/>
          </w:p>
        </w:tc>
      </w:tr>
      <w:tr w:rsidR="00E961F0" w:rsidRPr="006C0E98" w:rsidTr="00616EFA">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9</w:t>
            </w:r>
          </w:p>
        </w:tc>
        <w:tc>
          <w:tcPr>
            <w:tcW w:w="709"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9</w:t>
            </w:r>
          </w:p>
        </w:tc>
        <w:tc>
          <w:tcPr>
            <w:tcW w:w="1283" w:type="dxa"/>
            <w:vMerge/>
            <w:tcBorders>
              <w:top w:val="nil"/>
              <w:left w:val="single" w:sz="8" w:space="0" w:color="AEAAAA"/>
              <w:bottom w:val="single" w:sz="8" w:space="0" w:color="AEAAAA"/>
              <w:right w:val="single" w:sz="8" w:space="0" w:color="AEAAAA"/>
            </w:tcBorders>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p>
        </w:tc>
      </w:tr>
      <w:tr w:rsidR="00E961F0" w:rsidRPr="006C0E98" w:rsidTr="00616EFA">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EMOE COM</w:t>
            </w:r>
          </w:p>
        </w:tc>
        <w:tc>
          <w:tcPr>
            <w:tcW w:w="558" w:type="dxa"/>
            <w:tcBorders>
              <w:top w:val="nil"/>
              <w:left w:val="nil"/>
              <w:bottom w:val="nil"/>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6, 7, …, 12</w:t>
            </w:r>
          </w:p>
        </w:tc>
        <w:tc>
          <w:tcPr>
            <w:tcW w:w="709" w:type="dxa"/>
            <w:tcBorders>
              <w:top w:val="nil"/>
              <w:left w:val="nil"/>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w:t>
            </w:r>
          </w:p>
        </w:tc>
        <w:tc>
          <w:tcPr>
            <w:tcW w:w="1283"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15%</w:t>
            </w:r>
          </w:p>
        </w:tc>
        <w:tc>
          <w:tcPr>
            <w:tcW w:w="1418"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14.49%</w:t>
            </w:r>
          </w:p>
        </w:tc>
        <w:tc>
          <w:tcPr>
            <w:tcW w:w="1290"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auto" w:fill="auto"/>
            <w:hideMark/>
          </w:tcPr>
          <w:p w:rsidR="00E961F0" w:rsidRDefault="00E961F0" w:rsidP="00E961F0">
            <w:pPr>
              <w:jc w:val="center"/>
            </w:pPr>
            <w:r w:rsidRPr="008165BE">
              <w:rPr>
                <w:rFonts w:ascii="Century Gothic" w:eastAsia="Times New Roman" w:hAnsi="Century Gothic" w:cs="Calibri"/>
                <w:color w:val="000000"/>
                <w:sz w:val="17"/>
                <w:szCs w:val="17"/>
                <w:lang w:val="en-US" w:eastAsia="es-MX"/>
              </w:rPr>
              <w:t>0%</w:t>
            </w:r>
          </w:p>
        </w:tc>
        <w:tc>
          <w:tcPr>
            <w:tcW w:w="130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E961F0" w:rsidRPr="006C0E98" w:rsidRDefault="00E961F0" w:rsidP="00E961F0">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val="en-US" w:eastAsia="es-MX"/>
              </w:rPr>
              <w:t>nr</w:t>
            </w:r>
            <w:proofErr w:type="spellEnd"/>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 9</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9</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bookmarkStart w:id="19" w:name="_GoBack"/>
        <w:bookmarkEnd w:id="19"/>
      </w:tr>
      <w:tr w:rsidR="006C0E98" w:rsidRPr="006C0E98" w:rsidTr="006C0E98">
        <w:trPr>
          <w:trHeight w:val="315"/>
          <w:jc w:val="center"/>
        </w:trPr>
        <w:tc>
          <w:tcPr>
            <w:tcW w:w="1104" w:type="dxa"/>
            <w:tcBorders>
              <w:top w:val="nil"/>
              <w:left w:val="single" w:sz="8" w:space="0" w:color="AEAAAA"/>
              <w:bottom w:val="nil"/>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EMOE SER</w:t>
            </w:r>
          </w:p>
        </w:tc>
        <w:tc>
          <w:tcPr>
            <w:tcW w:w="558" w:type="dxa"/>
            <w:tcBorders>
              <w:top w:val="nil"/>
              <w:left w:val="nil"/>
              <w:bottom w:val="nil"/>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nil"/>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4, 5, …, 9</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42</w:t>
            </w:r>
          </w:p>
        </w:tc>
        <w:tc>
          <w:tcPr>
            <w:tcW w:w="1283"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15%</w:t>
            </w:r>
          </w:p>
        </w:tc>
        <w:tc>
          <w:tcPr>
            <w:tcW w:w="141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19.72%</w:t>
            </w:r>
          </w:p>
        </w:tc>
        <w:tc>
          <w:tcPr>
            <w:tcW w:w="1290"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0%</w:t>
            </w:r>
          </w:p>
        </w:tc>
        <w:tc>
          <w:tcPr>
            <w:tcW w:w="130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val="en-US" w:eastAsia="es-MX"/>
              </w:rPr>
              <w:t>nr</w:t>
            </w:r>
          </w:p>
        </w:tc>
      </w:tr>
      <w:tr w:rsidR="006C0E98" w:rsidRPr="006C0E98" w:rsidTr="006C0E98">
        <w:trPr>
          <w:trHeight w:val="315"/>
          <w:jc w:val="center"/>
        </w:trPr>
        <w:tc>
          <w:tcPr>
            <w:tcW w:w="1104" w:type="dxa"/>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ENH</w:t>
            </w: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2017</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11.63%</w:t>
            </w:r>
          </w:p>
        </w:tc>
        <w:tc>
          <w:tcPr>
            <w:tcW w:w="1290"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30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ENVIPE</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33</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6.00%</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5.91%</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105%</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33</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ENSU</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Trimestral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3 y 4</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268</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8.79%</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5.56%</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104%</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Trimestral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y 3</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231</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ENOE</w:t>
            </w:r>
          </w:p>
        </w:tc>
        <w:tc>
          <w:tcPr>
            <w:tcW w:w="558"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nil"/>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Trimestral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3 y 4</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336</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13.02%</w:t>
            </w:r>
          </w:p>
        </w:tc>
        <w:tc>
          <w:tcPr>
            <w:tcW w:w="1290"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7.21%</w:t>
            </w:r>
          </w:p>
        </w:tc>
        <w:tc>
          <w:tcPr>
            <w:tcW w:w="1302"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103%</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Trimestral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 2, y 3</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210</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ENIF</w:t>
            </w: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Trienal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3</w:t>
            </w:r>
          </w:p>
        </w:tc>
        <w:tc>
          <w:tcPr>
            <w:tcW w:w="1283"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11.47%</w:t>
            </w:r>
          </w:p>
        </w:tc>
        <w:tc>
          <w:tcPr>
            <w:tcW w:w="1290"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30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r>
      <w:tr w:rsidR="006C0E98" w:rsidRPr="006C0E98" w:rsidTr="006C0E98">
        <w:trPr>
          <w:trHeight w:val="315"/>
          <w:jc w:val="center"/>
        </w:trPr>
        <w:tc>
          <w:tcPr>
            <w:tcW w:w="1104" w:type="dxa"/>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ENIGH</w:t>
            </w: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Bienal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99</w:t>
            </w:r>
          </w:p>
        </w:tc>
        <w:tc>
          <w:tcPr>
            <w:tcW w:w="1283"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15.32%</w:t>
            </w:r>
          </w:p>
        </w:tc>
        <w:tc>
          <w:tcPr>
            <w:tcW w:w="1290"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7.58%</w:t>
            </w:r>
          </w:p>
        </w:tc>
        <w:tc>
          <w:tcPr>
            <w:tcW w:w="130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101%</w:t>
            </w:r>
          </w:p>
        </w:tc>
      </w:tr>
      <w:tr w:rsidR="006C0E98" w:rsidRPr="006C0E98" w:rsidTr="006C0E98">
        <w:trPr>
          <w:trHeight w:val="315"/>
          <w:jc w:val="center"/>
        </w:trPr>
        <w:tc>
          <w:tcPr>
            <w:tcW w:w="1104" w:type="dxa"/>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MOPRADEF</w:t>
            </w: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13.86%</w:t>
            </w:r>
          </w:p>
        </w:tc>
        <w:tc>
          <w:tcPr>
            <w:tcW w:w="1290"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30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r>
      <w:tr w:rsidR="006C0E98" w:rsidRPr="006C0E98" w:rsidTr="006C0E98">
        <w:trPr>
          <w:trHeight w:val="315"/>
          <w:jc w:val="center"/>
        </w:trPr>
        <w:tc>
          <w:tcPr>
            <w:tcW w:w="1104"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ENCO</w:t>
            </w: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12</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14.50%</w:t>
            </w:r>
          </w:p>
        </w:tc>
        <w:tc>
          <w:tcPr>
            <w:tcW w:w="1290"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7.67%</w:t>
            </w:r>
          </w:p>
        </w:tc>
        <w:tc>
          <w:tcPr>
            <w:tcW w:w="1302" w:type="dxa"/>
            <w:vMerge w:val="restart"/>
            <w:tcBorders>
              <w:top w:val="nil"/>
              <w:left w:val="single" w:sz="8" w:space="0" w:color="AEAAAA"/>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101%</w:t>
            </w:r>
          </w:p>
        </w:tc>
      </w:tr>
      <w:tr w:rsidR="006C0E98" w:rsidRPr="006C0E98" w:rsidTr="006C0E98">
        <w:trPr>
          <w:trHeight w:val="315"/>
          <w:jc w:val="center"/>
        </w:trPr>
        <w:tc>
          <w:tcPr>
            <w:tcW w:w="1104"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Mensual</w:t>
            </w:r>
          </w:p>
        </w:tc>
        <w:tc>
          <w:tcPr>
            <w:tcW w:w="982"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1,2,…,12</w:t>
            </w:r>
          </w:p>
        </w:tc>
        <w:tc>
          <w:tcPr>
            <w:tcW w:w="709" w:type="dxa"/>
            <w:tcBorders>
              <w:top w:val="nil"/>
              <w:left w:val="nil"/>
              <w:bottom w:val="single" w:sz="8" w:space="0" w:color="AEAAAA"/>
              <w:right w:val="single" w:sz="8" w:space="0" w:color="AEAAAA"/>
            </w:tcBorders>
            <w:shd w:val="clear" w:color="auto" w:fill="auto"/>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12</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2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302"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r>
      <w:tr w:rsidR="006C0E98" w:rsidRPr="006C0E98" w:rsidTr="006C0E98">
        <w:trPr>
          <w:trHeight w:val="315"/>
          <w:jc w:val="center"/>
        </w:trPr>
        <w:tc>
          <w:tcPr>
            <w:tcW w:w="1104" w:type="dxa"/>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BIARE</w:t>
            </w: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Trimestral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14.67%</w:t>
            </w:r>
          </w:p>
        </w:tc>
        <w:tc>
          <w:tcPr>
            <w:tcW w:w="1290"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7.78%</w:t>
            </w:r>
          </w:p>
        </w:tc>
        <w:tc>
          <w:tcPr>
            <w:tcW w:w="130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100%</w:t>
            </w:r>
          </w:p>
        </w:tc>
      </w:tr>
      <w:tr w:rsidR="006C0E98" w:rsidRPr="006C0E98" w:rsidTr="006C0E98">
        <w:trPr>
          <w:trHeight w:val="315"/>
          <w:jc w:val="center"/>
        </w:trPr>
        <w:tc>
          <w:tcPr>
            <w:tcW w:w="1104" w:type="dxa"/>
            <w:tcBorders>
              <w:top w:val="nil"/>
              <w:left w:val="single" w:sz="8" w:space="0" w:color="AEAAAA"/>
              <w:bottom w:val="nil"/>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MODECULT</w:t>
            </w: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14.69%</w:t>
            </w:r>
          </w:p>
        </w:tc>
        <w:tc>
          <w:tcPr>
            <w:tcW w:w="1290"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8.22%</w:t>
            </w:r>
          </w:p>
        </w:tc>
        <w:tc>
          <w:tcPr>
            <w:tcW w:w="130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100%</w:t>
            </w:r>
          </w:p>
        </w:tc>
      </w:tr>
      <w:tr w:rsidR="006C0E98" w:rsidRPr="006C0E98" w:rsidTr="006C0E98">
        <w:trPr>
          <w:trHeight w:val="315"/>
          <w:jc w:val="center"/>
        </w:trPr>
        <w:tc>
          <w:tcPr>
            <w:tcW w:w="1104" w:type="dxa"/>
            <w:vMerge w:val="restart"/>
            <w:tcBorders>
              <w:top w:val="single" w:sz="8" w:space="0" w:color="AEAAAA"/>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MOLEC</w:t>
            </w: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2018</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15%</w:t>
            </w:r>
          </w:p>
        </w:tc>
        <w:tc>
          <w:tcPr>
            <w:tcW w:w="1418" w:type="dxa"/>
            <w:vMerge w:val="restart"/>
            <w:tcBorders>
              <w:top w:val="nil"/>
              <w:left w:val="single" w:sz="8" w:space="0" w:color="AEAAAA"/>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14.97%</w:t>
            </w:r>
          </w:p>
        </w:tc>
        <w:tc>
          <w:tcPr>
            <w:tcW w:w="1290"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30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100%</w:t>
            </w:r>
          </w:p>
        </w:tc>
      </w:tr>
      <w:tr w:rsidR="006C0E98" w:rsidRPr="006C0E98" w:rsidTr="006C0E98">
        <w:trPr>
          <w:trHeight w:val="315"/>
          <w:jc w:val="center"/>
        </w:trPr>
        <w:tc>
          <w:tcPr>
            <w:tcW w:w="1104" w:type="dxa"/>
            <w:vMerge/>
            <w:tcBorders>
              <w:top w:val="single" w:sz="8" w:space="0" w:color="AEAAAA"/>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558"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2019</w:t>
            </w:r>
          </w:p>
        </w:tc>
        <w:tc>
          <w:tcPr>
            <w:tcW w:w="119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Anual</w:t>
            </w:r>
          </w:p>
        </w:tc>
        <w:tc>
          <w:tcPr>
            <w:tcW w:w="98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w:t>
            </w:r>
          </w:p>
        </w:tc>
        <w:tc>
          <w:tcPr>
            <w:tcW w:w="709"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w:t>
            </w:r>
          </w:p>
        </w:tc>
        <w:tc>
          <w:tcPr>
            <w:tcW w:w="1283"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418" w:type="dxa"/>
            <w:vMerge/>
            <w:tcBorders>
              <w:top w:val="nil"/>
              <w:left w:val="single" w:sz="8" w:space="0" w:color="AEAAAA"/>
              <w:bottom w:val="single" w:sz="8" w:space="0" w:color="AEAAAA"/>
              <w:right w:val="single" w:sz="8" w:space="0" w:color="AEAAAA"/>
            </w:tcBorders>
            <w:vAlign w:val="center"/>
            <w:hideMark/>
          </w:tcPr>
          <w:p w:rsidR="006C0E98" w:rsidRPr="006C0E98" w:rsidRDefault="006C0E98" w:rsidP="006C0E98">
            <w:pPr>
              <w:spacing w:after="0" w:line="240" w:lineRule="auto"/>
              <w:rPr>
                <w:rFonts w:ascii="Century Gothic" w:eastAsia="Times New Roman" w:hAnsi="Century Gothic" w:cs="Calibri"/>
                <w:color w:val="000000"/>
                <w:sz w:val="17"/>
                <w:szCs w:val="17"/>
                <w:lang w:eastAsia="es-MX"/>
              </w:rPr>
            </w:pPr>
          </w:p>
        </w:tc>
        <w:tc>
          <w:tcPr>
            <w:tcW w:w="1290"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proofErr w:type="spellStart"/>
            <w:r w:rsidRPr="006C0E98">
              <w:rPr>
                <w:rFonts w:ascii="Century Gothic" w:eastAsia="Times New Roman" w:hAnsi="Century Gothic" w:cs="Calibri"/>
                <w:color w:val="000000"/>
                <w:sz w:val="17"/>
                <w:szCs w:val="17"/>
                <w:lang w:eastAsia="es-MX"/>
              </w:rPr>
              <w:t>nr</w:t>
            </w:r>
            <w:proofErr w:type="spellEnd"/>
          </w:p>
        </w:tc>
        <w:tc>
          <w:tcPr>
            <w:tcW w:w="142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8.26%</w:t>
            </w:r>
          </w:p>
        </w:tc>
        <w:tc>
          <w:tcPr>
            <w:tcW w:w="1302" w:type="dxa"/>
            <w:tcBorders>
              <w:top w:val="nil"/>
              <w:left w:val="nil"/>
              <w:bottom w:val="single" w:sz="8" w:space="0" w:color="AEAAAA"/>
              <w:right w:val="single" w:sz="8" w:space="0" w:color="AEAAAA"/>
            </w:tcBorders>
            <w:shd w:val="clear" w:color="000000" w:fill="D0CECE"/>
            <w:vAlign w:val="center"/>
            <w:hideMark/>
          </w:tcPr>
          <w:p w:rsidR="006C0E98" w:rsidRPr="006C0E98" w:rsidRDefault="006C0E98" w:rsidP="006C0E98">
            <w:pPr>
              <w:spacing w:after="0" w:line="240" w:lineRule="auto"/>
              <w:jc w:val="center"/>
              <w:rPr>
                <w:rFonts w:ascii="Century Gothic" w:eastAsia="Times New Roman" w:hAnsi="Century Gothic" w:cs="Calibri"/>
                <w:color w:val="000000"/>
                <w:sz w:val="17"/>
                <w:szCs w:val="17"/>
                <w:lang w:eastAsia="es-MX"/>
              </w:rPr>
            </w:pPr>
            <w:r w:rsidRPr="006C0E98">
              <w:rPr>
                <w:rFonts w:ascii="Century Gothic" w:eastAsia="Times New Roman" w:hAnsi="Century Gothic" w:cs="Calibri"/>
                <w:color w:val="000000"/>
                <w:sz w:val="17"/>
                <w:szCs w:val="17"/>
                <w:lang w:eastAsia="es-MX"/>
              </w:rPr>
              <w:t>100%</w:t>
            </w:r>
          </w:p>
        </w:tc>
      </w:tr>
    </w:tbl>
    <w:p w:rsidR="00D41680" w:rsidRDefault="006C0E98" w:rsidP="006C0E98">
      <w:pPr>
        <w:spacing w:after="0"/>
        <w:jc w:val="both"/>
        <w:rPr>
          <w:rFonts w:ascii="Century Gothic" w:hAnsi="Century Gothic" w:cstheme="minorHAnsi"/>
          <w:sz w:val="16"/>
          <w:szCs w:val="16"/>
        </w:rPr>
      </w:pPr>
      <w:r w:rsidRPr="006C0E98">
        <w:rPr>
          <w:rFonts w:ascii="Century Gothic" w:hAnsi="Century Gothic" w:cstheme="minorHAnsi"/>
          <w:sz w:val="16"/>
          <w:szCs w:val="16"/>
        </w:rPr>
        <w:t>a/ Para el cálculo del promedio no se incluye en "Nivel de agregación al que corresponde la agrupación (Nivel__</w:t>
      </w:r>
      <w:proofErr w:type="spellStart"/>
      <w:r w:rsidRPr="006C0E98">
        <w:rPr>
          <w:rFonts w:ascii="Century Gothic" w:hAnsi="Century Gothic" w:cstheme="minorHAnsi"/>
          <w:sz w:val="16"/>
          <w:szCs w:val="16"/>
        </w:rPr>
        <w:t>Agreg_Agrupacion</w:t>
      </w:r>
      <w:proofErr w:type="spellEnd"/>
      <w:r w:rsidRPr="006C0E98">
        <w:rPr>
          <w:rFonts w:ascii="Century Gothic" w:hAnsi="Century Gothic" w:cstheme="minorHAnsi"/>
          <w:sz w:val="16"/>
          <w:szCs w:val="16"/>
        </w:rPr>
        <w:t xml:space="preserve">)" datos nacionales o totales, ya que en </w:t>
      </w:r>
      <w:proofErr w:type="spellStart"/>
      <w:r w:rsidRPr="006C0E98">
        <w:rPr>
          <w:rFonts w:ascii="Century Gothic" w:hAnsi="Century Gothic" w:cstheme="minorHAnsi"/>
          <w:sz w:val="16"/>
          <w:szCs w:val="16"/>
        </w:rPr>
        <w:t>si</w:t>
      </w:r>
      <w:proofErr w:type="spellEnd"/>
      <w:r w:rsidRPr="006C0E98">
        <w:rPr>
          <w:rFonts w:ascii="Century Gothic" w:hAnsi="Century Gothic" w:cstheme="minorHAnsi"/>
          <w:sz w:val="16"/>
          <w:szCs w:val="16"/>
        </w:rPr>
        <w:t xml:space="preserve"> mismos son un promedio. Con excepción de las encuestas que presentan un único caso.</w:t>
      </w:r>
    </w:p>
    <w:p w:rsidR="006C0E98" w:rsidRPr="006C0E98" w:rsidRDefault="006C0E98" w:rsidP="006C0E98">
      <w:pPr>
        <w:spacing w:after="0"/>
        <w:jc w:val="both"/>
        <w:rPr>
          <w:rFonts w:ascii="Century Gothic" w:hAnsi="Century Gothic" w:cstheme="minorHAnsi"/>
          <w:sz w:val="16"/>
          <w:szCs w:val="16"/>
        </w:rPr>
      </w:pPr>
      <w:proofErr w:type="spellStart"/>
      <w:r w:rsidRPr="006C0E98">
        <w:rPr>
          <w:rFonts w:ascii="Century Gothic" w:hAnsi="Century Gothic" w:cstheme="minorHAnsi"/>
          <w:sz w:val="16"/>
          <w:szCs w:val="16"/>
        </w:rPr>
        <w:t>nr</w:t>
      </w:r>
      <w:proofErr w:type="spellEnd"/>
      <w:r w:rsidRPr="006C0E98">
        <w:rPr>
          <w:rFonts w:ascii="Century Gothic" w:hAnsi="Century Gothic" w:cstheme="minorHAnsi"/>
          <w:sz w:val="16"/>
          <w:szCs w:val="16"/>
        </w:rPr>
        <w:t xml:space="preserve">: no </w:t>
      </w:r>
      <w:proofErr w:type="spellStart"/>
      <w:r w:rsidRPr="006C0E98">
        <w:rPr>
          <w:rFonts w:ascii="Century Gothic" w:hAnsi="Century Gothic" w:cstheme="minorHAnsi"/>
          <w:sz w:val="16"/>
          <w:szCs w:val="16"/>
        </w:rPr>
        <w:t>rep</w:t>
      </w:r>
      <w:r w:rsidR="007955A3">
        <w:rPr>
          <w:rFonts w:ascii="Century Gothic" w:hAnsi="Century Gothic" w:cstheme="minorHAnsi"/>
          <w:sz w:val="16"/>
          <w:szCs w:val="16"/>
        </w:rPr>
        <w:t>a</w:t>
      </w:r>
      <w:r w:rsidRPr="006C0E98">
        <w:rPr>
          <w:rFonts w:ascii="Century Gothic" w:hAnsi="Century Gothic" w:cstheme="minorHAnsi"/>
          <w:sz w:val="16"/>
          <w:szCs w:val="16"/>
        </w:rPr>
        <w:t>rt</w:t>
      </w:r>
      <w:r w:rsidR="007955A3">
        <w:rPr>
          <w:rFonts w:ascii="Century Gothic" w:hAnsi="Century Gothic" w:cstheme="minorHAnsi"/>
          <w:sz w:val="16"/>
          <w:szCs w:val="16"/>
        </w:rPr>
        <w:t>ado</w:t>
      </w:r>
      <w:proofErr w:type="spellEnd"/>
    </w:p>
    <w:p w:rsidR="00D41680" w:rsidRDefault="00D41680" w:rsidP="00D41680">
      <w:pPr>
        <w:jc w:val="both"/>
        <w:rPr>
          <w:rFonts w:ascii="Century Gothic" w:hAnsi="Century Gothic" w:cstheme="minorHAnsi"/>
          <w:sz w:val="19"/>
          <w:szCs w:val="19"/>
        </w:rPr>
      </w:pPr>
      <w:r>
        <w:rPr>
          <w:rFonts w:ascii="Century Gothic" w:hAnsi="Century Gothic" w:cstheme="minorHAnsi"/>
          <w:sz w:val="19"/>
          <w:szCs w:val="19"/>
        </w:rPr>
        <w:lastRenderedPageBreak/>
        <w:t xml:space="preserve">Para realizar un análisis más detallado conviene revisar la distribución de la tasa de no respuesta, para lo cual se incluyeron las gráficas que se presentan a continuación.  La sección verde corresponde al valor establecido en el diseño muestral como la tasa de no respuesta máxima esperada. En primer lugar, se presenta la distribución de las encuestas mensuales y trimestrales que presentan tasas de no respuesta superiores a 15% en alguno de sus dominios de estudio (A.6.9). </w:t>
      </w:r>
    </w:p>
    <w:p w:rsidR="00C06035" w:rsidRDefault="00C06035">
      <w:pPr>
        <w:rPr>
          <w:rFonts w:ascii="Century Gothic" w:hAnsi="Century Gothic" w:cstheme="minorHAnsi"/>
          <w:sz w:val="19"/>
          <w:szCs w:val="19"/>
        </w:rPr>
      </w:pPr>
      <w:r>
        <w:rPr>
          <w:rFonts w:ascii="Century Gothic" w:hAnsi="Century Gothic" w:cstheme="minorHAnsi"/>
          <w:sz w:val="19"/>
          <w:szCs w:val="19"/>
        </w:rPr>
        <w:br w:type="page"/>
      </w:r>
    </w:p>
    <w:p w:rsidR="00D41680" w:rsidRDefault="00D41680" w:rsidP="00D41680">
      <w:pPr>
        <w:jc w:val="center"/>
        <w:rPr>
          <w:rFonts w:ascii="Century Gothic" w:hAnsi="Century Gothic" w:cstheme="minorHAnsi"/>
          <w:sz w:val="19"/>
          <w:szCs w:val="19"/>
        </w:rPr>
      </w:pPr>
      <w:r>
        <w:rPr>
          <w:rFonts w:ascii="Century Gothic" w:hAnsi="Century Gothic" w:cstheme="majorHAnsi"/>
          <w:b/>
          <w:sz w:val="19"/>
          <w:szCs w:val="19"/>
        </w:rPr>
        <w:lastRenderedPageBreak/>
        <w:t xml:space="preserve">A.6.9. Distribución de las Tasas de No Respuesta en encuestas mensuales y trimestrales con observaciones mayores al 15% (escala 0 – </w:t>
      </w:r>
      <w:r w:rsidR="00362B20">
        <w:rPr>
          <w:rFonts w:ascii="Century Gothic" w:hAnsi="Century Gothic" w:cstheme="majorHAnsi"/>
          <w:b/>
          <w:sz w:val="19"/>
          <w:szCs w:val="19"/>
        </w:rPr>
        <w:t>6</w:t>
      </w:r>
      <w:r>
        <w:rPr>
          <w:rFonts w:ascii="Century Gothic" w:hAnsi="Century Gothic" w:cstheme="majorHAnsi"/>
          <w:b/>
          <w:sz w:val="19"/>
          <w:szCs w:val="19"/>
        </w:rPr>
        <w:t xml:space="preserve">0) </w:t>
      </w:r>
      <w:r w:rsidR="00362B20">
        <w:rPr>
          <w:rStyle w:val="Refdenotaalpie"/>
          <w:rFonts w:ascii="Century Gothic" w:hAnsi="Century Gothic" w:cstheme="majorHAnsi"/>
          <w:b/>
          <w:sz w:val="19"/>
          <w:szCs w:val="19"/>
        </w:rPr>
        <w:footnoteReference w:id="14"/>
      </w:r>
    </w:p>
    <w:p w:rsidR="00D41680" w:rsidRDefault="00362B20" w:rsidP="00D41680">
      <w:pPr>
        <w:jc w:val="center"/>
        <w:rPr>
          <w:rFonts w:ascii="Century Gothic" w:hAnsi="Century Gothic" w:cstheme="minorHAnsi"/>
          <w:sz w:val="19"/>
          <w:szCs w:val="19"/>
        </w:rPr>
      </w:pPr>
      <w:r w:rsidRPr="00362B20">
        <w:rPr>
          <w:noProof/>
          <w:lang w:val="en-US"/>
        </w:rPr>
        <w:drawing>
          <wp:anchor distT="0" distB="0" distL="114300" distR="114300" simplePos="0" relativeHeight="251741184" behindDoc="0" locked="0" layoutInCell="1" allowOverlap="1" wp14:anchorId="7A8BF7CF" wp14:editId="591DF392">
            <wp:simplePos x="0" y="0"/>
            <wp:positionH relativeFrom="margin">
              <wp:align>center</wp:align>
            </wp:positionH>
            <wp:positionV relativeFrom="paragraph">
              <wp:posOffset>125730</wp:posOffset>
            </wp:positionV>
            <wp:extent cx="7010400" cy="25622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1040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568">
        <w:rPr>
          <w:rFonts w:ascii="Century Gothic" w:hAnsi="Century Gothic" w:cstheme="minorHAnsi"/>
          <w:sz w:val="19"/>
          <w:szCs w:val="19"/>
        </w:rPr>
        <w:t xml:space="preserve"> </w:t>
      </w:r>
    </w:p>
    <w:p w:rsidR="00D41680" w:rsidRDefault="00D41680" w:rsidP="00D41680">
      <w:pPr>
        <w:jc w:val="center"/>
        <w:rPr>
          <w:rFonts w:ascii="Century Gothic" w:hAnsi="Century Gothic" w:cstheme="minorHAnsi"/>
          <w:sz w:val="19"/>
          <w:szCs w:val="19"/>
        </w:rPr>
      </w:pPr>
    </w:p>
    <w:p w:rsidR="00D41680" w:rsidRDefault="00362B20" w:rsidP="00D41680">
      <w:pPr>
        <w:jc w:val="center"/>
        <w:rPr>
          <w:rFonts w:ascii="Century Gothic" w:hAnsi="Century Gothic" w:cstheme="majorHAnsi"/>
          <w:b/>
          <w:sz w:val="19"/>
          <w:szCs w:val="19"/>
        </w:rPr>
      </w:pPr>
      <w:r w:rsidRPr="00362B20">
        <w:rPr>
          <w:noProof/>
          <w:lang w:val="en-US"/>
        </w:rPr>
        <w:drawing>
          <wp:inline distT="0" distB="0" distL="0" distR="0" wp14:anchorId="5D86310C" wp14:editId="477D9C2D">
            <wp:extent cx="4889226" cy="2555015"/>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3733" cy="2557370"/>
                    </a:xfrm>
                    <a:prstGeom prst="rect">
                      <a:avLst/>
                    </a:prstGeom>
                    <a:noFill/>
                    <a:ln>
                      <a:noFill/>
                    </a:ln>
                  </pic:spPr>
                </pic:pic>
              </a:graphicData>
            </a:graphic>
          </wp:inline>
        </w:drawing>
      </w:r>
    </w:p>
    <w:p w:rsidR="00A6076B" w:rsidRDefault="00A6076B">
      <w:pPr>
        <w:rPr>
          <w:rFonts w:ascii="Century Gothic" w:hAnsi="Century Gothic" w:cstheme="majorHAnsi"/>
          <w:b/>
          <w:sz w:val="19"/>
          <w:szCs w:val="19"/>
        </w:rPr>
      </w:pPr>
      <w:r>
        <w:rPr>
          <w:rFonts w:ascii="Century Gothic" w:hAnsi="Century Gothic" w:cstheme="majorHAnsi"/>
          <w:b/>
          <w:sz w:val="19"/>
          <w:szCs w:val="19"/>
        </w:rPr>
        <w:br w:type="page"/>
      </w:r>
    </w:p>
    <w:p w:rsidR="00D41680" w:rsidRDefault="00D41680" w:rsidP="00D41680">
      <w:pPr>
        <w:jc w:val="center"/>
        <w:rPr>
          <w:rFonts w:ascii="Century Gothic" w:hAnsi="Century Gothic" w:cstheme="majorHAnsi"/>
          <w:b/>
          <w:sz w:val="19"/>
          <w:szCs w:val="19"/>
        </w:rPr>
      </w:pPr>
    </w:p>
    <w:p w:rsidR="00D41680" w:rsidRDefault="00D41680" w:rsidP="00D41680">
      <w:pPr>
        <w:jc w:val="center"/>
        <w:rPr>
          <w:rFonts w:ascii="Century Gothic" w:hAnsi="Century Gothic" w:cstheme="majorHAnsi"/>
          <w:b/>
          <w:sz w:val="19"/>
          <w:szCs w:val="19"/>
        </w:rPr>
      </w:pPr>
      <w:r>
        <w:rPr>
          <w:rFonts w:ascii="Century Gothic" w:hAnsi="Century Gothic" w:cstheme="majorHAnsi"/>
          <w:b/>
          <w:sz w:val="19"/>
          <w:szCs w:val="19"/>
        </w:rPr>
        <w:t>A.6.10. Distribución de las Tasas de No respuesta con observaciones menores al 15% o encuestas anuales (escala 0 – 20)</w:t>
      </w:r>
    </w:p>
    <w:p w:rsidR="00D41680" w:rsidRDefault="00D41680" w:rsidP="00D41680">
      <w:pPr>
        <w:jc w:val="center"/>
        <w:rPr>
          <w:rFonts w:ascii="Century Gothic" w:hAnsi="Century Gothic" w:cstheme="minorHAnsi"/>
          <w:sz w:val="19"/>
          <w:szCs w:val="19"/>
        </w:rPr>
      </w:pPr>
      <w:r w:rsidRPr="0044296F">
        <w:rPr>
          <w:noProof/>
          <w:lang w:val="en-US"/>
        </w:rPr>
        <w:drawing>
          <wp:inline distT="0" distB="0" distL="0" distR="0" wp14:anchorId="5EF08085" wp14:editId="4B7F4921">
            <wp:extent cx="6404610" cy="14369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4610" cy="1436963"/>
                    </a:xfrm>
                    <a:prstGeom prst="rect">
                      <a:avLst/>
                    </a:prstGeom>
                    <a:noFill/>
                    <a:ln>
                      <a:noFill/>
                    </a:ln>
                  </pic:spPr>
                </pic:pic>
              </a:graphicData>
            </a:graphic>
          </wp:inline>
        </w:drawing>
      </w:r>
    </w:p>
    <w:p w:rsidR="00D41680" w:rsidRDefault="00D41680" w:rsidP="00D41680">
      <w:pPr>
        <w:jc w:val="center"/>
        <w:rPr>
          <w:rFonts w:ascii="Century Gothic" w:hAnsi="Century Gothic" w:cstheme="minorHAnsi"/>
          <w:sz w:val="19"/>
          <w:szCs w:val="19"/>
        </w:rPr>
      </w:pPr>
      <w:r w:rsidRPr="0092465B">
        <w:rPr>
          <w:noProof/>
          <w:lang w:val="en-US"/>
        </w:rPr>
        <w:drawing>
          <wp:inline distT="0" distB="0" distL="0" distR="0" wp14:anchorId="6D255685" wp14:editId="4C751CDC">
            <wp:extent cx="6404610" cy="1422149"/>
            <wp:effectExtent l="0" t="0" r="0" b="698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4610" cy="1422149"/>
                    </a:xfrm>
                    <a:prstGeom prst="rect">
                      <a:avLst/>
                    </a:prstGeom>
                    <a:noFill/>
                    <a:ln>
                      <a:noFill/>
                    </a:ln>
                  </pic:spPr>
                </pic:pic>
              </a:graphicData>
            </a:graphic>
          </wp:inline>
        </w:drawing>
      </w:r>
    </w:p>
    <w:p w:rsidR="00D41680" w:rsidRDefault="00D41680" w:rsidP="00D41680">
      <w:pPr>
        <w:jc w:val="center"/>
        <w:rPr>
          <w:rFonts w:ascii="Century Gothic" w:hAnsi="Century Gothic" w:cstheme="minorHAnsi"/>
          <w:sz w:val="19"/>
          <w:szCs w:val="19"/>
        </w:rPr>
      </w:pPr>
    </w:p>
    <w:p w:rsidR="00D41680" w:rsidRPr="00E02741" w:rsidRDefault="00D41680" w:rsidP="00D41680">
      <w:pPr>
        <w:spacing w:before="240"/>
        <w:jc w:val="both"/>
        <w:rPr>
          <w:rFonts w:ascii="Century Gothic" w:hAnsi="Century Gothic" w:cstheme="minorHAnsi"/>
          <w:b/>
          <w:sz w:val="19"/>
          <w:szCs w:val="19"/>
        </w:rPr>
      </w:pPr>
      <w:r w:rsidRPr="00E02741">
        <w:rPr>
          <w:rFonts w:ascii="Century Gothic" w:hAnsi="Century Gothic" w:cstheme="minorHAnsi"/>
          <w:b/>
          <w:sz w:val="19"/>
          <w:szCs w:val="19"/>
        </w:rPr>
        <w:t>CONCLUSIONES</w:t>
      </w:r>
    </w:p>
    <w:p w:rsidR="00D41680" w:rsidRDefault="00D41680" w:rsidP="00D41680">
      <w:pPr>
        <w:pStyle w:val="Prrafodelista"/>
        <w:numPr>
          <w:ilvl w:val="0"/>
          <w:numId w:val="45"/>
        </w:numPr>
        <w:spacing w:before="240"/>
        <w:jc w:val="both"/>
        <w:rPr>
          <w:rFonts w:ascii="Century Gothic" w:hAnsi="Century Gothic" w:cstheme="minorHAnsi"/>
          <w:sz w:val="19"/>
          <w:szCs w:val="19"/>
        </w:rPr>
      </w:pPr>
      <w:r>
        <w:rPr>
          <w:rFonts w:ascii="Century Gothic" w:hAnsi="Century Gothic" w:cstheme="minorHAnsi"/>
          <w:sz w:val="19"/>
          <w:szCs w:val="19"/>
        </w:rPr>
        <w:t>Es necesario continuar los esfuerzos para que se reporten estos indicadores en los plazos y formatos acordados con el fin de facilitar su uso e interpretación.</w:t>
      </w:r>
    </w:p>
    <w:p w:rsidR="00D41680" w:rsidRDefault="00D41680" w:rsidP="00D41680">
      <w:pPr>
        <w:pStyle w:val="Prrafodelista"/>
        <w:spacing w:before="240"/>
        <w:jc w:val="both"/>
        <w:rPr>
          <w:rFonts w:ascii="Century Gothic" w:hAnsi="Century Gothic" w:cstheme="minorHAnsi"/>
          <w:sz w:val="19"/>
          <w:szCs w:val="19"/>
        </w:rPr>
      </w:pPr>
    </w:p>
    <w:p w:rsidR="00D41680" w:rsidRDefault="00D41680" w:rsidP="00D41680">
      <w:pPr>
        <w:pStyle w:val="Prrafodelista"/>
        <w:numPr>
          <w:ilvl w:val="0"/>
          <w:numId w:val="45"/>
        </w:numPr>
        <w:spacing w:before="240"/>
        <w:jc w:val="both"/>
        <w:rPr>
          <w:rFonts w:ascii="Century Gothic" w:hAnsi="Century Gothic" w:cstheme="minorHAnsi"/>
          <w:sz w:val="19"/>
          <w:szCs w:val="19"/>
        </w:rPr>
      </w:pPr>
      <w:r>
        <w:rPr>
          <w:rFonts w:ascii="Century Gothic" w:hAnsi="Century Gothic" w:cstheme="minorHAnsi"/>
          <w:sz w:val="19"/>
          <w:szCs w:val="19"/>
        </w:rPr>
        <w:t xml:space="preserve">Se observa una mejora en los Coeficientes de Variación de los programas de información económica. </w:t>
      </w:r>
    </w:p>
    <w:p w:rsidR="00D41680" w:rsidRPr="00A77C70" w:rsidRDefault="00D41680" w:rsidP="00D41680">
      <w:pPr>
        <w:pStyle w:val="Prrafodelista"/>
        <w:rPr>
          <w:rFonts w:ascii="Century Gothic" w:hAnsi="Century Gothic" w:cstheme="minorHAnsi"/>
          <w:sz w:val="19"/>
          <w:szCs w:val="19"/>
        </w:rPr>
      </w:pPr>
    </w:p>
    <w:p w:rsidR="00D41680" w:rsidRPr="00D10FAA" w:rsidRDefault="00D41680" w:rsidP="00D41680">
      <w:pPr>
        <w:pStyle w:val="Prrafodelista"/>
        <w:numPr>
          <w:ilvl w:val="0"/>
          <w:numId w:val="45"/>
        </w:numPr>
        <w:spacing w:before="240"/>
        <w:jc w:val="both"/>
        <w:rPr>
          <w:rFonts w:ascii="Century Gothic" w:hAnsi="Century Gothic"/>
          <w:sz w:val="19"/>
          <w:szCs w:val="19"/>
        </w:rPr>
      </w:pPr>
      <w:r>
        <w:rPr>
          <w:rFonts w:ascii="Century Gothic" w:hAnsi="Century Gothic" w:cstheme="minorHAnsi"/>
          <w:sz w:val="19"/>
          <w:szCs w:val="19"/>
        </w:rPr>
        <w:t>La tasa de no respuesta máxima esperada del diseño muestral varía según el tipo de encuesta, sin embargo</w:t>
      </w:r>
      <w:r w:rsidR="00C04015">
        <w:rPr>
          <w:rFonts w:ascii="Century Gothic" w:hAnsi="Century Gothic" w:cstheme="minorHAnsi"/>
          <w:sz w:val="19"/>
          <w:szCs w:val="19"/>
        </w:rPr>
        <w:t>,</w:t>
      </w:r>
      <w:r>
        <w:rPr>
          <w:rFonts w:ascii="Century Gothic" w:hAnsi="Century Gothic" w:cstheme="minorHAnsi"/>
          <w:sz w:val="19"/>
          <w:szCs w:val="19"/>
        </w:rPr>
        <w:t xml:space="preserve"> en algunos casos se observan tasas de no respuesta superiores. En cada caso debe realizarse un análisis de las causas que lo originan.</w:t>
      </w:r>
    </w:p>
    <w:p w:rsidR="00597C60" w:rsidRDefault="00597C60">
      <w:pPr>
        <w:rPr>
          <w:rFonts w:ascii="Century Gothic" w:hAnsi="Century Gothic"/>
          <w:sz w:val="19"/>
          <w:szCs w:val="19"/>
        </w:rPr>
      </w:pPr>
      <w:r>
        <w:rPr>
          <w:rFonts w:ascii="Century Gothic" w:hAnsi="Century Gothic"/>
          <w:sz w:val="19"/>
          <w:szCs w:val="19"/>
        </w:rPr>
        <w:br w:type="page"/>
      </w:r>
    </w:p>
    <w:tbl>
      <w:tblPr>
        <w:tblW w:w="12333" w:type="dxa"/>
        <w:tblInd w:w="-1139" w:type="dxa"/>
        <w:tblLook w:val="04A0" w:firstRow="1" w:lastRow="0" w:firstColumn="1" w:lastColumn="0" w:noHBand="0" w:noVBand="1"/>
      </w:tblPr>
      <w:tblGrid>
        <w:gridCol w:w="4820"/>
        <w:gridCol w:w="7513"/>
      </w:tblGrid>
      <w:tr w:rsidR="00E61E5D" w:rsidRPr="0022505B" w:rsidTr="004F20C2">
        <w:trPr>
          <w:trHeight w:val="201"/>
        </w:trPr>
        <w:tc>
          <w:tcPr>
            <w:tcW w:w="4820" w:type="dxa"/>
            <w:shd w:val="clear" w:color="auto" w:fill="1F3864" w:themeFill="accent5" w:themeFillShade="80"/>
          </w:tcPr>
          <w:p w:rsidR="00E61E5D" w:rsidRPr="0022505B" w:rsidRDefault="00E61E5D" w:rsidP="004F20C2">
            <w:pPr>
              <w:rPr>
                <w:rFonts w:cstheme="minorHAnsi"/>
                <w:color w:val="FFFFFF" w:themeColor="background1"/>
                <w:sz w:val="14"/>
                <w:szCs w:val="32"/>
              </w:rPr>
            </w:pPr>
          </w:p>
        </w:tc>
        <w:tc>
          <w:tcPr>
            <w:tcW w:w="7513" w:type="dxa"/>
            <w:shd w:val="clear" w:color="auto" w:fill="0079BF"/>
          </w:tcPr>
          <w:p w:rsidR="00E61E5D" w:rsidRPr="0022505B" w:rsidRDefault="00E61E5D" w:rsidP="004F20C2">
            <w:pPr>
              <w:rPr>
                <w:rFonts w:cstheme="minorHAnsi"/>
                <w:color w:val="FFFFFF" w:themeColor="background1"/>
                <w:sz w:val="14"/>
                <w:szCs w:val="32"/>
              </w:rPr>
            </w:pPr>
          </w:p>
        </w:tc>
      </w:tr>
      <w:tr w:rsidR="00E61E5D" w:rsidRPr="0022505B" w:rsidTr="004F20C2">
        <w:trPr>
          <w:trHeight w:val="201"/>
        </w:trPr>
        <w:tc>
          <w:tcPr>
            <w:tcW w:w="12333" w:type="dxa"/>
            <w:gridSpan w:val="2"/>
            <w:shd w:val="clear" w:color="auto" w:fill="auto"/>
          </w:tcPr>
          <w:p w:rsidR="00E61E5D" w:rsidRPr="00613C02" w:rsidRDefault="00E61E5D" w:rsidP="00882081">
            <w:pPr>
              <w:spacing w:after="0"/>
              <w:jc w:val="center"/>
              <w:rPr>
                <w:rFonts w:cstheme="minorHAnsi"/>
                <w:color w:val="000000" w:themeColor="text1"/>
                <w:sz w:val="32"/>
                <w:szCs w:val="32"/>
              </w:rPr>
            </w:pPr>
            <w:r>
              <w:rPr>
                <w:rFonts w:cstheme="minorHAnsi"/>
                <w:color w:val="000000" w:themeColor="text1"/>
                <w:sz w:val="32"/>
                <w:szCs w:val="32"/>
              </w:rPr>
              <w:t>ANEXO 7</w:t>
            </w:r>
          </w:p>
        </w:tc>
      </w:tr>
      <w:tr w:rsidR="00E61E5D" w:rsidRPr="0022505B" w:rsidTr="004F20C2">
        <w:trPr>
          <w:trHeight w:val="201"/>
        </w:trPr>
        <w:tc>
          <w:tcPr>
            <w:tcW w:w="4820" w:type="dxa"/>
            <w:shd w:val="clear" w:color="auto" w:fill="1F3864" w:themeFill="accent5" w:themeFillShade="80"/>
          </w:tcPr>
          <w:p w:rsidR="00E61E5D" w:rsidRPr="0022505B" w:rsidRDefault="00E61E5D" w:rsidP="004F20C2">
            <w:pPr>
              <w:rPr>
                <w:rFonts w:cstheme="minorHAnsi"/>
                <w:color w:val="FFFFFF" w:themeColor="background1"/>
                <w:sz w:val="12"/>
                <w:szCs w:val="32"/>
              </w:rPr>
            </w:pPr>
          </w:p>
        </w:tc>
        <w:tc>
          <w:tcPr>
            <w:tcW w:w="7513" w:type="dxa"/>
            <w:shd w:val="clear" w:color="auto" w:fill="0079BF"/>
          </w:tcPr>
          <w:p w:rsidR="00E61E5D" w:rsidRPr="0022505B" w:rsidRDefault="00E61E5D" w:rsidP="004F20C2">
            <w:pPr>
              <w:rPr>
                <w:rFonts w:cstheme="minorHAnsi"/>
                <w:color w:val="FFFFFF" w:themeColor="background1"/>
                <w:sz w:val="12"/>
                <w:szCs w:val="32"/>
              </w:rPr>
            </w:pPr>
          </w:p>
        </w:tc>
      </w:tr>
    </w:tbl>
    <w:p w:rsidR="00E61E5D" w:rsidRPr="00D10FAA" w:rsidRDefault="00E61E5D" w:rsidP="00E61E5D">
      <w:pPr>
        <w:spacing w:after="120"/>
        <w:rPr>
          <w:rFonts w:ascii="Century Gothic" w:hAnsi="Century Gothic"/>
          <w:b/>
          <w:sz w:val="18"/>
        </w:rPr>
      </w:pPr>
    </w:p>
    <w:p w:rsidR="00E61E5D" w:rsidRPr="00252CA7" w:rsidRDefault="00E61E5D" w:rsidP="00E61E5D">
      <w:pPr>
        <w:pStyle w:val="Ttulo1"/>
        <w:rPr>
          <w:rFonts w:ascii="Century Gothic" w:hAnsi="Century Gothic"/>
          <w:b/>
          <w:color w:val="auto"/>
        </w:rPr>
      </w:pPr>
      <w:bookmarkStart w:id="20" w:name="_Toc34310027"/>
      <w:r>
        <w:rPr>
          <w:rFonts w:ascii="Century Gothic" w:eastAsiaTheme="minorHAnsi" w:hAnsi="Century Gothic" w:cstheme="minorBidi"/>
          <w:b/>
          <w:color w:val="auto"/>
          <w:sz w:val="22"/>
          <w:szCs w:val="22"/>
        </w:rPr>
        <w:t>Anexo 7</w:t>
      </w:r>
      <w:r w:rsidRPr="00252CA7">
        <w:rPr>
          <w:rFonts w:ascii="Century Gothic" w:eastAsiaTheme="minorHAnsi" w:hAnsi="Century Gothic" w:cstheme="minorBidi"/>
          <w:b/>
          <w:color w:val="auto"/>
          <w:sz w:val="22"/>
          <w:szCs w:val="22"/>
        </w:rPr>
        <w:t xml:space="preserve">: </w:t>
      </w:r>
      <w:bookmarkStart w:id="21" w:name="_Toc7780908"/>
      <w:r w:rsidRPr="00252CA7">
        <w:rPr>
          <w:rFonts w:ascii="Century Gothic" w:eastAsiaTheme="minorHAnsi" w:hAnsi="Century Gothic" w:cstheme="minorBidi"/>
          <w:b/>
          <w:color w:val="auto"/>
          <w:sz w:val="22"/>
          <w:szCs w:val="22"/>
        </w:rPr>
        <w:t>Indicador de revisión de consistencia topológica</w:t>
      </w:r>
      <w:bookmarkEnd w:id="20"/>
      <w:bookmarkEnd w:id="21"/>
    </w:p>
    <w:p w:rsidR="00E61E5D" w:rsidRDefault="00E61E5D" w:rsidP="00E61E5D">
      <w:pPr>
        <w:spacing w:after="120"/>
        <w:ind w:left="2694" w:hanging="2694"/>
        <w:rPr>
          <w:rFonts w:ascii="Century Gothic" w:hAnsi="Century Gothic"/>
          <w:b/>
        </w:rPr>
      </w:pP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En Geomática la topología se refiere a que los elementos puntuales, lineales o de área de un archivo vectorial cumplan con determinadas reglas que aseguren una adecuada continuidad o conexión geométrica de los elementos. Esto se denomina consistencia topológica.</w:t>
      </w:r>
      <w:r w:rsidR="000E01C2">
        <w:rPr>
          <w:rFonts w:ascii="Century Gothic" w:hAnsi="Century Gothic"/>
          <w:sz w:val="19"/>
          <w:szCs w:val="19"/>
        </w:rPr>
        <w:t xml:space="preserve"> </w:t>
      </w:r>
      <w:r w:rsidRPr="00D10FAA">
        <w:rPr>
          <w:rFonts w:ascii="Century Gothic" w:hAnsi="Century Gothic"/>
          <w:sz w:val="19"/>
          <w:szCs w:val="19"/>
        </w:rPr>
        <w:t xml:space="preserve">Verificarla implica efectuar rutinas informáticas para detectar inconsistencias como las siguientes: </w:t>
      </w:r>
      <w:proofErr w:type="spellStart"/>
      <w:r w:rsidRPr="00D10FAA">
        <w:rPr>
          <w:rFonts w:ascii="Century Gothic" w:hAnsi="Century Gothic"/>
          <w:sz w:val="19"/>
          <w:szCs w:val="19"/>
        </w:rPr>
        <w:t>autointersecciones</w:t>
      </w:r>
      <w:proofErr w:type="spellEnd"/>
      <w:r w:rsidRPr="00D10FAA">
        <w:rPr>
          <w:rFonts w:ascii="Century Gothic" w:hAnsi="Century Gothic"/>
          <w:sz w:val="19"/>
          <w:szCs w:val="19"/>
        </w:rPr>
        <w:t xml:space="preserve"> no válidas, conexiones omitidas, comparticiones omitidas, traslapes, áreas complejas mal formadas, rasgos geográficos duplicados, polígonos sin etiqueta, etcétera.</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Algunas reglas topológicas son universales, como las mencionadas en el párrafo previo. Además de ellas, existen otras que se establecen específicamente para cierto tipo de datos espaciales y están incluidas en los diccionarios de datos de cada tema (topografía, geología, uso del suelo, etc.). Los errores en topología suelen ser resultado de errores en los trazos de los rasgos durante la fase de la digitalización con la cual se crean los diversos conjuntos vectoriales</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Las inconsistencias detectadas en una revisión topológica reciben uno de dos posibles tratamientos: se corrigen de manera que se apeguen a las reglas aplicables al producto en cuestión, o bien se registra una justificación, puesto que hay casos muy especiales en la realidad geográfica cuya representación en datos especiales infringe alguna regla topológica, pero a pesar de ello no deben modificarse porque reflejan fielmente la realidad deseada.</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La revisión de la consistencia topológica es una aplicación necesaria en los trabajos de control de calidad, puesto que un producto terminado no debe tener inconsistencias topológicas, salvo aquéllas justificadas. También puede ayudar a identificar patrones o regularidades; por ejemplo, notar que la mayoría de los errores se presenta en ciertos elementos como curvas de nivel, cuerpos de agua o vialidades. Se pueden buscar las causas de ello y diseñar procedimientos de prevención adecuados.</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Con el indicador de revisión de consistencia topológica aprobado por el Comité de Aseguramiento de la Calidad se pretende registrar si se verificó la consistencia topológica en los datos espaciales con estructura vectorial.</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Se le diseñó como un indicador de tipo dicotómico, de manera que su dominio tiene sólo dos valores:</w:t>
      </w:r>
    </w:p>
    <w:p w:rsidR="00E61E5D" w:rsidRPr="00D10FAA" w:rsidRDefault="00E61E5D" w:rsidP="00E61E5D">
      <w:pPr>
        <w:spacing w:after="120"/>
        <w:ind w:firstLine="567"/>
        <w:jc w:val="both"/>
        <w:rPr>
          <w:rFonts w:ascii="Century Gothic" w:hAnsi="Century Gothic"/>
          <w:sz w:val="19"/>
          <w:szCs w:val="19"/>
        </w:rPr>
      </w:pPr>
      <w:r w:rsidRPr="00D10FAA">
        <w:rPr>
          <w:rFonts w:ascii="Century Gothic" w:hAnsi="Century Gothic"/>
          <w:sz w:val="19"/>
          <w:szCs w:val="19"/>
        </w:rPr>
        <w:t>1 – cuando se haya efectuado la revisión topológica.</w:t>
      </w:r>
    </w:p>
    <w:p w:rsidR="00E61E5D" w:rsidRPr="00D10FAA" w:rsidRDefault="00E61E5D" w:rsidP="00E61E5D">
      <w:pPr>
        <w:spacing w:after="120"/>
        <w:ind w:firstLine="567"/>
        <w:jc w:val="both"/>
        <w:rPr>
          <w:rFonts w:ascii="Century Gothic" w:hAnsi="Century Gothic"/>
          <w:sz w:val="19"/>
          <w:szCs w:val="19"/>
        </w:rPr>
      </w:pPr>
      <w:r w:rsidRPr="00D10FAA">
        <w:rPr>
          <w:rFonts w:ascii="Century Gothic" w:hAnsi="Century Gothic"/>
          <w:sz w:val="19"/>
          <w:szCs w:val="19"/>
        </w:rPr>
        <w:t>0 – cuando no se haya efectuado la revisión topológica.</w:t>
      </w:r>
    </w:p>
    <w:p w:rsidR="00E61E5D" w:rsidRPr="00D10FAA" w:rsidRDefault="00E61E5D" w:rsidP="00E61E5D">
      <w:pPr>
        <w:spacing w:after="120"/>
        <w:jc w:val="both"/>
        <w:rPr>
          <w:rFonts w:ascii="Century Gothic" w:hAnsi="Century Gothic"/>
          <w:sz w:val="19"/>
          <w:szCs w:val="19"/>
        </w:rPr>
      </w:pPr>
      <w:r w:rsidRPr="00D10FAA">
        <w:rPr>
          <w:rFonts w:ascii="Century Gothic" w:hAnsi="Century Gothic"/>
          <w:sz w:val="19"/>
          <w:szCs w:val="19"/>
        </w:rPr>
        <w:t>Esta clase de información es parte de lo que se debe incluir en los metadatos de los productos geográficos. El rubro “control de calidad”, como tal, no figura explícitamente en la Norma Técnica sobre Elaboración de Metadatos Geográficos (NTMG) publicada en 2010, pero en la guía para la elaborar los metadatos conforme a la NTMG se le menciona como uno de los elementos de información que deben incluirse dentro del rubro denominado linaje. La guía especifica además la estructura que debe cumplir cada uno de los reportes de control de calidad que se incluyan; esto es, los rubros que de los cuales se debe proporcionar información: qué elementos se revisaron, en qué consistió la revisión, si fue completa o muestral, etc.</w:t>
      </w:r>
    </w:p>
    <w:p w:rsidR="00E61E5D" w:rsidRPr="00D10FAA" w:rsidRDefault="00E61E5D" w:rsidP="00E61E5D">
      <w:pPr>
        <w:spacing w:after="120"/>
        <w:jc w:val="both"/>
        <w:rPr>
          <w:rFonts w:ascii="Century Gothic" w:hAnsi="Century Gothic"/>
          <w:sz w:val="19"/>
          <w:szCs w:val="19"/>
        </w:rPr>
      </w:pPr>
      <w:r>
        <w:rPr>
          <w:rFonts w:ascii="Century Gothic" w:hAnsi="Century Gothic"/>
          <w:sz w:val="19"/>
          <w:szCs w:val="19"/>
        </w:rPr>
        <w:t xml:space="preserve">En </w:t>
      </w:r>
      <w:r w:rsidRPr="00D10FAA">
        <w:rPr>
          <w:rFonts w:ascii="Century Gothic" w:hAnsi="Century Gothic"/>
          <w:sz w:val="19"/>
          <w:szCs w:val="19"/>
        </w:rPr>
        <w:t>2018 se incorporó el reporte de verificación de consistencia topológica empleando el indicador</w:t>
      </w:r>
      <w:r>
        <w:rPr>
          <w:rFonts w:ascii="Century Gothic" w:hAnsi="Century Gothic"/>
          <w:sz w:val="19"/>
          <w:szCs w:val="19"/>
        </w:rPr>
        <w:t xml:space="preserve"> en cuestión para </w:t>
      </w:r>
      <w:r w:rsidRPr="00D10FAA">
        <w:rPr>
          <w:rFonts w:ascii="Century Gothic" w:hAnsi="Century Gothic"/>
          <w:sz w:val="19"/>
          <w:szCs w:val="19"/>
        </w:rPr>
        <w:t>los siguientes</w:t>
      </w:r>
      <w:r>
        <w:rPr>
          <w:rFonts w:ascii="Century Gothic" w:hAnsi="Century Gothic"/>
          <w:sz w:val="19"/>
          <w:szCs w:val="19"/>
        </w:rPr>
        <w:t xml:space="preserve"> programas</w:t>
      </w:r>
      <w:r w:rsidRPr="00D10FAA">
        <w:rPr>
          <w:rFonts w:ascii="Century Gothic" w:hAnsi="Century Gothic"/>
          <w:sz w:val="19"/>
          <w:szCs w:val="19"/>
        </w:rPr>
        <w:t>:</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Carta Catastral.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Carta Topográfica Escala 1:20 000.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Conjunto de datos vectoriales de información topográfica escala 1:50 000 serie III.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lastRenderedPageBreak/>
        <w:t xml:space="preserve">Estimación de Crecimiento Urbano por clasificación de imágenes ópticas en la periferia del Marco Geoestadístico versión 2018.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Localidades Amanzanadas con Delimitación de Asentamientos Humanos 2017.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Mapa base de la estructura de la propiedad.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Marco Geoestadístico, junio 2018. </w:t>
      </w:r>
    </w:p>
    <w:p w:rsidR="00E61E5D" w:rsidRPr="00D10FAA"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 xml:space="preserve">Marco Geoestadístico, diciembre 2018. </w:t>
      </w:r>
    </w:p>
    <w:p w:rsidR="00E61E5D" w:rsidRDefault="00E61E5D" w:rsidP="00E61E5D">
      <w:pPr>
        <w:pStyle w:val="Prrafodelista"/>
        <w:numPr>
          <w:ilvl w:val="0"/>
          <w:numId w:val="24"/>
        </w:numPr>
        <w:spacing w:after="120"/>
        <w:jc w:val="both"/>
        <w:rPr>
          <w:rFonts w:ascii="Century Gothic" w:hAnsi="Century Gothic"/>
          <w:sz w:val="18"/>
          <w:szCs w:val="19"/>
        </w:rPr>
      </w:pPr>
      <w:r w:rsidRPr="00D10FAA">
        <w:rPr>
          <w:rFonts w:ascii="Century Gothic" w:hAnsi="Century Gothic"/>
          <w:sz w:val="18"/>
          <w:szCs w:val="19"/>
        </w:rPr>
        <w:t>Red Nacional de Caminos (RNC) – 2018.</w:t>
      </w:r>
    </w:p>
    <w:p w:rsidR="00E61E5D" w:rsidRPr="007C1272" w:rsidRDefault="00E61E5D" w:rsidP="00E61E5D">
      <w:pPr>
        <w:spacing w:after="120"/>
        <w:jc w:val="both"/>
        <w:rPr>
          <w:rFonts w:ascii="Century Gothic" w:hAnsi="Century Gothic"/>
          <w:sz w:val="19"/>
          <w:szCs w:val="19"/>
        </w:rPr>
      </w:pPr>
      <w:r w:rsidRPr="007C1272">
        <w:rPr>
          <w:rFonts w:ascii="Century Gothic" w:hAnsi="Century Gothic"/>
          <w:sz w:val="19"/>
          <w:szCs w:val="19"/>
        </w:rPr>
        <w:t>En 201</w:t>
      </w:r>
      <w:r>
        <w:rPr>
          <w:rFonts w:ascii="Century Gothic" w:hAnsi="Century Gothic"/>
          <w:sz w:val="19"/>
          <w:szCs w:val="19"/>
        </w:rPr>
        <w:t>9</w:t>
      </w:r>
      <w:r w:rsidRPr="007C1272">
        <w:rPr>
          <w:rFonts w:ascii="Century Gothic" w:hAnsi="Century Gothic"/>
          <w:sz w:val="19"/>
          <w:szCs w:val="19"/>
        </w:rPr>
        <w:t xml:space="preserve"> se </w:t>
      </w:r>
      <w:r>
        <w:rPr>
          <w:rFonts w:ascii="Century Gothic" w:hAnsi="Century Gothic"/>
          <w:sz w:val="19"/>
          <w:szCs w:val="19"/>
        </w:rPr>
        <w:t xml:space="preserve">realizó esta medición para los siguientes programas que actualizaron </w:t>
      </w:r>
      <w:r w:rsidR="00C04015">
        <w:rPr>
          <w:rFonts w:ascii="Century Gothic" w:hAnsi="Century Gothic"/>
          <w:sz w:val="19"/>
          <w:szCs w:val="19"/>
        </w:rPr>
        <w:t>información</w:t>
      </w:r>
      <w:r w:rsidRPr="007C1272">
        <w:rPr>
          <w:rFonts w:ascii="Century Gothic" w:hAnsi="Century Gothic"/>
          <w:sz w:val="19"/>
          <w:szCs w:val="19"/>
        </w:rPr>
        <w:t>:</w:t>
      </w:r>
    </w:p>
    <w:p w:rsidR="00E61E5D" w:rsidRPr="00D10FAA" w:rsidRDefault="00E61E5D" w:rsidP="00E61E5D">
      <w:pPr>
        <w:pStyle w:val="Prrafodelista"/>
        <w:numPr>
          <w:ilvl w:val="0"/>
          <w:numId w:val="42"/>
        </w:numPr>
        <w:spacing w:after="120"/>
        <w:jc w:val="both"/>
        <w:rPr>
          <w:rFonts w:ascii="Century Gothic" w:hAnsi="Century Gothic"/>
          <w:sz w:val="18"/>
          <w:szCs w:val="19"/>
        </w:rPr>
      </w:pPr>
      <w:r w:rsidRPr="00D10FAA">
        <w:rPr>
          <w:rFonts w:ascii="Century Gothic" w:hAnsi="Century Gothic"/>
          <w:sz w:val="18"/>
          <w:szCs w:val="19"/>
        </w:rPr>
        <w:t>Marc</w:t>
      </w:r>
      <w:r>
        <w:rPr>
          <w:rFonts w:ascii="Century Gothic" w:hAnsi="Century Gothic"/>
          <w:sz w:val="18"/>
          <w:szCs w:val="19"/>
        </w:rPr>
        <w:t>o Geoestadístico, diciembre 2019</w:t>
      </w:r>
      <w:r w:rsidRPr="00D10FAA">
        <w:rPr>
          <w:rFonts w:ascii="Century Gothic" w:hAnsi="Century Gothic"/>
          <w:sz w:val="18"/>
          <w:szCs w:val="19"/>
        </w:rPr>
        <w:t xml:space="preserve">. </w:t>
      </w:r>
    </w:p>
    <w:p w:rsidR="00E61E5D" w:rsidRPr="00F47DD7" w:rsidRDefault="00E61E5D" w:rsidP="00E61E5D">
      <w:pPr>
        <w:pStyle w:val="Prrafodelista"/>
        <w:numPr>
          <w:ilvl w:val="0"/>
          <w:numId w:val="42"/>
        </w:numPr>
        <w:spacing w:after="120"/>
        <w:jc w:val="both"/>
        <w:rPr>
          <w:rFonts w:ascii="Century Gothic" w:hAnsi="Century Gothic"/>
          <w:sz w:val="18"/>
          <w:szCs w:val="19"/>
        </w:rPr>
      </w:pPr>
      <w:r w:rsidRPr="00D10FAA">
        <w:rPr>
          <w:rFonts w:ascii="Century Gothic" w:hAnsi="Century Gothic"/>
          <w:sz w:val="18"/>
          <w:szCs w:val="19"/>
        </w:rPr>
        <w:t xml:space="preserve">Red </w:t>
      </w:r>
      <w:r>
        <w:rPr>
          <w:rFonts w:ascii="Century Gothic" w:hAnsi="Century Gothic"/>
          <w:sz w:val="18"/>
          <w:szCs w:val="19"/>
        </w:rPr>
        <w:t>Nacional de Caminos (RNC) – 2019</w:t>
      </w:r>
      <w:r w:rsidRPr="00D10FAA">
        <w:rPr>
          <w:rFonts w:ascii="Century Gothic" w:hAnsi="Century Gothic"/>
          <w:sz w:val="18"/>
          <w:szCs w:val="19"/>
        </w:rPr>
        <w:t>.</w:t>
      </w:r>
    </w:p>
    <w:p w:rsidR="00E61E5D" w:rsidRPr="00D10FAA" w:rsidRDefault="00E61E5D" w:rsidP="00E61E5D">
      <w:pPr>
        <w:spacing w:after="120"/>
        <w:jc w:val="both"/>
        <w:rPr>
          <w:rFonts w:ascii="Century Gothic" w:hAnsi="Century Gothic"/>
          <w:sz w:val="19"/>
          <w:szCs w:val="19"/>
        </w:rPr>
      </w:pPr>
    </w:p>
    <w:p w:rsidR="00386EAC" w:rsidRPr="00D10FAA" w:rsidRDefault="00386EAC" w:rsidP="00386EAC">
      <w:pPr>
        <w:spacing w:after="120"/>
        <w:jc w:val="both"/>
        <w:rPr>
          <w:rFonts w:ascii="Century Gothic" w:hAnsi="Century Gothic"/>
          <w:sz w:val="19"/>
          <w:szCs w:val="19"/>
        </w:rPr>
      </w:pPr>
      <w:r w:rsidRPr="00D10FAA">
        <w:rPr>
          <w:rFonts w:ascii="Century Gothic" w:hAnsi="Century Gothic"/>
          <w:sz w:val="19"/>
          <w:szCs w:val="19"/>
        </w:rPr>
        <w:t>Asimismo, la DGGMA pretende avanzar en la propuesta de indicadores de control de calidad ante las instancias correspondientes, como parte necesaria de las tareas que en conjunto constituyen el aseguramiento de la calidad de la información geográfica.</w:t>
      </w:r>
    </w:p>
    <w:p w:rsidR="00E61E5D" w:rsidRPr="00D10FAA" w:rsidRDefault="00E61E5D" w:rsidP="00E61E5D">
      <w:pPr>
        <w:spacing w:after="120"/>
        <w:rPr>
          <w:rFonts w:ascii="Century Gothic" w:hAnsi="Century Gothic"/>
          <w:sz w:val="19"/>
          <w:szCs w:val="19"/>
        </w:rPr>
      </w:pPr>
    </w:p>
    <w:p w:rsidR="00882081" w:rsidRDefault="00882081">
      <w:r>
        <w:br w:type="page"/>
      </w:r>
    </w:p>
    <w:tbl>
      <w:tblPr>
        <w:tblW w:w="12333" w:type="dxa"/>
        <w:tblInd w:w="-1139" w:type="dxa"/>
        <w:tblLook w:val="04A0" w:firstRow="1" w:lastRow="0" w:firstColumn="1" w:lastColumn="0" w:noHBand="0" w:noVBand="1"/>
      </w:tblPr>
      <w:tblGrid>
        <w:gridCol w:w="4820"/>
        <w:gridCol w:w="7513"/>
      </w:tblGrid>
      <w:tr w:rsidR="00882081" w:rsidRPr="0022505B" w:rsidTr="004D6536">
        <w:trPr>
          <w:trHeight w:val="201"/>
        </w:trPr>
        <w:tc>
          <w:tcPr>
            <w:tcW w:w="4820" w:type="dxa"/>
            <w:shd w:val="clear" w:color="auto" w:fill="1F3864" w:themeFill="accent5" w:themeFillShade="80"/>
          </w:tcPr>
          <w:p w:rsidR="00882081" w:rsidRPr="0022505B" w:rsidRDefault="00882081" w:rsidP="004D6536">
            <w:pPr>
              <w:rPr>
                <w:rFonts w:cstheme="minorHAnsi"/>
                <w:color w:val="FFFFFF" w:themeColor="background1"/>
                <w:sz w:val="14"/>
                <w:szCs w:val="32"/>
              </w:rPr>
            </w:pPr>
          </w:p>
        </w:tc>
        <w:tc>
          <w:tcPr>
            <w:tcW w:w="7513" w:type="dxa"/>
            <w:shd w:val="clear" w:color="auto" w:fill="0079BF"/>
          </w:tcPr>
          <w:p w:rsidR="00882081" w:rsidRPr="0022505B" w:rsidRDefault="00882081" w:rsidP="004D6536">
            <w:pPr>
              <w:rPr>
                <w:rFonts w:cstheme="minorHAnsi"/>
                <w:color w:val="FFFFFF" w:themeColor="background1"/>
                <w:sz w:val="14"/>
                <w:szCs w:val="32"/>
              </w:rPr>
            </w:pPr>
          </w:p>
        </w:tc>
      </w:tr>
      <w:tr w:rsidR="00882081" w:rsidRPr="0022505B" w:rsidTr="00882081">
        <w:trPr>
          <w:trHeight w:val="201"/>
        </w:trPr>
        <w:tc>
          <w:tcPr>
            <w:tcW w:w="12333" w:type="dxa"/>
            <w:gridSpan w:val="2"/>
            <w:shd w:val="clear" w:color="auto" w:fill="auto"/>
            <w:vAlign w:val="center"/>
          </w:tcPr>
          <w:p w:rsidR="00882081" w:rsidRPr="00613C02" w:rsidRDefault="00882081" w:rsidP="00882081">
            <w:pPr>
              <w:spacing w:after="0"/>
              <w:jc w:val="center"/>
              <w:rPr>
                <w:rFonts w:cstheme="minorHAnsi"/>
                <w:color w:val="000000" w:themeColor="text1"/>
                <w:sz w:val="32"/>
                <w:szCs w:val="32"/>
              </w:rPr>
            </w:pPr>
            <w:r>
              <w:rPr>
                <w:rFonts w:cstheme="minorHAnsi"/>
                <w:color w:val="000000" w:themeColor="text1"/>
                <w:sz w:val="32"/>
                <w:szCs w:val="32"/>
              </w:rPr>
              <w:t>GLOSARIO</w:t>
            </w:r>
            <w:r w:rsidR="00B319D9">
              <w:rPr>
                <w:rFonts w:cstheme="minorHAnsi"/>
                <w:color w:val="000000" w:themeColor="text1"/>
                <w:sz w:val="32"/>
                <w:szCs w:val="32"/>
              </w:rPr>
              <w:t xml:space="preserve"> DE ACRÓNIMOS</w:t>
            </w:r>
          </w:p>
        </w:tc>
      </w:tr>
      <w:tr w:rsidR="00882081" w:rsidRPr="0022505B" w:rsidTr="004D6536">
        <w:trPr>
          <w:trHeight w:val="201"/>
        </w:trPr>
        <w:tc>
          <w:tcPr>
            <w:tcW w:w="4820" w:type="dxa"/>
            <w:shd w:val="clear" w:color="auto" w:fill="1F3864" w:themeFill="accent5" w:themeFillShade="80"/>
          </w:tcPr>
          <w:p w:rsidR="00882081" w:rsidRPr="0022505B" w:rsidRDefault="00882081" w:rsidP="004D6536">
            <w:pPr>
              <w:rPr>
                <w:rFonts w:cstheme="minorHAnsi"/>
                <w:color w:val="FFFFFF" w:themeColor="background1"/>
                <w:sz w:val="12"/>
                <w:szCs w:val="32"/>
              </w:rPr>
            </w:pPr>
          </w:p>
        </w:tc>
        <w:tc>
          <w:tcPr>
            <w:tcW w:w="7513" w:type="dxa"/>
            <w:shd w:val="clear" w:color="auto" w:fill="0079BF"/>
          </w:tcPr>
          <w:p w:rsidR="00882081" w:rsidRPr="0022505B" w:rsidRDefault="00882081" w:rsidP="004D6536">
            <w:pPr>
              <w:rPr>
                <w:rFonts w:cstheme="minorHAnsi"/>
                <w:color w:val="FFFFFF" w:themeColor="background1"/>
                <w:sz w:val="12"/>
                <w:szCs w:val="32"/>
              </w:rPr>
            </w:pPr>
          </w:p>
        </w:tc>
      </w:tr>
    </w:tbl>
    <w:p w:rsidR="00882081" w:rsidRDefault="00882081" w:rsidP="00E61E5D"/>
    <w:tbl>
      <w:tblPr>
        <w:tblW w:w="1006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4078A5" w:rsidRPr="004078A5" w:rsidTr="004078A5">
        <w:trPr>
          <w:trHeight w:val="20"/>
          <w:tblHeader/>
        </w:trPr>
        <w:tc>
          <w:tcPr>
            <w:tcW w:w="1555" w:type="dxa"/>
            <w:shd w:val="clear" w:color="auto" w:fill="1F3864" w:themeFill="accent5" w:themeFillShade="80"/>
            <w:noWrap/>
            <w:vAlign w:val="center"/>
            <w:hideMark/>
          </w:tcPr>
          <w:p w:rsidR="004078A5" w:rsidRPr="00C06035" w:rsidRDefault="004078A5" w:rsidP="004078A5">
            <w:pPr>
              <w:spacing w:after="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Acrónimo</w:t>
            </w:r>
            <w:proofErr w:type="spellEnd"/>
          </w:p>
        </w:tc>
        <w:tc>
          <w:tcPr>
            <w:tcW w:w="8510" w:type="dxa"/>
            <w:shd w:val="clear" w:color="auto" w:fill="1F3864" w:themeFill="accent5" w:themeFillShade="80"/>
            <w:noWrap/>
            <w:vAlign w:val="center"/>
            <w:hideMark/>
          </w:tcPr>
          <w:p w:rsidR="004078A5" w:rsidRPr="00C06035" w:rsidRDefault="004078A5" w:rsidP="004078A5">
            <w:pPr>
              <w:spacing w:before="60" w:after="6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Programa</w:t>
            </w:r>
            <w:proofErr w:type="spellEnd"/>
            <w:r w:rsidRPr="00C06035">
              <w:rPr>
                <w:rFonts w:ascii="Century Gothic" w:eastAsia="Times New Roman" w:hAnsi="Century Gothic" w:cs="Calibri"/>
                <w:b/>
                <w:color w:val="FFFFFF" w:themeColor="background1"/>
                <w:sz w:val="17"/>
                <w:szCs w:val="17"/>
                <w:lang w:val="en-US"/>
              </w:rPr>
              <w:t xml:space="preserve"> de </w:t>
            </w:r>
            <w:proofErr w:type="spellStart"/>
            <w:r w:rsidRPr="00C06035">
              <w:rPr>
                <w:rFonts w:ascii="Century Gothic" w:eastAsia="Times New Roman" w:hAnsi="Century Gothic" w:cs="Calibri"/>
                <w:b/>
                <w:color w:val="FFFFFF" w:themeColor="background1"/>
                <w:sz w:val="17"/>
                <w:szCs w:val="17"/>
                <w:lang w:val="en-US"/>
              </w:rPr>
              <w:t>información</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BIARE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Bienestar</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Autorrepo</w:t>
            </w:r>
            <w:r w:rsidR="00C95504">
              <w:rPr>
                <w:rFonts w:ascii="Century Gothic" w:eastAsia="Times New Roman" w:hAnsi="Century Gothic" w:cs="Calibri"/>
                <w:color w:val="000000"/>
                <w:sz w:val="17"/>
                <w:szCs w:val="17"/>
                <w:lang w:val="en-US"/>
              </w:rPr>
              <w:t>r</w:t>
            </w:r>
            <w:r w:rsidRPr="00C06035">
              <w:rPr>
                <w:rFonts w:ascii="Century Gothic" w:eastAsia="Times New Roman" w:hAnsi="Century Gothic" w:cs="Calibri"/>
                <w:color w:val="000000"/>
                <w:sz w:val="17"/>
                <w:szCs w:val="17"/>
                <w:lang w:val="en-US"/>
              </w:rPr>
              <w:t>tado</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CSSSM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Cuenta Satélite del Sector Salud de México</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Anual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comercio</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EAEC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Empresas Constructoras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EAIM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la Industria Manufacturera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EASPNF</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Servicios Privados no financieros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EAT</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Anual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Transportes</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EAVMC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Vehículos de Motor Registrados en Circulación (Anual)</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EDER</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Demográfica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Retrospectiva</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EFIPEM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Finanzas Públicas Estatales y Municipales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EMEC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Sobre Empresas Comerciales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EMIM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la Industria Manufacturera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EMOE COM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Comercio]</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EMOE CONS</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Construcción]</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 MAN</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Manufactura]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 SER</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Servicios]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EMS</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Mensual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servicios</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 xml:space="preserve">ENADID </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la Dinámica Demográfica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ENAFIN</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Financiamiento de las Empresas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ENAPROCE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Productividad y Competitividad de las Empresas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ENASJUP</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Adolescentes en el Sistema de Justicia Penal</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ENCO</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Confianza del Consumidor</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ENDUTIH</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Disponibilidad y uso de Tecnologías en los Hogares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ENEC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Empresas Constructoras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ENH</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los Hogares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ENIF</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Inclusión Financiera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ENIGH</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Ingresos y Gastos de los Hogares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ENOE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Ocupación y Empleo (ENOE), población de 15 años y más de edad</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ENSU</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Encuesta Nacional de Seguridad Pública Urbana </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ENVE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Victimización de Empresas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ENVIPE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Victimización y Percepción sobre Seguridad Pública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ERGNP</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Estaciones de la Red Geodésica Nacional Pasiva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ESGRM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Sacrificio de Ganado en Rastros Municipales (Anual)</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lastRenderedPageBreak/>
              <w:t>ESIDET</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Sobre Investigación y Desarrollo Tecnológico</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IIMM</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Indicadores de la industria </w:t>
            </w:r>
            <w:proofErr w:type="spellStart"/>
            <w:r w:rsidRPr="00C06035">
              <w:rPr>
                <w:rFonts w:ascii="Century Gothic" w:eastAsia="Times New Roman" w:hAnsi="Century Gothic" w:cs="Calibri"/>
                <w:color w:val="000000"/>
                <w:sz w:val="17"/>
                <w:szCs w:val="17"/>
              </w:rPr>
              <w:t>Minerometalúrgica</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MODECULT</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Eventos Culturales Seleccionados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MOHOMA</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Hogares y Medio Ambiente</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MOLEC</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Módulo</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Lectura</w:t>
            </w:r>
            <w:proofErr w:type="spellEnd"/>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MOPRADEF</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Práctica Deportiva y Ejercicio Físico</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PEEXP</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Perfil de Empresas Exportadoras</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PIBE</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Producto Interno Bruto por Entidad Federativa</w:t>
            </w:r>
          </w:p>
        </w:tc>
      </w:tr>
      <w:tr w:rsidR="004078A5" w:rsidRPr="004078A5" w:rsidTr="004078A5">
        <w:trPr>
          <w:trHeight w:val="20"/>
        </w:trPr>
        <w:tc>
          <w:tcPr>
            <w:tcW w:w="1555" w:type="dxa"/>
            <w:shd w:val="clear" w:color="auto" w:fill="auto"/>
            <w:noWrap/>
            <w:vAlign w:val="center"/>
            <w:hideMark/>
          </w:tcPr>
          <w:p w:rsidR="004078A5" w:rsidRPr="00C06035" w:rsidRDefault="004078A5" w:rsidP="004078A5">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PIMMEX</w:t>
            </w:r>
          </w:p>
        </w:tc>
        <w:tc>
          <w:tcPr>
            <w:tcW w:w="8510" w:type="dxa"/>
            <w:shd w:val="clear" w:color="auto" w:fill="auto"/>
            <w:noWrap/>
            <w:vAlign w:val="center"/>
            <w:hideMark/>
          </w:tcPr>
          <w:p w:rsidR="004078A5" w:rsidRPr="00C06035" w:rsidRDefault="004078A5" w:rsidP="004078A5">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Indicadores de Establecimiento con Programa IMMEX</w:t>
            </w:r>
          </w:p>
        </w:tc>
      </w:tr>
    </w:tbl>
    <w:p w:rsidR="00882081" w:rsidRDefault="00882081" w:rsidP="00E61E5D"/>
    <w:tbl>
      <w:tblPr>
        <w:tblW w:w="1006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DE375A" w:rsidRPr="004078A5" w:rsidTr="00DE375A">
        <w:trPr>
          <w:trHeight w:val="20"/>
          <w:tblHeader/>
        </w:trPr>
        <w:tc>
          <w:tcPr>
            <w:tcW w:w="1271" w:type="dxa"/>
            <w:shd w:val="clear" w:color="auto" w:fill="1F3864" w:themeFill="accent5" w:themeFillShade="80"/>
            <w:noWrap/>
            <w:vAlign w:val="center"/>
            <w:hideMark/>
          </w:tcPr>
          <w:p w:rsidR="00DE375A" w:rsidRPr="00C06035" w:rsidRDefault="00DE375A" w:rsidP="000704F7">
            <w:pPr>
              <w:spacing w:after="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Acrónimo</w:t>
            </w:r>
            <w:proofErr w:type="spellEnd"/>
          </w:p>
        </w:tc>
        <w:tc>
          <w:tcPr>
            <w:tcW w:w="8794" w:type="dxa"/>
            <w:shd w:val="clear" w:color="auto" w:fill="1F3864" w:themeFill="accent5" w:themeFillShade="80"/>
            <w:noWrap/>
            <w:vAlign w:val="center"/>
            <w:hideMark/>
          </w:tcPr>
          <w:p w:rsidR="00DE375A" w:rsidRPr="00C06035" w:rsidRDefault="00DE375A" w:rsidP="000704F7">
            <w:pPr>
              <w:spacing w:before="60" w:after="6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Unidad</w:t>
            </w:r>
            <w:proofErr w:type="spellEnd"/>
            <w:r w:rsidRPr="00C06035">
              <w:rPr>
                <w:rFonts w:ascii="Century Gothic" w:eastAsia="Times New Roman" w:hAnsi="Century Gothic" w:cs="Calibri"/>
                <w:b/>
                <w:color w:val="FFFFFF" w:themeColor="background1"/>
                <w:sz w:val="17"/>
                <w:szCs w:val="17"/>
                <w:lang w:val="en-US"/>
              </w:rPr>
              <w:t xml:space="preserve"> </w:t>
            </w:r>
            <w:proofErr w:type="spellStart"/>
            <w:r w:rsidRPr="00C06035">
              <w:rPr>
                <w:rFonts w:ascii="Century Gothic" w:eastAsia="Times New Roman" w:hAnsi="Century Gothic" w:cs="Calibri"/>
                <w:b/>
                <w:color w:val="FFFFFF" w:themeColor="background1"/>
                <w:sz w:val="17"/>
                <w:szCs w:val="17"/>
                <w:lang w:val="en-US"/>
              </w:rPr>
              <w:t>Administrativa</w:t>
            </w:r>
            <w:proofErr w:type="spellEnd"/>
            <w:r w:rsidRPr="00C06035">
              <w:rPr>
                <w:rFonts w:ascii="Century Gothic" w:eastAsia="Times New Roman" w:hAnsi="Century Gothic" w:cs="Calibri"/>
                <w:b/>
                <w:color w:val="FFFFFF" w:themeColor="background1"/>
                <w:sz w:val="17"/>
                <w:szCs w:val="17"/>
                <w:lang w:val="en-US"/>
              </w:rPr>
              <w:t xml:space="preserve"> (UA)</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lang w:val="en-US"/>
              </w:rPr>
            </w:pPr>
            <w:r w:rsidRPr="00C06035">
              <w:rPr>
                <w:rFonts w:ascii="Century Gothic" w:hAnsi="Century Gothic" w:cs="Calibri"/>
                <w:color w:val="000000"/>
                <w:sz w:val="17"/>
                <w:szCs w:val="17"/>
              </w:rPr>
              <w:t>CGAJ</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Asuntos Jurídicos</w:t>
            </w:r>
          </w:p>
        </w:tc>
      </w:tr>
      <w:tr w:rsidR="00DE375A" w:rsidRPr="004078A5"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CGI</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Informática</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CGOR</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Operación Regional</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DGA</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Administración</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DGCSNIEG</w:t>
            </w:r>
          </w:p>
        </w:tc>
        <w:tc>
          <w:tcPr>
            <w:tcW w:w="8794" w:type="dxa"/>
            <w:shd w:val="clear" w:color="auto" w:fill="auto"/>
            <w:noWrap/>
            <w:vAlign w:val="center"/>
          </w:tcPr>
          <w:p w:rsidR="00DE375A" w:rsidRPr="00C06035" w:rsidRDefault="00DE375A" w:rsidP="00C95504">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Coordinación del Sistema Nacional de Información Estadística y Geográfica</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DGCSPIRI</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Comunicación, Servicio Público de Información y Relaciones Institucionales</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DGEE</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Estadísticas Económicas</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DGEGSPJ</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 xml:space="preserve">Dirección General de Estadísticas de Gobierno, </w:t>
            </w:r>
            <w:r w:rsidR="00C95504" w:rsidRPr="00C06035">
              <w:rPr>
                <w:rFonts w:ascii="Century Gothic" w:hAnsi="Century Gothic" w:cs="Calibri"/>
                <w:color w:val="000000"/>
                <w:sz w:val="17"/>
                <w:szCs w:val="17"/>
              </w:rPr>
              <w:t>Seguridad</w:t>
            </w:r>
            <w:r w:rsidRPr="00C06035">
              <w:rPr>
                <w:rFonts w:ascii="Century Gothic" w:hAnsi="Century Gothic" w:cs="Calibri"/>
                <w:color w:val="000000"/>
                <w:sz w:val="17"/>
                <w:szCs w:val="17"/>
              </w:rPr>
              <w:t xml:space="preserve"> Pública y Justicia</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DGES</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Estadísticas Sociodemográficas</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DGGMA</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Geografía y Medio Ambiente</w:t>
            </w:r>
          </w:p>
        </w:tc>
      </w:tr>
      <w:tr w:rsidR="00DE375A" w:rsidRPr="00DE375A" w:rsidTr="00DE375A">
        <w:trPr>
          <w:trHeight w:val="20"/>
        </w:trPr>
        <w:tc>
          <w:tcPr>
            <w:tcW w:w="1271" w:type="dxa"/>
            <w:shd w:val="clear" w:color="auto" w:fill="auto"/>
            <w:noWrap/>
            <w:vAlign w:val="center"/>
          </w:tcPr>
          <w:p w:rsidR="00DE375A" w:rsidRPr="00C06035" w:rsidRDefault="00DE375A" w:rsidP="00DE375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DGIAI</w:t>
            </w:r>
          </w:p>
        </w:tc>
        <w:tc>
          <w:tcPr>
            <w:tcW w:w="8794" w:type="dxa"/>
            <w:shd w:val="clear" w:color="auto" w:fill="auto"/>
            <w:noWrap/>
            <w:vAlign w:val="center"/>
          </w:tcPr>
          <w:p w:rsidR="00DE375A" w:rsidRPr="00C06035" w:rsidRDefault="00DE375A" w:rsidP="00DE375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Integración, Análisis e Investigación</w:t>
            </w:r>
          </w:p>
        </w:tc>
      </w:tr>
    </w:tbl>
    <w:p w:rsidR="00E61E5D" w:rsidRPr="00D10FAA" w:rsidRDefault="00E61E5D" w:rsidP="00E61E5D">
      <w:pPr>
        <w:spacing w:after="120"/>
        <w:rPr>
          <w:rFonts w:ascii="Century Gothic" w:hAnsi="Century Gothic"/>
          <w:sz w:val="19"/>
          <w:szCs w:val="19"/>
        </w:rPr>
      </w:pPr>
    </w:p>
    <w:sectPr w:rsidR="00E61E5D" w:rsidRPr="00D10FAA" w:rsidSect="00E34F82">
      <w:pgSz w:w="12240" w:h="15840"/>
      <w:pgMar w:top="851"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587" w:rsidRDefault="00C12587" w:rsidP="000331FF">
      <w:pPr>
        <w:spacing w:after="0" w:line="240" w:lineRule="auto"/>
      </w:pPr>
      <w:r>
        <w:separator/>
      </w:r>
    </w:p>
  </w:endnote>
  <w:endnote w:type="continuationSeparator" w:id="0">
    <w:p w:rsidR="00C12587" w:rsidRDefault="00C12587" w:rsidP="0003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069945"/>
      <w:docPartObj>
        <w:docPartGallery w:val="Page Numbers (Bottom of Page)"/>
        <w:docPartUnique/>
      </w:docPartObj>
    </w:sdtPr>
    <w:sdtEndPr/>
    <w:sdtContent>
      <w:p w:rsidR="000C2B4E" w:rsidRDefault="000C2B4E">
        <w:pPr>
          <w:pStyle w:val="Piedepgina"/>
          <w:jc w:val="right"/>
        </w:pPr>
        <w:r>
          <w:fldChar w:fldCharType="begin"/>
        </w:r>
        <w:r>
          <w:instrText>PAGE   \* MERGEFORMAT</w:instrText>
        </w:r>
        <w:r>
          <w:fldChar w:fldCharType="separate"/>
        </w:r>
        <w:r w:rsidR="00E961F0" w:rsidRPr="00E961F0">
          <w:rPr>
            <w:noProof/>
            <w:lang w:val="es-ES"/>
          </w:rPr>
          <w:t>53</w:t>
        </w:r>
        <w:r>
          <w:fldChar w:fldCharType="end"/>
        </w:r>
      </w:p>
    </w:sdtContent>
  </w:sdt>
  <w:p w:rsidR="000C2B4E" w:rsidRDefault="000C2B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587" w:rsidRDefault="00C12587" w:rsidP="000331FF">
      <w:pPr>
        <w:spacing w:after="0" w:line="240" w:lineRule="auto"/>
      </w:pPr>
      <w:r>
        <w:separator/>
      </w:r>
    </w:p>
  </w:footnote>
  <w:footnote w:type="continuationSeparator" w:id="0">
    <w:p w:rsidR="00C12587" w:rsidRDefault="00C12587" w:rsidP="000331FF">
      <w:pPr>
        <w:spacing w:after="0" w:line="240" w:lineRule="auto"/>
      </w:pPr>
      <w:r>
        <w:continuationSeparator/>
      </w:r>
    </w:p>
  </w:footnote>
  <w:footnote w:id="1">
    <w:p w:rsidR="000C2B4E" w:rsidRPr="008700F6" w:rsidRDefault="000C2B4E" w:rsidP="009D4F27">
      <w:pPr>
        <w:pStyle w:val="Textonotapie"/>
        <w:rPr>
          <w:rFonts w:ascii="Century Gothic" w:hAnsi="Century Gothic"/>
          <w:sz w:val="15"/>
          <w:szCs w:val="15"/>
        </w:rPr>
      </w:pPr>
      <w:r>
        <w:rPr>
          <w:rStyle w:val="Refdenotaalpie"/>
        </w:rPr>
        <w:footnoteRef/>
      </w:r>
      <w:r>
        <w:t xml:space="preserve"> </w:t>
      </w:r>
      <w:r w:rsidRPr="008700F6">
        <w:rPr>
          <w:rFonts w:ascii="Century Gothic" w:hAnsi="Century Gothic"/>
          <w:sz w:val="15"/>
          <w:szCs w:val="15"/>
        </w:rPr>
        <w:t xml:space="preserve">http://sc.inegi.org.mx/repositorioNormateca/Pcal.pdf </w:t>
      </w:r>
    </w:p>
  </w:footnote>
  <w:footnote w:id="2">
    <w:p w:rsidR="000C2B4E" w:rsidRPr="008700F6" w:rsidRDefault="000C2B4E">
      <w:pPr>
        <w:pStyle w:val="Textonotapie"/>
        <w:rPr>
          <w:rFonts w:ascii="Century Gothic" w:hAnsi="Century Gothic"/>
          <w:sz w:val="15"/>
          <w:szCs w:val="15"/>
        </w:rPr>
      </w:pPr>
      <w:r w:rsidRPr="008700F6">
        <w:rPr>
          <w:rStyle w:val="Refdenotaalpie"/>
          <w:rFonts w:ascii="Century Gothic" w:hAnsi="Century Gothic"/>
          <w:sz w:val="15"/>
          <w:szCs w:val="15"/>
        </w:rPr>
        <w:footnoteRef/>
      </w:r>
      <w:r w:rsidRPr="008700F6">
        <w:rPr>
          <w:rFonts w:ascii="Century Gothic" w:hAnsi="Century Gothic"/>
          <w:sz w:val="15"/>
          <w:szCs w:val="15"/>
        </w:rPr>
        <w:t xml:space="preserve"> http://sc.inegi.org.mx/repositorioNormateca/NCA09Feb15.pdf</w:t>
      </w:r>
    </w:p>
  </w:footnote>
  <w:footnote w:id="3">
    <w:p w:rsidR="000C2B4E" w:rsidRPr="008700F6" w:rsidRDefault="000C2B4E">
      <w:pPr>
        <w:pStyle w:val="Textonotapie"/>
        <w:rPr>
          <w:rFonts w:ascii="Century Gothic" w:hAnsi="Century Gothic"/>
          <w:sz w:val="15"/>
          <w:szCs w:val="15"/>
        </w:rPr>
      </w:pPr>
      <w:r w:rsidRPr="008700F6">
        <w:rPr>
          <w:rStyle w:val="Refdenotaalpie"/>
          <w:rFonts w:ascii="Century Gothic" w:hAnsi="Century Gothic"/>
          <w:sz w:val="15"/>
          <w:szCs w:val="15"/>
        </w:rPr>
        <w:footnoteRef/>
      </w:r>
      <w:r w:rsidRPr="008700F6">
        <w:rPr>
          <w:rFonts w:ascii="Century Gothic" w:hAnsi="Century Gothic"/>
          <w:sz w:val="15"/>
          <w:szCs w:val="15"/>
        </w:rPr>
        <w:t xml:space="preserve"> https://unstats.un.org/unsd/methodology/dataquality/</w:t>
      </w:r>
    </w:p>
  </w:footnote>
  <w:footnote w:id="4">
    <w:p w:rsidR="000C2B4E" w:rsidRPr="008700F6" w:rsidRDefault="000C2B4E">
      <w:pPr>
        <w:pStyle w:val="Textonotapie"/>
        <w:rPr>
          <w:rFonts w:ascii="Century Gothic" w:hAnsi="Century Gothic"/>
          <w:sz w:val="15"/>
          <w:szCs w:val="15"/>
        </w:rPr>
      </w:pPr>
      <w:r w:rsidRPr="008700F6">
        <w:rPr>
          <w:rStyle w:val="Refdenotaalpie"/>
          <w:rFonts w:ascii="Century Gothic" w:hAnsi="Century Gothic"/>
          <w:sz w:val="15"/>
          <w:szCs w:val="15"/>
        </w:rPr>
        <w:footnoteRef/>
      </w:r>
      <w:r w:rsidRPr="008700F6">
        <w:rPr>
          <w:rFonts w:ascii="Century Gothic" w:hAnsi="Century Gothic"/>
          <w:sz w:val="15"/>
          <w:szCs w:val="15"/>
        </w:rPr>
        <w:t xml:space="preserve"> http://www.oecd.org/statistics/good-practice-toolkit/</w:t>
      </w:r>
    </w:p>
  </w:footnote>
  <w:footnote w:id="5">
    <w:p w:rsidR="000C2B4E" w:rsidRPr="008700F6" w:rsidRDefault="000C2B4E">
      <w:pPr>
        <w:pStyle w:val="Textonotapie"/>
        <w:rPr>
          <w:rFonts w:ascii="Century Gothic" w:hAnsi="Century Gothic"/>
          <w:sz w:val="15"/>
          <w:szCs w:val="15"/>
        </w:rPr>
      </w:pPr>
      <w:r w:rsidRPr="008700F6">
        <w:rPr>
          <w:rStyle w:val="Refdenotaalpie"/>
          <w:rFonts w:ascii="Century Gothic" w:hAnsi="Century Gothic"/>
          <w:sz w:val="15"/>
          <w:szCs w:val="15"/>
        </w:rPr>
        <w:footnoteRef/>
      </w:r>
      <w:r w:rsidRPr="008700F6">
        <w:rPr>
          <w:rFonts w:ascii="Century Gothic" w:hAnsi="Century Gothic"/>
          <w:sz w:val="15"/>
          <w:szCs w:val="15"/>
        </w:rPr>
        <w:t xml:space="preserve"> https://ec.europa.eu/eurostat/web/quality</w:t>
      </w:r>
    </w:p>
  </w:footnote>
  <w:footnote w:id="6">
    <w:p w:rsidR="000C2B4E" w:rsidRPr="008700F6" w:rsidRDefault="000C2B4E">
      <w:pPr>
        <w:pStyle w:val="Textonotapie"/>
        <w:rPr>
          <w:rFonts w:ascii="Century Gothic" w:hAnsi="Century Gothic"/>
          <w:sz w:val="15"/>
          <w:szCs w:val="15"/>
        </w:rPr>
      </w:pPr>
      <w:r w:rsidRPr="008700F6">
        <w:rPr>
          <w:rStyle w:val="Refdenotaalpie"/>
          <w:rFonts w:ascii="Century Gothic" w:hAnsi="Century Gothic"/>
          <w:sz w:val="15"/>
          <w:szCs w:val="15"/>
        </w:rPr>
        <w:footnoteRef/>
      </w:r>
      <w:r w:rsidRPr="008700F6">
        <w:rPr>
          <w:rFonts w:ascii="Century Gothic" w:hAnsi="Century Gothic"/>
          <w:sz w:val="15"/>
          <w:szCs w:val="15"/>
        </w:rPr>
        <w:t xml:space="preserve"> http://intranet.inegi.org.mx/calidad/wp-content/uploads/2017/03/PAACI-2019.pdf</w:t>
      </w:r>
    </w:p>
  </w:footnote>
  <w:footnote w:id="7">
    <w:p w:rsidR="000C2B4E" w:rsidRPr="00316762" w:rsidRDefault="000C2B4E" w:rsidP="0052352E">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https://www.snieg.mx/contenidos/espanol/programas/PESNIEG_2016-2040.pdf</w:t>
      </w:r>
    </w:p>
  </w:footnote>
  <w:footnote w:id="8">
    <w:p w:rsidR="000C2B4E" w:rsidRPr="00316762" w:rsidRDefault="000C2B4E">
      <w:pPr>
        <w:pStyle w:val="Textonotapie"/>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http://intranet.inegi.org.mx/calidad/wp-content/uploads/2017/03/PAACI-2019.pdf</w:t>
      </w:r>
    </w:p>
  </w:footnote>
  <w:footnote w:id="9">
    <w:p w:rsidR="000C2B4E" w:rsidRDefault="000C2B4E" w:rsidP="00176D97">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10">
    <w:p w:rsidR="000C2B4E" w:rsidRPr="00316762" w:rsidRDefault="000C2B4E">
      <w:pPr>
        <w:pStyle w:val="Textonotapie"/>
        <w:rPr>
          <w:rFonts w:ascii="Century Gothic" w:hAnsi="Century Gothic"/>
          <w:sz w:val="15"/>
          <w:szCs w:val="15"/>
        </w:rPr>
      </w:pPr>
      <w:r>
        <w:rPr>
          <w:rStyle w:val="Refdenotaalpie"/>
        </w:rPr>
        <w:footnoteRef/>
      </w:r>
      <w:r>
        <w:t xml:space="preserve"> </w:t>
      </w:r>
      <w:r>
        <w:rPr>
          <w:rFonts w:ascii="Century Gothic" w:hAnsi="Century Gothic"/>
          <w:sz w:val="15"/>
          <w:szCs w:val="15"/>
        </w:rPr>
        <w:t>Los indicadores fueron aprobados en distintos años, por lo que las definiciones y universos de medición son distintos, es necesaria una revisión de las fichas para homologar los conceptos</w:t>
      </w:r>
      <w:r w:rsidRPr="00316762">
        <w:rPr>
          <w:rFonts w:ascii="Century Gothic" w:hAnsi="Century Gothic"/>
          <w:sz w:val="15"/>
          <w:szCs w:val="15"/>
        </w:rPr>
        <w:t>.</w:t>
      </w:r>
    </w:p>
  </w:footnote>
  <w:footnote w:id="11">
    <w:p w:rsidR="000C2B4E" w:rsidRPr="00316762" w:rsidRDefault="000C2B4E">
      <w:pPr>
        <w:pStyle w:val="Textonotapie"/>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http://intranet.inegi.org.mx/calidad/indicadores-de-calidad-y-evaluaciones/</w:t>
      </w:r>
    </w:p>
  </w:footnote>
  <w:footnote w:id="12">
    <w:p w:rsidR="000C2B4E" w:rsidRPr="00316762" w:rsidRDefault="000C2B4E" w:rsidP="00283E9B">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La matriz de apoyo es la Matriz de Parámetros de Oportunidad, ésta contiene los parámetros de oportunidad identificados por las áreas generadoras que sirven de insumo para el cálculo de los indicadores de oportunidad.</w:t>
      </w:r>
    </w:p>
  </w:footnote>
  <w:footnote w:id="13">
    <w:p w:rsidR="000C2B4E" w:rsidRPr="00316762" w:rsidRDefault="000C2B4E" w:rsidP="00283E9B">
      <w:pPr>
        <w:pStyle w:val="Textonotapie"/>
        <w:jc w:val="both"/>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Entre las razones para este último rubro se encuentra el que el producto generado por el Instituto sea nuevo (pionero) a nivel internacional, se trate de un producto experimental, no tenga la misma metodología que el referente internacional, no sea estrictamente comparable por características de cobertura o desagregación o no se identificó un estándar.</w:t>
      </w:r>
    </w:p>
  </w:footnote>
  <w:footnote w:id="14">
    <w:p w:rsidR="000C2B4E" w:rsidRPr="00316762" w:rsidRDefault="000C2B4E" w:rsidP="00362B20">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Como se puede observar, las encuestas económicas que aparecen son las que tienen los dominios no probabilísticos. Por otro lado, se refleja los mayores niveles de desagregación de estas encuestas necesarios para el Sistema de Cuentas Nacionales de México.</w:t>
      </w:r>
    </w:p>
    <w:p w:rsidR="000C2B4E" w:rsidRDefault="000C2B4E" w:rsidP="00362B20">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41EBC"/>
    <w:multiLevelType w:val="multilevel"/>
    <w:tmpl w:val="87F2F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C7303"/>
    <w:multiLevelType w:val="hybridMultilevel"/>
    <w:tmpl w:val="F4CE2B04"/>
    <w:lvl w:ilvl="0" w:tplc="83D883D6">
      <w:start w:val="1"/>
      <w:numFmt w:val="bullet"/>
      <w:lvlText w:val="•"/>
      <w:lvlJc w:val="left"/>
      <w:pPr>
        <w:tabs>
          <w:tab w:val="num" w:pos="720"/>
        </w:tabs>
        <w:ind w:left="720" w:hanging="360"/>
      </w:pPr>
      <w:rPr>
        <w:rFonts w:ascii="Arial" w:hAnsi="Arial" w:hint="default"/>
      </w:rPr>
    </w:lvl>
    <w:lvl w:ilvl="1" w:tplc="1B726D54">
      <w:start w:val="1"/>
      <w:numFmt w:val="bullet"/>
      <w:lvlText w:val="•"/>
      <w:lvlJc w:val="left"/>
      <w:pPr>
        <w:tabs>
          <w:tab w:val="num" w:pos="1440"/>
        </w:tabs>
        <w:ind w:left="1440" w:hanging="360"/>
      </w:pPr>
      <w:rPr>
        <w:rFonts w:ascii="Arial" w:hAnsi="Arial" w:hint="default"/>
      </w:rPr>
    </w:lvl>
    <w:lvl w:ilvl="2" w:tplc="8876A578" w:tentative="1">
      <w:start w:val="1"/>
      <w:numFmt w:val="bullet"/>
      <w:lvlText w:val="•"/>
      <w:lvlJc w:val="left"/>
      <w:pPr>
        <w:tabs>
          <w:tab w:val="num" w:pos="2160"/>
        </w:tabs>
        <w:ind w:left="2160" w:hanging="360"/>
      </w:pPr>
      <w:rPr>
        <w:rFonts w:ascii="Arial" w:hAnsi="Arial" w:hint="default"/>
      </w:rPr>
    </w:lvl>
    <w:lvl w:ilvl="3" w:tplc="57141BE4" w:tentative="1">
      <w:start w:val="1"/>
      <w:numFmt w:val="bullet"/>
      <w:lvlText w:val="•"/>
      <w:lvlJc w:val="left"/>
      <w:pPr>
        <w:tabs>
          <w:tab w:val="num" w:pos="2880"/>
        </w:tabs>
        <w:ind w:left="2880" w:hanging="360"/>
      </w:pPr>
      <w:rPr>
        <w:rFonts w:ascii="Arial" w:hAnsi="Arial" w:hint="default"/>
      </w:rPr>
    </w:lvl>
    <w:lvl w:ilvl="4" w:tplc="724EB402" w:tentative="1">
      <w:start w:val="1"/>
      <w:numFmt w:val="bullet"/>
      <w:lvlText w:val="•"/>
      <w:lvlJc w:val="left"/>
      <w:pPr>
        <w:tabs>
          <w:tab w:val="num" w:pos="3600"/>
        </w:tabs>
        <w:ind w:left="3600" w:hanging="360"/>
      </w:pPr>
      <w:rPr>
        <w:rFonts w:ascii="Arial" w:hAnsi="Arial" w:hint="default"/>
      </w:rPr>
    </w:lvl>
    <w:lvl w:ilvl="5" w:tplc="257C63E4" w:tentative="1">
      <w:start w:val="1"/>
      <w:numFmt w:val="bullet"/>
      <w:lvlText w:val="•"/>
      <w:lvlJc w:val="left"/>
      <w:pPr>
        <w:tabs>
          <w:tab w:val="num" w:pos="4320"/>
        </w:tabs>
        <w:ind w:left="4320" w:hanging="360"/>
      </w:pPr>
      <w:rPr>
        <w:rFonts w:ascii="Arial" w:hAnsi="Arial" w:hint="default"/>
      </w:rPr>
    </w:lvl>
    <w:lvl w:ilvl="6" w:tplc="7D3E10C6" w:tentative="1">
      <w:start w:val="1"/>
      <w:numFmt w:val="bullet"/>
      <w:lvlText w:val="•"/>
      <w:lvlJc w:val="left"/>
      <w:pPr>
        <w:tabs>
          <w:tab w:val="num" w:pos="5040"/>
        </w:tabs>
        <w:ind w:left="5040" w:hanging="360"/>
      </w:pPr>
      <w:rPr>
        <w:rFonts w:ascii="Arial" w:hAnsi="Arial" w:hint="default"/>
      </w:rPr>
    </w:lvl>
    <w:lvl w:ilvl="7" w:tplc="CF104B5C" w:tentative="1">
      <w:start w:val="1"/>
      <w:numFmt w:val="bullet"/>
      <w:lvlText w:val="•"/>
      <w:lvlJc w:val="left"/>
      <w:pPr>
        <w:tabs>
          <w:tab w:val="num" w:pos="5760"/>
        </w:tabs>
        <w:ind w:left="5760" w:hanging="360"/>
      </w:pPr>
      <w:rPr>
        <w:rFonts w:ascii="Arial" w:hAnsi="Arial" w:hint="default"/>
      </w:rPr>
    </w:lvl>
    <w:lvl w:ilvl="8" w:tplc="7930BF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2D4186"/>
    <w:multiLevelType w:val="hybridMultilevel"/>
    <w:tmpl w:val="CDA0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F5850"/>
    <w:multiLevelType w:val="hybridMultilevel"/>
    <w:tmpl w:val="8E3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8592F"/>
    <w:multiLevelType w:val="hybridMultilevel"/>
    <w:tmpl w:val="3A50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03F32"/>
    <w:multiLevelType w:val="hybridMultilevel"/>
    <w:tmpl w:val="6664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4566A"/>
    <w:multiLevelType w:val="multilevel"/>
    <w:tmpl w:val="E0AA6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7F20B4"/>
    <w:multiLevelType w:val="hybridMultilevel"/>
    <w:tmpl w:val="C144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71C7B"/>
    <w:multiLevelType w:val="hybridMultilevel"/>
    <w:tmpl w:val="FB627A2C"/>
    <w:lvl w:ilvl="0" w:tplc="F9BC3872">
      <w:start w:val="54"/>
      <w:numFmt w:val="bullet"/>
      <w:lvlText w:val="-"/>
      <w:lvlJc w:val="left"/>
      <w:pPr>
        <w:ind w:left="720" w:hanging="360"/>
      </w:pPr>
      <w:rPr>
        <w:rFonts w:ascii="Century Gothic" w:eastAsiaTheme="minorHAnsi" w:hAnsi="Century Gothic"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97787F"/>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D7689C"/>
    <w:multiLevelType w:val="hybridMultilevel"/>
    <w:tmpl w:val="90603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4A2253"/>
    <w:multiLevelType w:val="hybridMultilevel"/>
    <w:tmpl w:val="E5A6BF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C83E55"/>
    <w:multiLevelType w:val="hybridMultilevel"/>
    <w:tmpl w:val="E9F28206"/>
    <w:lvl w:ilvl="0" w:tplc="0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864FC"/>
    <w:multiLevelType w:val="hybridMultilevel"/>
    <w:tmpl w:val="B5FE5D60"/>
    <w:lvl w:ilvl="0" w:tplc="A9ACCA92">
      <w:start w:val="1"/>
      <w:numFmt w:val="bullet"/>
      <w:lvlText w:val="•"/>
      <w:lvlJc w:val="left"/>
      <w:pPr>
        <w:tabs>
          <w:tab w:val="num" w:pos="720"/>
        </w:tabs>
        <w:ind w:left="720" w:hanging="360"/>
      </w:pPr>
      <w:rPr>
        <w:rFonts w:ascii="Arial" w:hAnsi="Arial" w:hint="default"/>
      </w:rPr>
    </w:lvl>
    <w:lvl w:ilvl="1" w:tplc="C914C1BA">
      <w:start w:val="1"/>
      <w:numFmt w:val="bullet"/>
      <w:lvlText w:val="•"/>
      <w:lvlJc w:val="left"/>
      <w:pPr>
        <w:tabs>
          <w:tab w:val="num" w:pos="1440"/>
        </w:tabs>
        <w:ind w:left="1440" w:hanging="360"/>
      </w:pPr>
      <w:rPr>
        <w:rFonts w:ascii="Arial" w:hAnsi="Arial" w:hint="default"/>
      </w:rPr>
    </w:lvl>
    <w:lvl w:ilvl="2" w:tplc="8D7C3230" w:tentative="1">
      <w:start w:val="1"/>
      <w:numFmt w:val="bullet"/>
      <w:lvlText w:val="•"/>
      <w:lvlJc w:val="left"/>
      <w:pPr>
        <w:tabs>
          <w:tab w:val="num" w:pos="2160"/>
        </w:tabs>
        <w:ind w:left="2160" w:hanging="360"/>
      </w:pPr>
      <w:rPr>
        <w:rFonts w:ascii="Arial" w:hAnsi="Arial" w:hint="default"/>
      </w:rPr>
    </w:lvl>
    <w:lvl w:ilvl="3" w:tplc="ACF82F14" w:tentative="1">
      <w:start w:val="1"/>
      <w:numFmt w:val="bullet"/>
      <w:lvlText w:val="•"/>
      <w:lvlJc w:val="left"/>
      <w:pPr>
        <w:tabs>
          <w:tab w:val="num" w:pos="2880"/>
        </w:tabs>
        <w:ind w:left="2880" w:hanging="360"/>
      </w:pPr>
      <w:rPr>
        <w:rFonts w:ascii="Arial" w:hAnsi="Arial" w:hint="default"/>
      </w:rPr>
    </w:lvl>
    <w:lvl w:ilvl="4" w:tplc="5DC01ECC" w:tentative="1">
      <w:start w:val="1"/>
      <w:numFmt w:val="bullet"/>
      <w:lvlText w:val="•"/>
      <w:lvlJc w:val="left"/>
      <w:pPr>
        <w:tabs>
          <w:tab w:val="num" w:pos="3600"/>
        </w:tabs>
        <w:ind w:left="3600" w:hanging="360"/>
      </w:pPr>
      <w:rPr>
        <w:rFonts w:ascii="Arial" w:hAnsi="Arial" w:hint="default"/>
      </w:rPr>
    </w:lvl>
    <w:lvl w:ilvl="5" w:tplc="EAD4829C" w:tentative="1">
      <w:start w:val="1"/>
      <w:numFmt w:val="bullet"/>
      <w:lvlText w:val="•"/>
      <w:lvlJc w:val="left"/>
      <w:pPr>
        <w:tabs>
          <w:tab w:val="num" w:pos="4320"/>
        </w:tabs>
        <w:ind w:left="4320" w:hanging="360"/>
      </w:pPr>
      <w:rPr>
        <w:rFonts w:ascii="Arial" w:hAnsi="Arial" w:hint="default"/>
      </w:rPr>
    </w:lvl>
    <w:lvl w:ilvl="6" w:tplc="FFBC59C8" w:tentative="1">
      <w:start w:val="1"/>
      <w:numFmt w:val="bullet"/>
      <w:lvlText w:val="•"/>
      <w:lvlJc w:val="left"/>
      <w:pPr>
        <w:tabs>
          <w:tab w:val="num" w:pos="5040"/>
        </w:tabs>
        <w:ind w:left="5040" w:hanging="360"/>
      </w:pPr>
      <w:rPr>
        <w:rFonts w:ascii="Arial" w:hAnsi="Arial" w:hint="default"/>
      </w:rPr>
    </w:lvl>
    <w:lvl w:ilvl="7" w:tplc="E42AA94E" w:tentative="1">
      <w:start w:val="1"/>
      <w:numFmt w:val="bullet"/>
      <w:lvlText w:val="•"/>
      <w:lvlJc w:val="left"/>
      <w:pPr>
        <w:tabs>
          <w:tab w:val="num" w:pos="5760"/>
        </w:tabs>
        <w:ind w:left="5760" w:hanging="360"/>
      </w:pPr>
      <w:rPr>
        <w:rFonts w:ascii="Arial" w:hAnsi="Arial" w:hint="default"/>
      </w:rPr>
    </w:lvl>
    <w:lvl w:ilvl="8" w:tplc="93B86C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82B82"/>
    <w:multiLevelType w:val="hybridMultilevel"/>
    <w:tmpl w:val="598E26D8"/>
    <w:lvl w:ilvl="0" w:tplc="D1D69CBA">
      <w:start w:val="1"/>
      <w:numFmt w:val="decimal"/>
      <w:lvlText w:val="%1."/>
      <w:lvlJc w:val="left"/>
      <w:pPr>
        <w:ind w:left="592" w:hanging="45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2D746BBD"/>
    <w:multiLevelType w:val="hybridMultilevel"/>
    <w:tmpl w:val="CE1EF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7E6C54"/>
    <w:multiLevelType w:val="hybridMultilevel"/>
    <w:tmpl w:val="3B7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D200DA"/>
    <w:multiLevelType w:val="hybridMultilevel"/>
    <w:tmpl w:val="B41ABAF8"/>
    <w:lvl w:ilvl="0" w:tplc="080A0001">
      <w:start w:val="1"/>
      <w:numFmt w:val="bullet"/>
      <w:lvlText w:val=""/>
      <w:lvlJc w:val="left"/>
      <w:pPr>
        <w:ind w:left="360" w:hanging="360"/>
      </w:pPr>
      <w:rPr>
        <w:rFonts w:ascii="Symbol" w:hAnsi="Symbol" w:hint="default"/>
      </w:rPr>
    </w:lvl>
    <w:lvl w:ilvl="1" w:tplc="9F7CE3B2">
      <w:numFmt w:val="bullet"/>
      <w:lvlText w:val="-"/>
      <w:lvlJc w:val="left"/>
      <w:pPr>
        <w:ind w:left="1080" w:hanging="360"/>
      </w:pPr>
      <w:rPr>
        <w:rFonts w:ascii="Century Gothic" w:eastAsiaTheme="minorHAnsi" w:hAnsi="Century Gothic" w:cstheme="minorBidi"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B027B"/>
    <w:multiLevelType w:val="hybridMultilevel"/>
    <w:tmpl w:val="B3542D0A"/>
    <w:lvl w:ilvl="0" w:tplc="08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A10C77"/>
    <w:multiLevelType w:val="hybridMultilevel"/>
    <w:tmpl w:val="A8543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800FA2"/>
    <w:multiLevelType w:val="hybridMultilevel"/>
    <w:tmpl w:val="D86E77D2"/>
    <w:lvl w:ilvl="0" w:tplc="0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49B142D3"/>
    <w:multiLevelType w:val="hybridMultilevel"/>
    <w:tmpl w:val="D944C3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4A8A57B9"/>
    <w:multiLevelType w:val="hybridMultilevel"/>
    <w:tmpl w:val="5A307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65454E"/>
    <w:multiLevelType w:val="hybridMultilevel"/>
    <w:tmpl w:val="F6E418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D6155E"/>
    <w:multiLevelType w:val="hybridMultilevel"/>
    <w:tmpl w:val="C11E3734"/>
    <w:lvl w:ilvl="0" w:tplc="3EB4D788">
      <w:start w:val="1"/>
      <w:numFmt w:val="bullet"/>
      <w:lvlText w:val=""/>
      <w:lvlJc w:val="left"/>
      <w:pPr>
        <w:ind w:left="720" w:hanging="360"/>
      </w:pPr>
      <w:rPr>
        <w:rFonts w:ascii="Symbol" w:hAnsi="Symbol"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E2C2C"/>
    <w:multiLevelType w:val="hybridMultilevel"/>
    <w:tmpl w:val="A0CEA260"/>
    <w:lvl w:ilvl="0" w:tplc="B230471E">
      <w:start w:val="1"/>
      <w:numFmt w:val="bullet"/>
      <w:lvlText w:val="•"/>
      <w:lvlJc w:val="left"/>
      <w:pPr>
        <w:tabs>
          <w:tab w:val="num" w:pos="720"/>
        </w:tabs>
        <w:ind w:left="720" w:hanging="360"/>
      </w:pPr>
      <w:rPr>
        <w:rFonts w:ascii="Times New Roman" w:hAnsi="Times New Roman" w:hint="default"/>
      </w:rPr>
    </w:lvl>
    <w:lvl w:ilvl="1" w:tplc="E03ABFC8" w:tentative="1">
      <w:start w:val="1"/>
      <w:numFmt w:val="bullet"/>
      <w:lvlText w:val="•"/>
      <w:lvlJc w:val="left"/>
      <w:pPr>
        <w:tabs>
          <w:tab w:val="num" w:pos="1440"/>
        </w:tabs>
        <w:ind w:left="1440" w:hanging="360"/>
      </w:pPr>
      <w:rPr>
        <w:rFonts w:ascii="Times New Roman" w:hAnsi="Times New Roman" w:hint="default"/>
      </w:rPr>
    </w:lvl>
    <w:lvl w:ilvl="2" w:tplc="00401724" w:tentative="1">
      <w:start w:val="1"/>
      <w:numFmt w:val="bullet"/>
      <w:lvlText w:val="•"/>
      <w:lvlJc w:val="left"/>
      <w:pPr>
        <w:tabs>
          <w:tab w:val="num" w:pos="2160"/>
        </w:tabs>
        <w:ind w:left="2160" w:hanging="360"/>
      </w:pPr>
      <w:rPr>
        <w:rFonts w:ascii="Times New Roman" w:hAnsi="Times New Roman" w:hint="default"/>
      </w:rPr>
    </w:lvl>
    <w:lvl w:ilvl="3" w:tplc="18CA67EA" w:tentative="1">
      <w:start w:val="1"/>
      <w:numFmt w:val="bullet"/>
      <w:lvlText w:val="•"/>
      <w:lvlJc w:val="left"/>
      <w:pPr>
        <w:tabs>
          <w:tab w:val="num" w:pos="2880"/>
        </w:tabs>
        <w:ind w:left="2880" w:hanging="360"/>
      </w:pPr>
      <w:rPr>
        <w:rFonts w:ascii="Times New Roman" w:hAnsi="Times New Roman" w:hint="default"/>
      </w:rPr>
    </w:lvl>
    <w:lvl w:ilvl="4" w:tplc="182A5A34" w:tentative="1">
      <w:start w:val="1"/>
      <w:numFmt w:val="bullet"/>
      <w:lvlText w:val="•"/>
      <w:lvlJc w:val="left"/>
      <w:pPr>
        <w:tabs>
          <w:tab w:val="num" w:pos="3600"/>
        </w:tabs>
        <w:ind w:left="3600" w:hanging="360"/>
      </w:pPr>
      <w:rPr>
        <w:rFonts w:ascii="Times New Roman" w:hAnsi="Times New Roman" w:hint="default"/>
      </w:rPr>
    </w:lvl>
    <w:lvl w:ilvl="5" w:tplc="DB4A320E" w:tentative="1">
      <w:start w:val="1"/>
      <w:numFmt w:val="bullet"/>
      <w:lvlText w:val="•"/>
      <w:lvlJc w:val="left"/>
      <w:pPr>
        <w:tabs>
          <w:tab w:val="num" w:pos="4320"/>
        </w:tabs>
        <w:ind w:left="4320" w:hanging="360"/>
      </w:pPr>
      <w:rPr>
        <w:rFonts w:ascii="Times New Roman" w:hAnsi="Times New Roman" w:hint="default"/>
      </w:rPr>
    </w:lvl>
    <w:lvl w:ilvl="6" w:tplc="CEEE34AC" w:tentative="1">
      <w:start w:val="1"/>
      <w:numFmt w:val="bullet"/>
      <w:lvlText w:val="•"/>
      <w:lvlJc w:val="left"/>
      <w:pPr>
        <w:tabs>
          <w:tab w:val="num" w:pos="5040"/>
        </w:tabs>
        <w:ind w:left="5040" w:hanging="360"/>
      </w:pPr>
      <w:rPr>
        <w:rFonts w:ascii="Times New Roman" w:hAnsi="Times New Roman" w:hint="default"/>
      </w:rPr>
    </w:lvl>
    <w:lvl w:ilvl="7" w:tplc="1862D4A4" w:tentative="1">
      <w:start w:val="1"/>
      <w:numFmt w:val="bullet"/>
      <w:lvlText w:val="•"/>
      <w:lvlJc w:val="left"/>
      <w:pPr>
        <w:tabs>
          <w:tab w:val="num" w:pos="5760"/>
        </w:tabs>
        <w:ind w:left="5760" w:hanging="360"/>
      </w:pPr>
      <w:rPr>
        <w:rFonts w:ascii="Times New Roman" w:hAnsi="Times New Roman" w:hint="default"/>
      </w:rPr>
    </w:lvl>
    <w:lvl w:ilvl="8" w:tplc="592E8E8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45E58B4"/>
    <w:multiLevelType w:val="hybridMultilevel"/>
    <w:tmpl w:val="838066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C4972"/>
    <w:multiLevelType w:val="hybridMultilevel"/>
    <w:tmpl w:val="CEC4C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7C69D3"/>
    <w:multiLevelType w:val="hybridMultilevel"/>
    <w:tmpl w:val="9B02200A"/>
    <w:lvl w:ilvl="0" w:tplc="0409000F">
      <w:start w:val="1"/>
      <w:numFmt w:val="decimal"/>
      <w:lvlText w:val="%1."/>
      <w:lvlJc w:val="left"/>
      <w:pPr>
        <w:ind w:left="48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3C09B3"/>
    <w:multiLevelType w:val="hybridMultilevel"/>
    <w:tmpl w:val="A8A8CB68"/>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859651A"/>
    <w:multiLevelType w:val="hybridMultilevel"/>
    <w:tmpl w:val="D444E58C"/>
    <w:lvl w:ilvl="0" w:tplc="E03276E6">
      <w:start w:val="1"/>
      <w:numFmt w:val="bullet"/>
      <w:lvlText w:val="•"/>
      <w:lvlJc w:val="left"/>
      <w:pPr>
        <w:tabs>
          <w:tab w:val="num" w:pos="720"/>
        </w:tabs>
        <w:ind w:left="720" w:hanging="360"/>
      </w:pPr>
      <w:rPr>
        <w:rFonts w:ascii="Arial" w:hAnsi="Arial" w:hint="default"/>
      </w:rPr>
    </w:lvl>
    <w:lvl w:ilvl="1" w:tplc="B2EEED6C" w:tentative="1">
      <w:start w:val="1"/>
      <w:numFmt w:val="bullet"/>
      <w:lvlText w:val="•"/>
      <w:lvlJc w:val="left"/>
      <w:pPr>
        <w:tabs>
          <w:tab w:val="num" w:pos="1440"/>
        </w:tabs>
        <w:ind w:left="1440" w:hanging="360"/>
      </w:pPr>
      <w:rPr>
        <w:rFonts w:ascii="Arial" w:hAnsi="Arial" w:hint="default"/>
      </w:rPr>
    </w:lvl>
    <w:lvl w:ilvl="2" w:tplc="F60A8AAA" w:tentative="1">
      <w:start w:val="1"/>
      <w:numFmt w:val="bullet"/>
      <w:lvlText w:val="•"/>
      <w:lvlJc w:val="left"/>
      <w:pPr>
        <w:tabs>
          <w:tab w:val="num" w:pos="2160"/>
        </w:tabs>
        <w:ind w:left="2160" w:hanging="360"/>
      </w:pPr>
      <w:rPr>
        <w:rFonts w:ascii="Arial" w:hAnsi="Arial" w:hint="default"/>
      </w:rPr>
    </w:lvl>
    <w:lvl w:ilvl="3" w:tplc="0A70C830" w:tentative="1">
      <w:start w:val="1"/>
      <w:numFmt w:val="bullet"/>
      <w:lvlText w:val="•"/>
      <w:lvlJc w:val="left"/>
      <w:pPr>
        <w:tabs>
          <w:tab w:val="num" w:pos="2880"/>
        </w:tabs>
        <w:ind w:left="2880" w:hanging="360"/>
      </w:pPr>
      <w:rPr>
        <w:rFonts w:ascii="Arial" w:hAnsi="Arial" w:hint="default"/>
      </w:rPr>
    </w:lvl>
    <w:lvl w:ilvl="4" w:tplc="87DC7936" w:tentative="1">
      <w:start w:val="1"/>
      <w:numFmt w:val="bullet"/>
      <w:lvlText w:val="•"/>
      <w:lvlJc w:val="left"/>
      <w:pPr>
        <w:tabs>
          <w:tab w:val="num" w:pos="3600"/>
        </w:tabs>
        <w:ind w:left="3600" w:hanging="360"/>
      </w:pPr>
      <w:rPr>
        <w:rFonts w:ascii="Arial" w:hAnsi="Arial" w:hint="default"/>
      </w:rPr>
    </w:lvl>
    <w:lvl w:ilvl="5" w:tplc="AB6E38FE" w:tentative="1">
      <w:start w:val="1"/>
      <w:numFmt w:val="bullet"/>
      <w:lvlText w:val="•"/>
      <w:lvlJc w:val="left"/>
      <w:pPr>
        <w:tabs>
          <w:tab w:val="num" w:pos="4320"/>
        </w:tabs>
        <w:ind w:left="4320" w:hanging="360"/>
      </w:pPr>
      <w:rPr>
        <w:rFonts w:ascii="Arial" w:hAnsi="Arial" w:hint="default"/>
      </w:rPr>
    </w:lvl>
    <w:lvl w:ilvl="6" w:tplc="D8A6DBFA" w:tentative="1">
      <w:start w:val="1"/>
      <w:numFmt w:val="bullet"/>
      <w:lvlText w:val="•"/>
      <w:lvlJc w:val="left"/>
      <w:pPr>
        <w:tabs>
          <w:tab w:val="num" w:pos="5040"/>
        </w:tabs>
        <w:ind w:left="5040" w:hanging="360"/>
      </w:pPr>
      <w:rPr>
        <w:rFonts w:ascii="Arial" w:hAnsi="Arial" w:hint="default"/>
      </w:rPr>
    </w:lvl>
    <w:lvl w:ilvl="7" w:tplc="A8C2A76A" w:tentative="1">
      <w:start w:val="1"/>
      <w:numFmt w:val="bullet"/>
      <w:lvlText w:val="•"/>
      <w:lvlJc w:val="left"/>
      <w:pPr>
        <w:tabs>
          <w:tab w:val="num" w:pos="5760"/>
        </w:tabs>
        <w:ind w:left="5760" w:hanging="360"/>
      </w:pPr>
      <w:rPr>
        <w:rFonts w:ascii="Arial" w:hAnsi="Arial" w:hint="default"/>
      </w:rPr>
    </w:lvl>
    <w:lvl w:ilvl="8" w:tplc="28CA487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96C3391"/>
    <w:multiLevelType w:val="hybridMultilevel"/>
    <w:tmpl w:val="E368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9C5CCC"/>
    <w:multiLevelType w:val="multilevel"/>
    <w:tmpl w:val="B3EE5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A00CA5"/>
    <w:multiLevelType w:val="hybridMultilevel"/>
    <w:tmpl w:val="ADECDE2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6" w15:restartNumberingAfterBreak="0">
    <w:nsid w:val="6DB225DA"/>
    <w:multiLevelType w:val="hybridMultilevel"/>
    <w:tmpl w:val="9D9AA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117A01"/>
    <w:multiLevelType w:val="hybridMultilevel"/>
    <w:tmpl w:val="7BCCCB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1440"/>
        </w:tabs>
        <w:ind w:left="1440"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7316924"/>
    <w:multiLevelType w:val="hybridMultilevel"/>
    <w:tmpl w:val="9EFE06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0" w15:restartNumberingAfterBreak="0">
    <w:nsid w:val="782629D7"/>
    <w:multiLevelType w:val="hybridMultilevel"/>
    <w:tmpl w:val="B88A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D44A5B"/>
    <w:multiLevelType w:val="hybridMultilevel"/>
    <w:tmpl w:val="81FE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F53AA0"/>
    <w:multiLevelType w:val="hybridMultilevel"/>
    <w:tmpl w:val="BB36AB86"/>
    <w:lvl w:ilvl="0" w:tplc="8B12D9CA">
      <w:start w:val="54"/>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8"/>
  </w:num>
  <w:num w:numId="2">
    <w:abstractNumId w:val="3"/>
  </w:num>
  <w:num w:numId="3">
    <w:abstractNumId w:val="34"/>
  </w:num>
  <w:num w:numId="4">
    <w:abstractNumId w:val="14"/>
  </w:num>
  <w:num w:numId="5">
    <w:abstractNumId w:val="25"/>
  </w:num>
  <w:num w:numId="6">
    <w:abstractNumId w:val="31"/>
  </w:num>
  <w:num w:numId="7">
    <w:abstractNumId w:val="20"/>
  </w:num>
  <w:num w:numId="8">
    <w:abstractNumId w:val="39"/>
  </w:num>
  <w:num w:numId="9">
    <w:abstractNumId w:val="22"/>
  </w:num>
  <w:num w:numId="10">
    <w:abstractNumId w:val="7"/>
  </w:num>
  <w:num w:numId="11">
    <w:abstractNumId w:val="28"/>
  </w:num>
  <w:num w:numId="12">
    <w:abstractNumId w:val="41"/>
  </w:num>
  <w:num w:numId="13">
    <w:abstractNumId w:val="32"/>
  </w:num>
  <w:num w:numId="14">
    <w:abstractNumId w:val="6"/>
  </w:num>
  <w:num w:numId="15">
    <w:abstractNumId w:val="27"/>
  </w:num>
  <w:num w:numId="16">
    <w:abstractNumId w:val="35"/>
  </w:num>
  <w:num w:numId="17">
    <w:abstractNumId w:val="8"/>
  </w:num>
  <w:num w:numId="18">
    <w:abstractNumId w:val="50"/>
  </w:num>
  <w:num w:numId="19">
    <w:abstractNumId w:val="16"/>
  </w:num>
  <w:num w:numId="20">
    <w:abstractNumId w:val="26"/>
  </w:num>
  <w:num w:numId="21">
    <w:abstractNumId w:val="37"/>
  </w:num>
  <w:num w:numId="22">
    <w:abstractNumId w:val="47"/>
  </w:num>
  <w:num w:numId="23">
    <w:abstractNumId w:val="36"/>
  </w:num>
  <w:num w:numId="24">
    <w:abstractNumId w:val="15"/>
  </w:num>
  <w:num w:numId="25">
    <w:abstractNumId w:val="10"/>
  </w:num>
  <w:num w:numId="26">
    <w:abstractNumId w:val="19"/>
  </w:num>
  <w:num w:numId="27">
    <w:abstractNumId w:val="30"/>
  </w:num>
  <w:num w:numId="28">
    <w:abstractNumId w:val="43"/>
  </w:num>
  <w:num w:numId="29">
    <w:abstractNumId w:val="24"/>
  </w:num>
  <w:num w:numId="30">
    <w:abstractNumId w:val="5"/>
  </w:num>
  <w:num w:numId="31">
    <w:abstractNumId w:val="49"/>
  </w:num>
  <w:num w:numId="32">
    <w:abstractNumId w:val="0"/>
  </w:num>
  <w:num w:numId="33">
    <w:abstractNumId w:val="13"/>
  </w:num>
  <w:num w:numId="34">
    <w:abstractNumId w:val="33"/>
  </w:num>
  <w:num w:numId="35">
    <w:abstractNumId w:val="12"/>
  </w:num>
  <w:num w:numId="36">
    <w:abstractNumId w:val="29"/>
  </w:num>
  <w:num w:numId="37">
    <w:abstractNumId w:val="38"/>
  </w:num>
  <w:num w:numId="38">
    <w:abstractNumId w:val="4"/>
  </w:num>
  <w:num w:numId="39">
    <w:abstractNumId w:val="23"/>
  </w:num>
  <w:num w:numId="40">
    <w:abstractNumId w:val="40"/>
  </w:num>
  <w:num w:numId="41">
    <w:abstractNumId w:val="51"/>
  </w:num>
  <w:num w:numId="42">
    <w:abstractNumId w:val="46"/>
  </w:num>
  <w:num w:numId="43">
    <w:abstractNumId w:val="42"/>
  </w:num>
  <w:num w:numId="44">
    <w:abstractNumId w:val="18"/>
  </w:num>
  <w:num w:numId="45">
    <w:abstractNumId w:val="1"/>
  </w:num>
  <w:num w:numId="46">
    <w:abstractNumId w:val="21"/>
  </w:num>
  <w:num w:numId="47">
    <w:abstractNumId w:val="45"/>
  </w:num>
  <w:num w:numId="48">
    <w:abstractNumId w:val="11"/>
  </w:num>
  <w:num w:numId="49">
    <w:abstractNumId w:val="52"/>
  </w:num>
  <w:num w:numId="50">
    <w:abstractNumId w:val="9"/>
  </w:num>
  <w:num w:numId="51">
    <w:abstractNumId w:val="44"/>
  </w:num>
  <w:num w:numId="52">
    <w:abstractNumId w:val="2"/>
  </w:num>
  <w:num w:numId="5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82C"/>
    <w:rsid w:val="00000EB5"/>
    <w:rsid w:val="0000111B"/>
    <w:rsid w:val="000017BE"/>
    <w:rsid w:val="00001F55"/>
    <w:rsid w:val="0000497F"/>
    <w:rsid w:val="00004A1F"/>
    <w:rsid w:val="00005E74"/>
    <w:rsid w:val="00006C61"/>
    <w:rsid w:val="00007243"/>
    <w:rsid w:val="000104EB"/>
    <w:rsid w:val="00010D7F"/>
    <w:rsid w:val="00011807"/>
    <w:rsid w:val="00011E7F"/>
    <w:rsid w:val="00012320"/>
    <w:rsid w:val="00015158"/>
    <w:rsid w:val="000158DC"/>
    <w:rsid w:val="00016EB4"/>
    <w:rsid w:val="00020B0E"/>
    <w:rsid w:val="000219DC"/>
    <w:rsid w:val="00021ED7"/>
    <w:rsid w:val="000248EF"/>
    <w:rsid w:val="00025561"/>
    <w:rsid w:val="000257C5"/>
    <w:rsid w:val="0002683F"/>
    <w:rsid w:val="00026918"/>
    <w:rsid w:val="00026CAB"/>
    <w:rsid w:val="0002767F"/>
    <w:rsid w:val="00027859"/>
    <w:rsid w:val="00031897"/>
    <w:rsid w:val="000331C1"/>
    <w:rsid w:val="000331FF"/>
    <w:rsid w:val="00033654"/>
    <w:rsid w:val="00033A97"/>
    <w:rsid w:val="00033FD4"/>
    <w:rsid w:val="00036138"/>
    <w:rsid w:val="00037855"/>
    <w:rsid w:val="00041544"/>
    <w:rsid w:val="000417E4"/>
    <w:rsid w:val="00042159"/>
    <w:rsid w:val="00043B97"/>
    <w:rsid w:val="000440A5"/>
    <w:rsid w:val="000460C4"/>
    <w:rsid w:val="00051E4E"/>
    <w:rsid w:val="00052F2C"/>
    <w:rsid w:val="00054590"/>
    <w:rsid w:val="00055C06"/>
    <w:rsid w:val="00055D73"/>
    <w:rsid w:val="0005607D"/>
    <w:rsid w:val="000566E5"/>
    <w:rsid w:val="0005759B"/>
    <w:rsid w:val="00060A9D"/>
    <w:rsid w:val="0006275D"/>
    <w:rsid w:val="000636C5"/>
    <w:rsid w:val="0006630A"/>
    <w:rsid w:val="0006630D"/>
    <w:rsid w:val="00066A8E"/>
    <w:rsid w:val="000704F7"/>
    <w:rsid w:val="00070768"/>
    <w:rsid w:val="00070FBC"/>
    <w:rsid w:val="00071D57"/>
    <w:rsid w:val="00073E00"/>
    <w:rsid w:val="0007653E"/>
    <w:rsid w:val="00076ADC"/>
    <w:rsid w:val="00077279"/>
    <w:rsid w:val="00080235"/>
    <w:rsid w:val="00081309"/>
    <w:rsid w:val="00081638"/>
    <w:rsid w:val="00081ACE"/>
    <w:rsid w:val="00082272"/>
    <w:rsid w:val="000824AC"/>
    <w:rsid w:val="00084391"/>
    <w:rsid w:val="000849C2"/>
    <w:rsid w:val="00086FA9"/>
    <w:rsid w:val="00087BF4"/>
    <w:rsid w:val="00091523"/>
    <w:rsid w:val="000916CE"/>
    <w:rsid w:val="00091F56"/>
    <w:rsid w:val="00092CFC"/>
    <w:rsid w:val="0009623E"/>
    <w:rsid w:val="00097094"/>
    <w:rsid w:val="0009788F"/>
    <w:rsid w:val="000A0421"/>
    <w:rsid w:val="000A0641"/>
    <w:rsid w:val="000A0E28"/>
    <w:rsid w:val="000A23CD"/>
    <w:rsid w:val="000A4D31"/>
    <w:rsid w:val="000A6703"/>
    <w:rsid w:val="000A6C8E"/>
    <w:rsid w:val="000A711D"/>
    <w:rsid w:val="000A74AF"/>
    <w:rsid w:val="000B18C8"/>
    <w:rsid w:val="000B29F0"/>
    <w:rsid w:val="000B2B8A"/>
    <w:rsid w:val="000B3282"/>
    <w:rsid w:val="000B5281"/>
    <w:rsid w:val="000B5848"/>
    <w:rsid w:val="000B5C7E"/>
    <w:rsid w:val="000B6432"/>
    <w:rsid w:val="000C0BA2"/>
    <w:rsid w:val="000C0C60"/>
    <w:rsid w:val="000C18D9"/>
    <w:rsid w:val="000C20C6"/>
    <w:rsid w:val="000C20F5"/>
    <w:rsid w:val="000C2B4E"/>
    <w:rsid w:val="000C384B"/>
    <w:rsid w:val="000C3EF6"/>
    <w:rsid w:val="000C62AA"/>
    <w:rsid w:val="000C63A9"/>
    <w:rsid w:val="000C6D46"/>
    <w:rsid w:val="000C79B8"/>
    <w:rsid w:val="000D00E1"/>
    <w:rsid w:val="000D0E5F"/>
    <w:rsid w:val="000D54F6"/>
    <w:rsid w:val="000D6240"/>
    <w:rsid w:val="000D7313"/>
    <w:rsid w:val="000D7BFD"/>
    <w:rsid w:val="000E01C2"/>
    <w:rsid w:val="000E16BD"/>
    <w:rsid w:val="000E1904"/>
    <w:rsid w:val="000E202C"/>
    <w:rsid w:val="000E3F22"/>
    <w:rsid w:val="000E481B"/>
    <w:rsid w:val="000E4899"/>
    <w:rsid w:val="000E493B"/>
    <w:rsid w:val="000E4F56"/>
    <w:rsid w:val="000E6AE0"/>
    <w:rsid w:val="000E747E"/>
    <w:rsid w:val="000F1898"/>
    <w:rsid w:val="000F269E"/>
    <w:rsid w:val="000F2ACB"/>
    <w:rsid w:val="000F2BC2"/>
    <w:rsid w:val="000F4F3F"/>
    <w:rsid w:val="000F5D79"/>
    <w:rsid w:val="000F6F20"/>
    <w:rsid w:val="00100257"/>
    <w:rsid w:val="00100BC5"/>
    <w:rsid w:val="00101BE8"/>
    <w:rsid w:val="00102ACA"/>
    <w:rsid w:val="001066D7"/>
    <w:rsid w:val="001106AE"/>
    <w:rsid w:val="0011172F"/>
    <w:rsid w:val="00111956"/>
    <w:rsid w:val="001125B1"/>
    <w:rsid w:val="00113B51"/>
    <w:rsid w:val="00113EFA"/>
    <w:rsid w:val="0011487A"/>
    <w:rsid w:val="00115EFA"/>
    <w:rsid w:val="00116138"/>
    <w:rsid w:val="00116C3A"/>
    <w:rsid w:val="00117E4B"/>
    <w:rsid w:val="0012085E"/>
    <w:rsid w:val="001216ED"/>
    <w:rsid w:val="00124162"/>
    <w:rsid w:val="0012440F"/>
    <w:rsid w:val="00124E04"/>
    <w:rsid w:val="00126525"/>
    <w:rsid w:val="001337E9"/>
    <w:rsid w:val="00133B15"/>
    <w:rsid w:val="00134518"/>
    <w:rsid w:val="0013534D"/>
    <w:rsid w:val="0013546D"/>
    <w:rsid w:val="00137118"/>
    <w:rsid w:val="00140574"/>
    <w:rsid w:val="00140C74"/>
    <w:rsid w:val="00141DEC"/>
    <w:rsid w:val="0014279E"/>
    <w:rsid w:val="0014331B"/>
    <w:rsid w:val="00143B3F"/>
    <w:rsid w:val="00144BEF"/>
    <w:rsid w:val="00145A0D"/>
    <w:rsid w:val="00145DF0"/>
    <w:rsid w:val="00145FF8"/>
    <w:rsid w:val="00146EAE"/>
    <w:rsid w:val="0014705A"/>
    <w:rsid w:val="00147431"/>
    <w:rsid w:val="00147917"/>
    <w:rsid w:val="001503D3"/>
    <w:rsid w:val="00150680"/>
    <w:rsid w:val="00151996"/>
    <w:rsid w:val="00151EF7"/>
    <w:rsid w:val="00152BFA"/>
    <w:rsid w:val="00152F00"/>
    <w:rsid w:val="0015396D"/>
    <w:rsid w:val="001539D5"/>
    <w:rsid w:val="00153AEB"/>
    <w:rsid w:val="0015471E"/>
    <w:rsid w:val="00154FAD"/>
    <w:rsid w:val="00155107"/>
    <w:rsid w:val="0015513F"/>
    <w:rsid w:val="00155BDA"/>
    <w:rsid w:val="00155C29"/>
    <w:rsid w:val="00157979"/>
    <w:rsid w:val="00157BE1"/>
    <w:rsid w:val="0016047D"/>
    <w:rsid w:val="00160692"/>
    <w:rsid w:val="00160867"/>
    <w:rsid w:val="00160DAF"/>
    <w:rsid w:val="00161F82"/>
    <w:rsid w:val="001643F4"/>
    <w:rsid w:val="00164A8A"/>
    <w:rsid w:val="0017170E"/>
    <w:rsid w:val="00171FA6"/>
    <w:rsid w:val="0017276B"/>
    <w:rsid w:val="00174473"/>
    <w:rsid w:val="001744DC"/>
    <w:rsid w:val="00174794"/>
    <w:rsid w:val="00174A47"/>
    <w:rsid w:val="001752FD"/>
    <w:rsid w:val="0017625E"/>
    <w:rsid w:val="0017632C"/>
    <w:rsid w:val="00176656"/>
    <w:rsid w:val="00176D97"/>
    <w:rsid w:val="001803A9"/>
    <w:rsid w:val="00180AF9"/>
    <w:rsid w:val="00181E41"/>
    <w:rsid w:val="001820CE"/>
    <w:rsid w:val="001825B6"/>
    <w:rsid w:val="00183634"/>
    <w:rsid w:val="00184866"/>
    <w:rsid w:val="00185A42"/>
    <w:rsid w:val="0018624B"/>
    <w:rsid w:val="00190838"/>
    <w:rsid w:val="0019087D"/>
    <w:rsid w:val="00191E75"/>
    <w:rsid w:val="00193BFD"/>
    <w:rsid w:val="001962C5"/>
    <w:rsid w:val="00196454"/>
    <w:rsid w:val="00197D0C"/>
    <w:rsid w:val="001A08FA"/>
    <w:rsid w:val="001A11EF"/>
    <w:rsid w:val="001A1DE7"/>
    <w:rsid w:val="001A22A4"/>
    <w:rsid w:val="001A2AB3"/>
    <w:rsid w:val="001A2B0B"/>
    <w:rsid w:val="001A2ECA"/>
    <w:rsid w:val="001A37C4"/>
    <w:rsid w:val="001A6C27"/>
    <w:rsid w:val="001A6C75"/>
    <w:rsid w:val="001A6ECF"/>
    <w:rsid w:val="001B185C"/>
    <w:rsid w:val="001B2D8D"/>
    <w:rsid w:val="001B32A0"/>
    <w:rsid w:val="001B339E"/>
    <w:rsid w:val="001B4844"/>
    <w:rsid w:val="001B6579"/>
    <w:rsid w:val="001C1128"/>
    <w:rsid w:val="001C147F"/>
    <w:rsid w:val="001C1646"/>
    <w:rsid w:val="001C413B"/>
    <w:rsid w:val="001C476F"/>
    <w:rsid w:val="001C4A5F"/>
    <w:rsid w:val="001C710D"/>
    <w:rsid w:val="001D155E"/>
    <w:rsid w:val="001D3B86"/>
    <w:rsid w:val="001D428D"/>
    <w:rsid w:val="001D4532"/>
    <w:rsid w:val="001D4A76"/>
    <w:rsid w:val="001D5BF6"/>
    <w:rsid w:val="001D71E8"/>
    <w:rsid w:val="001D73B8"/>
    <w:rsid w:val="001E1319"/>
    <w:rsid w:val="001E21BF"/>
    <w:rsid w:val="001E2CD7"/>
    <w:rsid w:val="001E2EBF"/>
    <w:rsid w:val="001E3EC9"/>
    <w:rsid w:val="001E421F"/>
    <w:rsid w:val="001E5349"/>
    <w:rsid w:val="001E7F8F"/>
    <w:rsid w:val="001F0D4D"/>
    <w:rsid w:val="001F2116"/>
    <w:rsid w:val="001F4A36"/>
    <w:rsid w:val="001F5037"/>
    <w:rsid w:val="001F668D"/>
    <w:rsid w:val="001F74FD"/>
    <w:rsid w:val="002016C5"/>
    <w:rsid w:val="002038B0"/>
    <w:rsid w:val="002049EB"/>
    <w:rsid w:val="00205994"/>
    <w:rsid w:val="00206BA5"/>
    <w:rsid w:val="00206EC3"/>
    <w:rsid w:val="00206F2D"/>
    <w:rsid w:val="0020708C"/>
    <w:rsid w:val="00207AB3"/>
    <w:rsid w:val="00207CF9"/>
    <w:rsid w:val="00210322"/>
    <w:rsid w:val="00211033"/>
    <w:rsid w:val="00213284"/>
    <w:rsid w:val="00214C16"/>
    <w:rsid w:val="00216A17"/>
    <w:rsid w:val="0022000F"/>
    <w:rsid w:val="00221575"/>
    <w:rsid w:val="00222E9E"/>
    <w:rsid w:val="002235E3"/>
    <w:rsid w:val="00223C5C"/>
    <w:rsid w:val="00224771"/>
    <w:rsid w:val="00224D0B"/>
    <w:rsid w:val="0022505B"/>
    <w:rsid w:val="002257DC"/>
    <w:rsid w:val="002258D2"/>
    <w:rsid w:val="002277F9"/>
    <w:rsid w:val="002300A6"/>
    <w:rsid w:val="00230F4A"/>
    <w:rsid w:val="00231318"/>
    <w:rsid w:val="0023231C"/>
    <w:rsid w:val="00232A73"/>
    <w:rsid w:val="0023472C"/>
    <w:rsid w:val="00235165"/>
    <w:rsid w:val="00235320"/>
    <w:rsid w:val="00236E2C"/>
    <w:rsid w:val="00237327"/>
    <w:rsid w:val="0024141F"/>
    <w:rsid w:val="0024353C"/>
    <w:rsid w:val="002446EF"/>
    <w:rsid w:val="00244794"/>
    <w:rsid w:val="00244F2D"/>
    <w:rsid w:val="00245259"/>
    <w:rsid w:val="002464E8"/>
    <w:rsid w:val="00246689"/>
    <w:rsid w:val="00247A8D"/>
    <w:rsid w:val="00247DA7"/>
    <w:rsid w:val="00250B30"/>
    <w:rsid w:val="002517E4"/>
    <w:rsid w:val="00252A6C"/>
    <w:rsid w:val="00252CA7"/>
    <w:rsid w:val="002554D4"/>
    <w:rsid w:val="00256978"/>
    <w:rsid w:val="00257D7D"/>
    <w:rsid w:val="0026035C"/>
    <w:rsid w:val="002616F0"/>
    <w:rsid w:val="00261D56"/>
    <w:rsid w:val="00262500"/>
    <w:rsid w:val="00262865"/>
    <w:rsid w:val="00263ECC"/>
    <w:rsid w:val="00263F0C"/>
    <w:rsid w:val="0026467C"/>
    <w:rsid w:val="002650CB"/>
    <w:rsid w:val="00265562"/>
    <w:rsid w:val="00265C82"/>
    <w:rsid w:val="00266DF3"/>
    <w:rsid w:val="002714C2"/>
    <w:rsid w:val="002720B4"/>
    <w:rsid w:val="00272BE2"/>
    <w:rsid w:val="00272E9B"/>
    <w:rsid w:val="002755FF"/>
    <w:rsid w:val="0027686E"/>
    <w:rsid w:val="00276C39"/>
    <w:rsid w:val="0027757E"/>
    <w:rsid w:val="00277678"/>
    <w:rsid w:val="00277D4C"/>
    <w:rsid w:val="0028252A"/>
    <w:rsid w:val="00283E9B"/>
    <w:rsid w:val="00284DBC"/>
    <w:rsid w:val="00286A37"/>
    <w:rsid w:val="0028769C"/>
    <w:rsid w:val="00287CFD"/>
    <w:rsid w:val="00287E38"/>
    <w:rsid w:val="00290973"/>
    <w:rsid w:val="00291318"/>
    <w:rsid w:val="002943A8"/>
    <w:rsid w:val="002945A7"/>
    <w:rsid w:val="00294C41"/>
    <w:rsid w:val="002954D7"/>
    <w:rsid w:val="0029624D"/>
    <w:rsid w:val="002A2FF2"/>
    <w:rsid w:val="002A3825"/>
    <w:rsid w:val="002A3A10"/>
    <w:rsid w:val="002A3B01"/>
    <w:rsid w:val="002A3FBC"/>
    <w:rsid w:val="002A4787"/>
    <w:rsid w:val="002A47D3"/>
    <w:rsid w:val="002A575E"/>
    <w:rsid w:val="002A5CF8"/>
    <w:rsid w:val="002A607D"/>
    <w:rsid w:val="002A6213"/>
    <w:rsid w:val="002A69C8"/>
    <w:rsid w:val="002A6B37"/>
    <w:rsid w:val="002A70D3"/>
    <w:rsid w:val="002A7D7E"/>
    <w:rsid w:val="002B0E3E"/>
    <w:rsid w:val="002B21D7"/>
    <w:rsid w:val="002B24AE"/>
    <w:rsid w:val="002B44E4"/>
    <w:rsid w:val="002B548F"/>
    <w:rsid w:val="002B629C"/>
    <w:rsid w:val="002B7E31"/>
    <w:rsid w:val="002C0B0A"/>
    <w:rsid w:val="002C0F78"/>
    <w:rsid w:val="002C15F6"/>
    <w:rsid w:val="002C2141"/>
    <w:rsid w:val="002C481B"/>
    <w:rsid w:val="002C5E03"/>
    <w:rsid w:val="002C6F6F"/>
    <w:rsid w:val="002C7F4F"/>
    <w:rsid w:val="002D0BD1"/>
    <w:rsid w:val="002D2B34"/>
    <w:rsid w:val="002D2E17"/>
    <w:rsid w:val="002D30D2"/>
    <w:rsid w:val="002D3887"/>
    <w:rsid w:val="002D3A4E"/>
    <w:rsid w:val="002D3AC4"/>
    <w:rsid w:val="002D4462"/>
    <w:rsid w:val="002D4B6C"/>
    <w:rsid w:val="002D53F8"/>
    <w:rsid w:val="002D704C"/>
    <w:rsid w:val="002E05AA"/>
    <w:rsid w:val="002E09ED"/>
    <w:rsid w:val="002E14B1"/>
    <w:rsid w:val="002E1592"/>
    <w:rsid w:val="002E2AD3"/>
    <w:rsid w:val="002E2BA5"/>
    <w:rsid w:val="002E3505"/>
    <w:rsid w:val="002E4D71"/>
    <w:rsid w:val="002F0907"/>
    <w:rsid w:val="002F0E79"/>
    <w:rsid w:val="002F1217"/>
    <w:rsid w:val="002F15B3"/>
    <w:rsid w:val="002F2928"/>
    <w:rsid w:val="002F2AD3"/>
    <w:rsid w:val="002F3641"/>
    <w:rsid w:val="002F3DF1"/>
    <w:rsid w:val="002F5416"/>
    <w:rsid w:val="002F5D72"/>
    <w:rsid w:val="002F6ED3"/>
    <w:rsid w:val="0030053C"/>
    <w:rsid w:val="003018D4"/>
    <w:rsid w:val="00301FDA"/>
    <w:rsid w:val="003028A1"/>
    <w:rsid w:val="003036AF"/>
    <w:rsid w:val="003040F8"/>
    <w:rsid w:val="0030444D"/>
    <w:rsid w:val="00304AE9"/>
    <w:rsid w:val="003055E4"/>
    <w:rsid w:val="00305E88"/>
    <w:rsid w:val="00305FD7"/>
    <w:rsid w:val="0030668B"/>
    <w:rsid w:val="00307323"/>
    <w:rsid w:val="00312042"/>
    <w:rsid w:val="003120B6"/>
    <w:rsid w:val="003128CD"/>
    <w:rsid w:val="0031360D"/>
    <w:rsid w:val="003149A2"/>
    <w:rsid w:val="00316015"/>
    <w:rsid w:val="003165D1"/>
    <w:rsid w:val="00316762"/>
    <w:rsid w:val="003169D4"/>
    <w:rsid w:val="00316F82"/>
    <w:rsid w:val="00321C51"/>
    <w:rsid w:val="00322543"/>
    <w:rsid w:val="00322818"/>
    <w:rsid w:val="00323937"/>
    <w:rsid w:val="00323D91"/>
    <w:rsid w:val="00324534"/>
    <w:rsid w:val="00325942"/>
    <w:rsid w:val="00326AA2"/>
    <w:rsid w:val="003275A1"/>
    <w:rsid w:val="00327A42"/>
    <w:rsid w:val="00331C0A"/>
    <w:rsid w:val="0033411A"/>
    <w:rsid w:val="003345C3"/>
    <w:rsid w:val="00334962"/>
    <w:rsid w:val="003350A2"/>
    <w:rsid w:val="0033515C"/>
    <w:rsid w:val="00336900"/>
    <w:rsid w:val="0034008E"/>
    <w:rsid w:val="0034018C"/>
    <w:rsid w:val="00341A1C"/>
    <w:rsid w:val="0034224F"/>
    <w:rsid w:val="00342F24"/>
    <w:rsid w:val="003446EB"/>
    <w:rsid w:val="0034483D"/>
    <w:rsid w:val="003460EE"/>
    <w:rsid w:val="00347176"/>
    <w:rsid w:val="0034767E"/>
    <w:rsid w:val="00350840"/>
    <w:rsid w:val="0035115E"/>
    <w:rsid w:val="003511B6"/>
    <w:rsid w:val="0035267E"/>
    <w:rsid w:val="00352992"/>
    <w:rsid w:val="00353142"/>
    <w:rsid w:val="00353D09"/>
    <w:rsid w:val="00353F6A"/>
    <w:rsid w:val="00354C45"/>
    <w:rsid w:val="00355B39"/>
    <w:rsid w:val="003564C5"/>
    <w:rsid w:val="0035665C"/>
    <w:rsid w:val="00356896"/>
    <w:rsid w:val="00357000"/>
    <w:rsid w:val="00361B6A"/>
    <w:rsid w:val="0036229C"/>
    <w:rsid w:val="00362B20"/>
    <w:rsid w:val="00363889"/>
    <w:rsid w:val="00364DEA"/>
    <w:rsid w:val="00365183"/>
    <w:rsid w:val="003704AF"/>
    <w:rsid w:val="00371325"/>
    <w:rsid w:val="00371C92"/>
    <w:rsid w:val="00371D9D"/>
    <w:rsid w:val="00371DD2"/>
    <w:rsid w:val="00371FC4"/>
    <w:rsid w:val="00372F7B"/>
    <w:rsid w:val="003730B3"/>
    <w:rsid w:val="00374D7E"/>
    <w:rsid w:val="00375AB1"/>
    <w:rsid w:val="003763E3"/>
    <w:rsid w:val="00380204"/>
    <w:rsid w:val="00381675"/>
    <w:rsid w:val="00381AA2"/>
    <w:rsid w:val="00381E5D"/>
    <w:rsid w:val="00382213"/>
    <w:rsid w:val="0038327E"/>
    <w:rsid w:val="00383393"/>
    <w:rsid w:val="00383FCD"/>
    <w:rsid w:val="0038557B"/>
    <w:rsid w:val="003855D5"/>
    <w:rsid w:val="003869C2"/>
    <w:rsid w:val="003869DC"/>
    <w:rsid w:val="00386A78"/>
    <w:rsid w:val="00386B80"/>
    <w:rsid w:val="00386EAC"/>
    <w:rsid w:val="00392F76"/>
    <w:rsid w:val="00393AD2"/>
    <w:rsid w:val="0039417B"/>
    <w:rsid w:val="00394B1C"/>
    <w:rsid w:val="003962F2"/>
    <w:rsid w:val="00396A28"/>
    <w:rsid w:val="00396DE2"/>
    <w:rsid w:val="003A0610"/>
    <w:rsid w:val="003A0986"/>
    <w:rsid w:val="003A0B62"/>
    <w:rsid w:val="003A2134"/>
    <w:rsid w:val="003A2538"/>
    <w:rsid w:val="003A2AE5"/>
    <w:rsid w:val="003A30D8"/>
    <w:rsid w:val="003A3FA0"/>
    <w:rsid w:val="003A5AF2"/>
    <w:rsid w:val="003A69CA"/>
    <w:rsid w:val="003B192E"/>
    <w:rsid w:val="003B2159"/>
    <w:rsid w:val="003B2AB3"/>
    <w:rsid w:val="003B319B"/>
    <w:rsid w:val="003B3D60"/>
    <w:rsid w:val="003B5B61"/>
    <w:rsid w:val="003B63B4"/>
    <w:rsid w:val="003B652E"/>
    <w:rsid w:val="003B7080"/>
    <w:rsid w:val="003C2D38"/>
    <w:rsid w:val="003C569F"/>
    <w:rsid w:val="003C6EDE"/>
    <w:rsid w:val="003C7A07"/>
    <w:rsid w:val="003C7D78"/>
    <w:rsid w:val="003D0350"/>
    <w:rsid w:val="003D039E"/>
    <w:rsid w:val="003D10D7"/>
    <w:rsid w:val="003D1911"/>
    <w:rsid w:val="003D2608"/>
    <w:rsid w:val="003D33F2"/>
    <w:rsid w:val="003D57E4"/>
    <w:rsid w:val="003D63F3"/>
    <w:rsid w:val="003D6645"/>
    <w:rsid w:val="003E0D4E"/>
    <w:rsid w:val="003E1DAD"/>
    <w:rsid w:val="003E1E20"/>
    <w:rsid w:val="003E5C24"/>
    <w:rsid w:val="003E6520"/>
    <w:rsid w:val="003E68F2"/>
    <w:rsid w:val="003E70CE"/>
    <w:rsid w:val="003F02D5"/>
    <w:rsid w:val="003F119D"/>
    <w:rsid w:val="003F12D7"/>
    <w:rsid w:val="003F4603"/>
    <w:rsid w:val="003F4D43"/>
    <w:rsid w:val="003F6178"/>
    <w:rsid w:val="003F735E"/>
    <w:rsid w:val="0040064D"/>
    <w:rsid w:val="00400E4A"/>
    <w:rsid w:val="00400F45"/>
    <w:rsid w:val="004017D3"/>
    <w:rsid w:val="00401CF8"/>
    <w:rsid w:val="00402A51"/>
    <w:rsid w:val="00402B7F"/>
    <w:rsid w:val="004044B4"/>
    <w:rsid w:val="00404852"/>
    <w:rsid w:val="00405D92"/>
    <w:rsid w:val="00405D96"/>
    <w:rsid w:val="004078A5"/>
    <w:rsid w:val="00407E55"/>
    <w:rsid w:val="00407F4E"/>
    <w:rsid w:val="004107FB"/>
    <w:rsid w:val="00410B38"/>
    <w:rsid w:val="0041205B"/>
    <w:rsid w:val="00412993"/>
    <w:rsid w:val="0041578D"/>
    <w:rsid w:val="0041791C"/>
    <w:rsid w:val="004179DB"/>
    <w:rsid w:val="00420320"/>
    <w:rsid w:val="00421356"/>
    <w:rsid w:val="00421478"/>
    <w:rsid w:val="004215AB"/>
    <w:rsid w:val="0042216C"/>
    <w:rsid w:val="004227EC"/>
    <w:rsid w:val="004242CA"/>
    <w:rsid w:val="004245A9"/>
    <w:rsid w:val="0042522F"/>
    <w:rsid w:val="00425852"/>
    <w:rsid w:val="004258D8"/>
    <w:rsid w:val="00425C02"/>
    <w:rsid w:val="004266B9"/>
    <w:rsid w:val="00430420"/>
    <w:rsid w:val="004307C5"/>
    <w:rsid w:val="00432A69"/>
    <w:rsid w:val="00434711"/>
    <w:rsid w:val="00436183"/>
    <w:rsid w:val="00436DC1"/>
    <w:rsid w:val="0043742F"/>
    <w:rsid w:val="00437EA5"/>
    <w:rsid w:val="00441F66"/>
    <w:rsid w:val="00442809"/>
    <w:rsid w:val="0044296F"/>
    <w:rsid w:val="00442FF8"/>
    <w:rsid w:val="00444FBA"/>
    <w:rsid w:val="0044509B"/>
    <w:rsid w:val="00445BB8"/>
    <w:rsid w:val="00445F28"/>
    <w:rsid w:val="00447323"/>
    <w:rsid w:val="00450680"/>
    <w:rsid w:val="00450C04"/>
    <w:rsid w:val="0045173F"/>
    <w:rsid w:val="0045389A"/>
    <w:rsid w:val="00453C4F"/>
    <w:rsid w:val="00454DFA"/>
    <w:rsid w:val="004550E2"/>
    <w:rsid w:val="004568BF"/>
    <w:rsid w:val="00456C94"/>
    <w:rsid w:val="0045771B"/>
    <w:rsid w:val="00457793"/>
    <w:rsid w:val="00461009"/>
    <w:rsid w:val="00463D25"/>
    <w:rsid w:val="00465183"/>
    <w:rsid w:val="004659BB"/>
    <w:rsid w:val="00465FF1"/>
    <w:rsid w:val="00466ED1"/>
    <w:rsid w:val="004670B6"/>
    <w:rsid w:val="0046735D"/>
    <w:rsid w:val="00470838"/>
    <w:rsid w:val="0047206A"/>
    <w:rsid w:val="00473518"/>
    <w:rsid w:val="004778E6"/>
    <w:rsid w:val="004818BD"/>
    <w:rsid w:val="00482402"/>
    <w:rsid w:val="00482FC7"/>
    <w:rsid w:val="004838D4"/>
    <w:rsid w:val="00483A78"/>
    <w:rsid w:val="00484A3F"/>
    <w:rsid w:val="00484BB7"/>
    <w:rsid w:val="0048554B"/>
    <w:rsid w:val="004871C2"/>
    <w:rsid w:val="0048745D"/>
    <w:rsid w:val="004877F8"/>
    <w:rsid w:val="00491E0C"/>
    <w:rsid w:val="00492FAD"/>
    <w:rsid w:val="0049374D"/>
    <w:rsid w:val="004939A0"/>
    <w:rsid w:val="004956D1"/>
    <w:rsid w:val="0049578B"/>
    <w:rsid w:val="004974EF"/>
    <w:rsid w:val="004976CB"/>
    <w:rsid w:val="004A0E4D"/>
    <w:rsid w:val="004A2DCC"/>
    <w:rsid w:val="004A34DF"/>
    <w:rsid w:val="004A3B1F"/>
    <w:rsid w:val="004A3E5D"/>
    <w:rsid w:val="004A43CC"/>
    <w:rsid w:val="004A448E"/>
    <w:rsid w:val="004A6D3E"/>
    <w:rsid w:val="004A7662"/>
    <w:rsid w:val="004A7B38"/>
    <w:rsid w:val="004B0298"/>
    <w:rsid w:val="004B098B"/>
    <w:rsid w:val="004B21CE"/>
    <w:rsid w:val="004B4E9D"/>
    <w:rsid w:val="004B6905"/>
    <w:rsid w:val="004B699C"/>
    <w:rsid w:val="004C250A"/>
    <w:rsid w:val="004C273E"/>
    <w:rsid w:val="004C32BF"/>
    <w:rsid w:val="004C3737"/>
    <w:rsid w:val="004C4471"/>
    <w:rsid w:val="004C450A"/>
    <w:rsid w:val="004C4C0F"/>
    <w:rsid w:val="004C4EC4"/>
    <w:rsid w:val="004C51CD"/>
    <w:rsid w:val="004C5C3B"/>
    <w:rsid w:val="004C6B8A"/>
    <w:rsid w:val="004C7825"/>
    <w:rsid w:val="004D07A9"/>
    <w:rsid w:val="004D07F2"/>
    <w:rsid w:val="004D1F3D"/>
    <w:rsid w:val="004D352F"/>
    <w:rsid w:val="004D3E83"/>
    <w:rsid w:val="004D4CBC"/>
    <w:rsid w:val="004D5C38"/>
    <w:rsid w:val="004D6536"/>
    <w:rsid w:val="004D7539"/>
    <w:rsid w:val="004D7727"/>
    <w:rsid w:val="004D78E9"/>
    <w:rsid w:val="004E2E70"/>
    <w:rsid w:val="004E3FC3"/>
    <w:rsid w:val="004E4EB2"/>
    <w:rsid w:val="004E4F71"/>
    <w:rsid w:val="004E568A"/>
    <w:rsid w:val="004E58D9"/>
    <w:rsid w:val="004E644C"/>
    <w:rsid w:val="004E65A9"/>
    <w:rsid w:val="004E7C59"/>
    <w:rsid w:val="004F20C2"/>
    <w:rsid w:val="004F31A7"/>
    <w:rsid w:val="004F3A9B"/>
    <w:rsid w:val="004F3ADE"/>
    <w:rsid w:val="004F535F"/>
    <w:rsid w:val="004F5AB0"/>
    <w:rsid w:val="004F69FC"/>
    <w:rsid w:val="004F6A88"/>
    <w:rsid w:val="004F7035"/>
    <w:rsid w:val="004F7C7E"/>
    <w:rsid w:val="005016C1"/>
    <w:rsid w:val="0050182A"/>
    <w:rsid w:val="00501861"/>
    <w:rsid w:val="00501BE7"/>
    <w:rsid w:val="00501D41"/>
    <w:rsid w:val="005039A7"/>
    <w:rsid w:val="005047C9"/>
    <w:rsid w:val="0050487D"/>
    <w:rsid w:val="0050622E"/>
    <w:rsid w:val="00512726"/>
    <w:rsid w:val="00514062"/>
    <w:rsid w:val="005152F9"/>
    <w:rsid w:val="00515AA1"/>
    <w:rsid w:val="00517DCC"/>
    <w:rsid w:val="005223D0"/>
    <w:rsid w:val="0052352E"/>
    <w:rsid w:val="0052713E"/>
    <w:rsid w:val="005317E8"/>
    <w:rsid w:val="00533299"/>
    <w:rsid w:val="005335E5"/>
    <w:rsid w:val="0053481A"/>
    <w:rsid w:val="00535866"/>
    <w:rsid w:val="00535E04"/>
    <w:rsid w:val="0053627A"/>
    <w:rsid w:val="005367D4"/>
    <w:rsid w:val="0053746D"/>
    <w:rsid w:val="005423C0"/>
    <w:rsid w:val="00543BD1"/>
    <w:rsid w:val="00545832"/>
    <w:rsid w:val="005468ED"/>
    <w:rsid w:val="00547FF2"/>
    <w:rsid w:val="005507FC"/>
    <w:rsid w:val="005516CF"/>
    <w:rsid w:val="00551A11"/>
    <w:rsid w:val="00552B1F"/>
    <w:rsid w:val="00553D52"/>
    <w:rsid w:val="0055470F"/>
    <w:rsid w:val="005577F0"/>
    <w:rsid w:val="00560CEF"/>
    <w:rsid w:val="00561C81"/>
    <w:rsid w:val="0056285F"/>
    <w:rsid w:val="00562CD1"/>
    <w:rsid w:val="00563207"/>
    <w:rsid w:val="00565A87"/>
    <w:rsid w:val="00566AA0"/>
    <w:rsid w:val="0057079C"/>
    <w:rsid w:val="00572FA5"/>
    <w:rsid w:val="005747C6"/>
    <w:rsid w:val="00574E16"/>
    <w:rsid w:val="0057583B"/>
    <w:rsid w:val="00576509"/>
    <w:rsid w:val="0058005B"/>
    <w:rsid w:val="005838A7"/>
    <w:rsid w:val="00583F28"/>
    <w:rsid w:val="00584C84"/>
    <w:rsid w:val="005850AC"/>
    <w:rsid w:val="00585E56"/>
    <w:rsid w:val="00586056"/>
    <w:rsid w:val="00586E16"/>
    <w:rsid w:val="005919AD"/>
    <w:rsid w:val="00593BA9"/>
    <w:rsid w:val="00594DA6"/>
    <w:rsid w:val="00596D2B"/>
    <w:rsid w:val="00597C60"/>
    <w:rsid w:val="005A050B"/>
    <w:rsid w:val="005A085F"/>
    <w:rsid w:val="005A11C0"/>
    <w:rsid w:val="005A1B86"/>
    <w:rsid w:val="005A1FF2"/>
    <w:rsid w:val="005A4FF2"/>
    <w:rsid w:val="005A53C8"/>
    <w:rsid w:val="005A68FF"/>
    <w:rsid w:val="005A6C20"/>
    <w:rsid w:val="005A73E5"/>
    <w:rsid w:val="005B131D"/>
    <w:rsid w:val="005B1B19"/>
    <w:rsid w:val="005B7807"/>
    <w:rsid w:val="005C28DD"/>
    <w:rsid w:val="005C44B6"/>
    <w:rsid w:val="005C47C1"/>
    <w:rsid w:val="005C49E6"/>
    <w:rsid w:val="005C51EA"/>
    <w:rsid w:val="005C551D"/>
    <w:rsid w:val="005C58BC"/>
    <w:rsid w:val="005C6187"/>
    <w:rsid w:val="005C784F"/>
    <w:rsid w:val="005D0EA5"/>
    <w:rsid w:val="005D2E4E"/>
    <w:rsid w:val="005D3591"/>
    <w:rsid w:val="005D47A7"/>
    <w:rsid w:val="005D4C7E"/>
    <w:rsid w:val="005D4E51"/>
    <w:rsid w:val="005D552B"/>
    <w:rsid w:val="005D6372"/>
    <w:rsid w:val="005D771D"/>
    <w:rsid w:val="005E2E4B"/>
    <w:rsid w:val="005E3D64"/>
    <w:rsid w:val="005E3F97"/>
    <w:rsid w:val="005E53CE"/>
    <w:rsid w:val="005E6023"/>
    <w:rsid w:val="005E6160"/>
    <w:rsid w:val="005E72CC"/>
    <w:rsid w:val="005F09EC"/>
    <w:rsid w:val="005F0C87"/>
    <w:rsid w:val="005F142A"/>
    <w:rsid w:val="005F1928"/>
    <w:rsid w:val="005F32A0"/>
    <w:rsid w:val="005F4945"/>
    <w:rsid w:val="005F4DAA"/>
    <w:rsid w:val="005F4EDD"/>
    <w:rsid w:val="005F51D9"/>
    <w:rsid w:val="005F6085"/>
    <w:rsid w:val="005F629A"/>
    <w:rsid w:val="005F66A6"/>
    <w:rsid w:val="005F7167"/>
    <w:rsid w:val="00600987"/>
    <w:rsid w:val="00601108"/>
    <w:rsid w:val="00601F64"/>
    <w:rsid w:val="00602D81"/>
    <w:rsid w:val="00602FCC"/>
    <w:rsid w:val="006031D0"/>
    <w:rsid w:val="0060326C"/>
    <w:rsid w:val="0060405D"/>
    <w:rsid w:val="00604B36"/>
    <w:rsid w:val="00604DC8"/>
    <w:rsid w:val="00605051"/>
    <w:rsid w:val="00605B29"/>
    <w:rsid w:val="00606930"/>
    <w:rsid w:val="00606A1A"/>
    <w:rsid w:val="00610088"/>
    <w:rsid w:val="00611E30"/>
    <w:rsid w:val="00613A77"/>
    <w:rsid w:val="00613B5E"/>
    <w:rsid w:val="00613C02"/>
    <w:rsid w:val="00614A59"/>
    <w:rsid w:val="00614F18"/>
    <w:rsid w:val="00615282"/>
    <w:rsid w:val="00615357"/>
    <w:rsid w:val="006156C0"/>
    <w:rsid w:val="006208AE"/>
    <w:rsid w:val="00620911"/>
    <w:rsid w:val="00621702"/>
    <w:rsid w:val="00621F6E"/>
    <w:rsid w:val="00624C93"/>
    <w:rsid w:val="00624FA0"/>
    <w:rsid w:val="0062523A"/>
    <w:rsid w:val="006257D8"/>
    <w:rsid w:val="00625E04"/>
    <w:rsid w:val="00627F32"/>
    <w:rsid w:val="00630270"/>
    <w:rsid w:val="006306D0"/>
    <w:rsid w:val="00633DF5"/>
    <w:rsid w:val="00634269"/>
    <w:rsid w:val="00635439"/>
    <w:rsid w:val="00642640"/>
    <w:rsid w:val="00643B9B"/>
    <w:rsid w:val="00643CBC"/>
    <w:rsid w:val="00644910"/>
    <w:rsid w:val="00644C34"/>
    <w:rsid w:val="00646F7D"/>
    <w:rsid w:val="00647660"/>
    <w:rsid w:val="00647963"/>
    <w:rsid w:val="00647A75"/>
    <w:rsid w:val="00647D99"/>
    <w:rsid w:val="00656DDC"/>
    <w:rsid w:val="00657524"/>
    <w:rsid w:val="00657B06"/>
    <w:rsid w:val="00660813"/>
    <w:rsid w:val="00660C22"/>
    <w:rsid w:val="00660DBF"/>
    <w:rsid w:val="00661BD0"/>
    <w:rsid w:val="006624BE"/>
    <w:rsid w:val="006625AA"/>
    <w:rsid w:val="00662611"/>
    <w:rsid w:val="006630C5"/>
    <w:rsid w:val="00664ED3"/>
    <w:rsid w:val="00665928"/>
    <w:rsid w:val="00666208"/>
    <w:rsid w:val="00667F43"/>
    <w:rsid w:val="00670D1A"/>
    <w:rsid w:val="00671DFF"/>
    <w:rsid w:val="00672104"/>
    <w:rsid w:val="006739C5"/>
    <w:rsid w:val="006751BB"/>
    <w:rsid w:val="006778A3"/>
    <w:rsid w:val="00681771"/>
    <w:rsid w:val="00682016"/>
    <w:rsid w:val="0068270F"/>
    <w:rsid w:val="006835D9"/>
    <w:rsid w:val="00683C71"/>
    <w:rsid w:val="00684329"/>
    <w:rsid w:val="00684C4B"/>
    <w:rsid w:val="00685F77"/>
    <w:rsid w:val="00686D30"/>
    <w:rsid w:val="00691135"/>
    <w:rsid w:val="00691CD7"/>
    <w:rsid w:val="00692A17"/>
    <w:rsid w:val="00692E12"/>
    <w:rsid w:val="0069309E"/>
    <w:rsid w:val="00693C6E"/>
    <w:rsid w:val="00694C83"/>
    <w:rsid w:val="0069608A"/>
    <w:rsid w:val="006977D1"/>
    <w:rsid w:val="006A1E6E"/>
    <w:rsid w:val="006A2004"/>
    <w:rsid w:val="006A2FE1"/>
    <w:rsid w:val="006A3172"/>
    <w:rsid w:val="006A428A"/>
    <w:rsid w:val="006A4347"/>
    <w:rsid w:val="006A486D"/>
    <w:rsid w:val="006A74B8"/>
    <w:rsid w:val="006B14E5"/>
    <w:rsid w:val="006B26CD"/>
    <w:rsid w:val="006B3030"/>
    <w:rsid w:val="006B3260"/>
    <w:rsid w:val="006B36F1"/>
    <w:rsid w:val="006B40E7"/>
    <w:rsid w:val="006B4184"/>
    <w:rsid w:val="006B4842"/>
    <w:rsid w:val="006B75BB"/>
    <w:rsid w:val="006B7EE2"/>
    <w:rsid w:val="006C062B"/>
    <w:rsid w:val="006C0E98"/>
    <w:rsid w:val="006C23D6"/>
    <w:rsid w:val="006C33BD"/>
    <w:rsid w:val="006C3E27"/>
    <w:rsid w:val="006C49EF"/>
    <w:rsid w:val="006C4C42"/>
    <w:rsid w:val="006C633F"/>
    <w:rsid w:val="006C6FA7"/>
    <w:rsid w:val="006C70A0"/>
    <w:rsid w:val="006C7D50"/>
    <w:rsid w:val="006D19E9"/>
    <w:rsid w:val="006D26B8"/>
    <w:rsid w:val="006D2A90"/>
    <w:rsid w:val="006D2DF3"/>
    <w:rsid w:val="006D30BA"/>
    <w:rsid w:val="006D68A4"/>
    <w:rsid w:val="006D6A40"/>
    <w:rsid w:val="006D7001"/>
    <w:rsid w:val="006D7758"/>
    <w:rsid w:val="006D7E64"/>
    <w:rsid w:val="006E1AB0"/>
    <w:rsid w:val="006E1B77"/>
    <w:rsid w:val="006E2658"/>
    <w:rsid w:val="006E2A56"/>
    <w:rsid w:val="006E2A85"/>
    <w:rsid w:val="006E3A68"/>
    <w:rsid w:val="006E40EB"/>
    <w:rsid w:val="006E539F"/>
    <w:rsid w:val="006E5980"/>
    <w:rsid w:val="006E60B4"/>
    <w:rsid w:val="006F0B73"/>
    <w:rsid w:val="006F2728"/>
    <w:rsid w:val="006F36C1"/>
    <w:rsid w:val="006F3A2F"/>
    <w:rsid w:val="006F5175"/>
    <w:rsid w:val="006F528E"/>
    <w:rsid w:val="006F5D75"/>
    <w:rsid w:val="006F675A"/>
    <w:rsid w:val="006F7B35"/>
    <w:rsid w:val="007001E5"/>
    <w:rsid w:val="007006D1"/>
    <w:rsid w:val="007008B6"/>
    <w:rsid w:val="0070451D"/>
    <w:rsid w:val="00706396"/>
    <w:rsid w:val="007068A8"/>
    <w:rsid w:val="0071085C"/>
    <w:rsid w:val="00711E4E"/>
    <w:rsid w:val="007120F6"/>
    <w:rsid w:val="007124C6"/>
    <w:rsid w:val="0071291F"/>
    <w:rsid w:val="007129AB"/>
    <w:rsid w:val="00712B6B"/>
    <w:rsid w:val="0071311E"/>
    <w:rsid w:val="00714407"/>
    <w:rsid w:val="00714434"/>
    <w:rsid w:val="00714B82"/>
    <w:rsid w:val="00715AB9"/>
    <w:rsid w:val="00720C2D"/>
    <w:rsid w:val="00721273"/>
    <w:rsid w:val="007212E1"/>
    <w:rsid w:val="00722A87"/>
    <w:rsid w:val="00723639"/>
    <w:rsid w:val="00724B5A"/>
    <w:rsid w:val="007250DC"/>
    <w:rsid w:val="00726614"/>
    <w:rsid w:val="00726C6D"/>
    <w:rsid w:val="00726E9D"/>
    <w:rsid w:val="00730A8F"/>
    <w:rsid w:val="00730D23"/>
    <w:rsid w:val="00732D19"/>
    <w:rsid w:val="00732F32"/>
    <w:rsid w:val="0073340A"/>
    <w:rsid w:val="00733522"/>
    <w:rsid w:val="00734903"/>
    <w:rsid w:val="00735231"/>
    <w:rsid w:val="0073537A"/>
    <w:rsid w:val="00735CB0"/>
    <w:rsid w:val="00736E5F"/>
    <w:rsid w:val="00737013"/>
    <w:rsid w:val="00737738"/>
    <w:rsid w:val="0074108C"/>
    <w:rsid w:val="00741680"/>
    <w:rsid w:val="00741A60"/>
    <w:rsid w:val="00743BFC"/>
    <w:rsid w:val="00745AD7"/>
    <w:rsid w:val="00747F71"/>
    <w:rsid w:val="007500D2"/>
    <w:rsid w:val="0075067B"/>
    <w:rsid w:val="00751C86"/>
    <w:rsid w:val="00753978"/>
    <w:rsid w:val="007545A4"/>
    <w:rsid w:val="00754C99"/>
    <w:rsid w:val="0075507C"/>
    <w:rsid w:val="00755CB2"/>
    <w:rsid w:val="00755F4C"/>
    <w:rsid w:val="00756471"/>
    <w:rsid w:val="00756965"/>
    <w:rsid w:val="00756AD0"/>
    <w:rsid w:val="00756BED"/>
    <w:rsid w:val="0075703B"/>
    <w:rsid w:val="00757EE4"/>
    <w:rsid w:val="00763DA0"/>
    <w:rsid w:val="00764280"/>
    <w:rsid w:val="00764A82"/>
    <w:rsid w:val="007679A6"/>
    <w:rsid w:val="00767D2F"/>
    <w:rsid w:val="00770899"/>
    <w:rsid w:val="00770A27"/>
    <w:rsid w:val="00774425"/>
    <w:rsid w:val="007746A4"/>
    <w:rsid w:val="00774BC6"/>
    <w:rsid w:val="00774CAC"/>
    <w:rsid w:val="007750BC"/>
    <w:rsid w:val="0077613A"/>
    <w:rsid w:val="0077655C"/>
    <w:rsid w:val="0077686E"/>
    <w:rsid w:val="00780835"/>
    <w:rsid w:val="00780A96"/>
    <w:rsid w:val="007811BA"/>
    <w:rsid w:val="00781442"/>
    <w:rsid w:val="007817E7"/>
    <w:rsid w:val="00782576"/>
    <w:rsid w:val="00782A01"/>
    <w:rsid w:val="00782FB1"/>
    <w:rsid w:val="007868D2"/>
    <w:rsid w:val="00786A74"/>
    <w:rsid w:val="00790727"/>
    <w:rsid w:val="00792689"/>
    <w:rsid w:val="00792CDB"/>
    <w:rsid w:val="00792F73"/>
    <w:rsid w:val="00794579"/>
    <w:rsid w:val="00794A69"/>
    <w:rsid w:val="007955A3"/>
    <w:rsid w:val="007961E9"/>
    <w:rsid w:val="007A054A"/>
    <w:rsid w:val="007A1BC8"/>
    <w:rsid w:val="007A46BB"/>
    <w:rsid w:val="007A4EAB"/>
    <w:rsid w:val="007A59E8"/>
    <w:rsid w:val="007A5B5D"/>
    <w:rsid w:val="007A794A"/>
    <w:rsid w:val="007A7C15"/>
    <w:rsid w:val="007B00AC"/>
    <w:rsid w:val="007B0830"/>
    <w:rsid w:val="007B0BC8"/>
    <w:rsid w:val="007B2523"/>
    <w:rsid w:val="007B2C9E"/>
    <w:rsid w:val="007B3B60"/>
    <w:rsid w:val="007B6032"/>
    <w:rsid w:val="007B694B"/>
    <w:rsid w:val="007B7629"/>
    <w:rsid w:val="007B7E91"/>
    <w:rsid w:val="007C0B2C"/>
    <w:rsid w:val="007C11A8"/>
    <w:rsid w:val="007C4176"/>
    <w:rsid w:val="007C4939"/>
    <w:rsid w:val="007C565A"/>
    <w:rsid w:val="007C5E58"/>
    <w:rsid w:val="007C6D96"/>
    <w:rsid w:val="007C6DDC"/>
    <w:rsid w:val="007C78FA"/>
    <w:rsid w:val="007D04BB"/>
    <w:rsid w:val="007D06A4"/>
    <w:rsid w:val="007D11DA"/>
    <w:rsid w:val="007D14C2"/>
    <w:rsid w:val="007D190C"/>
    <w:rsid w:val="007D22AE"/>
    <w:rsid w:val="007D299E"/>
    <w:rsid w:val="007D2B2F"/>
    <w:rsid w:val="007D3197"/>
    <w:rsid w:val="007D411E"/>
    <w:rsid w:val="007D4849"/>
    <w:rsid w:val="007D5743"/>
    <w:rsid w:val="007D63B3"/>
    <w:rsid w:val="007D7AFB"/>
    <w:rsid w:val="007E0441"/>
    <w:rsid w:val="007E0910"/>
    <w:rsid w:val="007E1454"/>
    <w:rsid w:val="007E2505"/>
    <w:rsid w:val="007E260D"/>
    <w:rsid w:val="007E28A4"/>
    <w:rsid w:val="007E43B7"/>
    <w:rsid w:val="007E4D8F"/>
    <w:rsid w:val="007E4DC7"/>
    <w:rsid w:val="007E4DCA"/>
    <w:rsid w:val="007E545A"/>
    <w:rsid w:val="007E5FFC"/>
    <w:rsid w:val="007E772A"/>
    <w:rsid w:val="007E79DD"/>
    <w:rsid w:val="007F01D6"/>
    <w:rsid w:val="007F4C13"/>
    <w:rsid w:val="007F6183"/>
    <w:rsid w:val="007F638B"/>
    <w:rsid w:val="007F6691"/>
    <w:rsid w:val="007F66B8"/>
    <w:rsid w:val="007F7012"/>
    <w:rsid w:val="00800758"/>
    <w:rsid w:val="0080113B"/>
    <w:rsid w:val="00801BDF"/>
    <w:rsid w:val="008035F2"/>
    <w:rsid w:val="00805617"/>
    <w:rsid w:val="008063C6"/>
    <w:rsid w:val="00806A50"/>
    <w:rsid w:val="00810845"/>
    <w:rsid w:val="00813191"/>
    <w:rsid w:val="0081353D"/>
    <w:rsid w:val="00813865"/>
    <w:rsid w:val="008150E2"/>
    <w:rsid w:val="00816A25"/>
    <w:rsid w:val="00817951"/>
    <w:rsid w:val="00821032"/>
    <w:rsid w:val="00822EA7"/>
    <w:rsid w:val="008246D7"/>
    <w:rsid w:val="00824BBD"/>
    <w:rsid w:val="008261E9"/>
    <w:rsid w:val="0082683A"/>
    <w:rsid w:val="008268FC"/>
    <w:rsid w:val="0082708D"/>
    <w:rsid w:val="008270F1"/>
    <w:rsid w:val="008270F9"/>
    <w:rsid w:val="008272CC"/>
    <w:rsid w:val="008312B6"/>
    <w:rsid w:val="00832B9C"/>
    <w:rsid w:val="00833B36"/>
    <w:rsid w:val="0083430B"/>
    <w:rsid w:val="00834E9F"/>
    <w:rsid w:val="00835B17"/>
    <w:rsid w:val="00835DF9"/>
    <w:rsid w:val="0083673B"/>
    <w:rsid w:val="00836E10"/>
    <w:rsid w:val="0084018C"/>
    <w:rsid w:val="00840923"/>
    <w:rsid w:val="00840EB4"/>
    <w:rsid w:val="008417A4"/>
    <w:rsid w:val="00841AD4"/>
    <w:rsid w:val="00842CFD"/>
    <w:rsid w:val="008435BB"/>
    <w:rsid w:val="0084454D"/>
    <w:rsid w:val="008445AD"/>
    <w:rsid w:val="00845D4D"/>
    <w:rsid w:val="00846833"/>
    <w:rsid w:val="00846EA4"/>
    <w:rsid w:val="008476D0"/>
    <w:rsid w:val="00847C93"/>
    <w:rsid w:val="00847D90"/>
    <w:rsid w:val="008507B0"/>
    <w:rsid w:val="00850A55"/>
    <w:rsid w:val="00850F74"/>
    <w:rsid w:val="00852154"/>
    <w:rsid w:val="0085290F"/>
    <w:rsid w:val="00852E5C"/>
    <w:rsid w:val="008533A5"/>
    <w:rsid w:val="0085396A"/>
    <w:rsid w:val="00855318"/>
    <w:rsid w:val="00862C1F"/>
    <w:rsid w:val="00862D4B"/>
    <w:rsid w:val="0086702A"/>
    <w:rsid w:val="008671C1"/>
    <w:rsid w:val="00867496"/>
    <w:rsid w:val="008675AF"/>
    <w:rsid w:val="008700F6"/>
    <w:rsid w:val="00870D08"/>
    <w:rsid w:val="00871E62"/>
    <w:rsid w:val="00872558"/>
    <w:rsid w:val="00872621"/>
    <w:rsid w:val="00873214"/>
    <w:rsid w:val="008737A8"/>
    <w:rsid w:val="008769D0"/>
    <w:rsid w:val="008807E2"/>
    <w:rsid w:val="00882081"/>
    <w:rsid w:val="0088373B"/>
    <w:rsid w:val="0088424A"/>
    <w:rsid w:val="008847A4"/>
    <w:rsid w:val="00884D1D"/>
    <w:rsid w:val="00885F55"/>
    <w:rsid w:val="00886500"/>
    <w:rsid w:val="008878E3"/>
    <w:rsid w:val="008915EA"/>
    <w:rsid w:val="008922B8"/>
    <w:rsid w:val="00893702"/>
    <w:rsid w:val="0089481F"/>
    <w:rsid w:val="00895A11"/>
    <w:rsid w:val="008A0145"/>
    <w:rsid w:val="008A059D"/>
    <w:rsid w:val="008A086C"/>
    <w:rsid w:val="008A14D2"/>
    <w:rsid w:val="008A17CC"/>
    <w:rsid w:val="008A1B38"/>
    <w:rsid w:val="008A1CC4"/>
    <w:rsid w:val="008A1F19"/>
    <w:rsid w:val="008A38E5"/>
    <w:rsid w:val="008A3C75"/>
    <w:rsid w:val="008A43C4"/>
    <w:rsid w:val="008A5779"/>
    <w:rsid w:val="008A79A1"/>
    <w:rsid w:val="008B03F3"/>
    <w:rsid w:val="008B246B"/>
    <w:rsid w:val="008B2892"/>
    <w:rsid w:val="008B4478"/>
    <w:rsid w:val="008B72AE"/>
    <w:rsid w:val="008C040E"/>
    <w:rsid w:val="008C15BF"/>
    <w:rsid w:val="008C15F8"/>
    <w:rsid w:val="008C19BD"/>
    <w:rsid w:val="008C1C37"/>
    <w:rsid w:val="008C421D"/>
    <w:rsid w:val="008C4C91"/>
    <w:rsid w:val="008C5FCC"/>
    <w:rsid w:val="008C61C7"/>
    <w:rsid w:val="008C6642"/>
    <w:rsid w:val="008D0572"/>
    <w:rsid w:val="008D0ED0"/>
    <w:rsid w:val="008D216B"/>
    <w:rsid w:val="008D24F1"/>
    <w:rsid w:val="008D4923"/>
    <w:rsid w:val="008D4E7E"/>
    <w:rsid w:val="008D59A2"/>
    <w:rsid w:val="008D5F8B"/>
    <w:rsid w:val="008E00C6"/>
    <w:rsid w:val="008E0FAB"/>
    <w:rsid w:val="008E2002"/>
    <w:rsid w:val="008E3DAF"/>
    <w:rsid w:val="008E4069"/>
    <w:rsid w:val="008E6011"/>
    <w:rsid w:val="008E6D62"/>
    <w:rsid w:val="008F34EC"/>
    <w:rsid w:val="008F5305"/>
    <w:rsid w:val="008F6DE0"/>
    <w:rsid w:val="00900FC7"/>
    <w:rsid w:val="0090159D"/>
    <w:rsid w:val="009015B6"/>
    <w:rsid w:val="00901CB5"/>
    <w:rsid w:val="00903875"/>
    <w:rsid w:val="00903902"/>
    <w:rsid w:val="009042CF"/>
    <w:rsid w:val="00904BE6"/>
    <w:rsid w:val="00905F46"/>
    <w:rsid w:val="009060D7"/>
    <w:rsid w:val="00910792"/>
    <w:rsid w:val="00910D2A"/>
    <w:rsid w:val="00911358"/>
    <w:rsid w:val="009120C4"/>
    <w:rsid w:val="009125DB"/>
    <w:rsid w:val="00915543"/>
    <w:rsid w:val="00915613"/>
    <w:rsid w:val="00916D1A"/>
    <w:rsid w:val="00916F34"/>
    <w:rsid w:val="00917BC1"/>
    <w:rsid w:val="00922CD2"/>
    <w:rsid w:val="00923866"/>
    <w:rsid w:val="0092393E"/>
    <w:rsid w:val="0092459D"/>
    <w:rsid w:val="0092465B"/>
    <w:rsid w:val="00924C1A"/>
    <w:rsid w:val="00926767"/>
    <w:rsid w:val="00926954"/>
    <w:rsid w:val="00926D04"/>
    <w:rsid w:val="00926FD4"/>
    <w:rsid w:val="009272B3"/>
    <w:rsid w:val="00931230"/>
    <w:rsid w:val="00932A06"/>
    <w:rsid w:val="009338D7"/>
    <w:rsid w:val="009342A3"/>
    <w:rsid w:val="00935C2A"/>
    <w:rsid w:val="00935DE9"/>
    <w:rsid w:val="00936CB3"/>
    <w:rsid w:val="00936D8D"/>
    <w:rsid w:val="00937F0F"/>
    <w:rsid w:val="00941D19"/>
    <w:rsid w:val="00942D3D"/>
    <w:rsid w:val="009447EB"/>
    <w:rsid w:val="00945115"/>
    <w:rsid w:val="00945120"/>
    <w:rsid w:val="00950C68"/>
    <w:rsid w:val="00952273"/>
    <w:rsid w:val="0095298B"/>
    <w:rsid w:val="00953016"/>
    <w:rsid w:val="00953FC2"/>
    <w:rsid w:val="00954230"/>
    <w:rsid w:val="00955404"/>
    <w:rsid w:val="00955D3F"/>
    <w:rsid w:val="0095627D"/>
    <w:rsid w:val="00956347"/>
    <w:rsid w:val="00957BC0"/>
    <w:rsid w:val="00960117"/>
    <w:rsid w:val="009605E2"/>
    <w:rsid w:val="00960746"/>
    <w:rsid w:val="0096098C"/>
    <w:rsid w:val="00961C47"/>
    <w:rsid w:val="00964A08"/>
    <w:rsid w:val="00964C4B"/>
    <w:rsid w:val="009664CF"/>
    <w:rsid w:val="0096689D"/>
    <w:rsid w:val="0097264B"/>
    <w:rsid w:val="00972E22"/>
    <w:rsid w:val="00973073"/>
    <w:rsid w:val="00974559"/>
    <w:rsid w:val="009757ED"/>
    <w:rsid w:val="00975A03"/>
    <w:rsid w:val="00975EEA"/>
    <w:rsid w:val="009773A3"/>
    <w:rsid w:val="00980ECD"/>
    <w:rsid w:val="00981B5F"/>
    <w:rsid w:val="0098581A"/>
    <w:rsid w:val="00986743"/>
    <w:rsid w:val="00990160"/>
    <w:rsid w:val="00991C9A"/>
    <w:rsid w:val="00992683"/>
    <w:rsid w:val="00993DB4"/>
    <w:rsid w:val="009946BE"/>
    <w:rsid w:val="00994ECF"/>
    <w:rsid w:val="00994F14"/>
    <w:rsid w:val="00995239"/>
    <w:rsid w:val="00996780"/>
    <w:rsid w:val="009A0F8A"/>
    <w:rsid w:val="009A2513"/>
    <w:rsid w:val="009A3491"/>
    <w:rsid w:val="009A36A3"/>
    <w:rsid w:val="009A450C"/>
    <w:rsid w:val="009A67DC"/>
    <w:rsid w:val="009A74A4"/>
    <w:rsid w:val="009A7B81"/>
    <w:rsid w:val="009B06CF"/>
    <w:rsid w:val="009B1984"/>
    <w:rsid w:val="009B217A"/>
    <w:rsid w:val="009B250B"/>
    <w:rsid w:val="009B27BB"/>
    <w:rsid w:val="009B2859"/>
    <w:rsid w:val="009B3920"/>
    <w:rsid w:val="009B41DF"/>
    <w:rsid w:val="009B4328"/>
    <w:rsid w:val="009B4730"/>
    <w:rsid w:val="009B594F"/>
    <w:rsid w:val="009B59F3"/>
    <w:rsid w:val="009C1A65"/>
    <w:rsid w:val="009C2569"/>
    <w:rsid w:val="009C42EA"/>
    <w:rsid w:val="009C48B2"/>
    <w:rsid w:val="009C5202"/>
    <w:rsid w:val="009C640F"/>
    <w:rsid w:val="009C6B5E"/>
    <w:rsid w:val="009C7200"/>
    <w:rsid w:val="009C7433"/>
    <w:rsid w:val="009D0AAE"/>
    <w:rsid w:val="009D1104"/>
    <w:rsid w:val="009D2D2A"/>
    <w:rsid w:val="009D303E"/>
    <w:rsid w:val="009D4C09"/>
    <w:rsid w:val="009D4F27"/>
    <w:rsid w:val="009E2A0C"/>
    <w:rsid w:val="009E2CC9"/>
    <w:rsid w:val="009E41C0"/>
    <w:rsid w:val="009E5AA4"/>
    <w:rsid w:val="009E5FB8"/>
    <w:rsid w:val="009E632C"/>
    <w:rsid w:val="009E683E"/>
    <w:rsid w:val="009E7290"/>
    <w:rsid w:val="009F1316"/>
    <w:rsid w:val="009F2070"/>
    <w:rsid w:val="009F2266"/>
    <w:rsid w:val="009F3663"/>
    <w:rsid w:val="009F3AB1"/>
    <w:rsid w:val="009F3C78"/>
    <w:rsid w:val="009F5644"/>
    <w:rsid w:val="009F6EE5"/>
    <w:rsid w:val="009F7F0A"/>
    <w:rsid w:val="00A00294"/>
    <w:rsid w:val="00A0058F"/>
    <w:rsid w:val="00A012C8"/>
    <w:rsid w:val="00A01930"/>
    <w:rsid w:val="00A01D9A"/>
    <w:rsid w:val="00A02EC7"/>
    <w:rsid w:val="00A03119"/>
    <w:rsid w:val="00A03BDF"/>
    <w:rsid w:val="00A05E78"/>
    <w:rsid w:val="00A0602E"/>
    <w:rsid w:val="00A06F08"/>
    <w:rsid w:val="00A10457"/>
    <w:rsid w:val="00A12A1D"/>
    <w:rsid w:val="00A13107"/>
    <w:rsid w:val="00A1366A"/>
    <w:rsid w:val="00A16E4B"/>
    <w:rsid w:val="00A1780B"/>
    <w:rsid w:val="00A21A5A"/>
    <w:rsid w:val="00A2222A"/>
    <w:rsid w:val="00A23F42"/>
    <w:rsid w:val="00A249F4"/>
    <w:rsid w:val="00A24B10"/>
    <w:rsid w:val="00A25CC7"/>
    <w:rsid w:val="00A26492"/>
    <w:rsid w:val="00A273D4"/>
    <w:rsid w:val="00A278A2"/>
    <w:rsid w:val="00A32E9B"/>
    <w:rsid w:val="00A33285"/>
    <w:rsid w:val="00A33DE8"/>
    <w:rsid w:val="00A35915"/>
    <w:rsid w:val="00A35B74"/>
    <w:rsid w:val="00A3646E"/>
    <w:rsid w:val="00A36E05"/>
    <w:rsid w:val="00A37CBF"/>
    <w:rsid w:val="00A4048A"/>
    <w:rsid w:val="00A42137"/>
    <w:rsid w:val="00A42298"/>
    <w:rsid w:val="00A42C26"/>
    <w:rsid w:val="00A45DE3"/>
    <w:rsid w:val="00A46A67"/>
    <w:rsid w:val="00A46EED"/>
    <w:rsid w:val="00A50697"/>
    <w:rsid w:val="00A5145A"/>
    <w:rsid w:val="00A517AD"/>
    <w:rsid w:val="00A52108"/>
    <w:rsid w:val="00A52E41"/>
    <w:rsid w:val="00A534C3"/>
    <w:rsid w:val="00A543A8"/>
    <w:rsid w:val="00A5540E"/>
    <w:rsid w:val="00A55C9D"/>
    <w:rsid w:val="00A56392"/>
    <w:rsid w:val="00A56447"/>
    <w:rsid w:val="00A5748E"/>
    <w:rsid w:val="00A6015F"/>
    <w:rsid w:val="00A6076B"/>
    <w:rsid w:val="00A609A9"/>
    <w:rsid w:val="00A62565"/>
    <w:rsid w:val="00A65B2D"/>
    <w:rsid w:val="00A6617B"/>
    <w:rsid w:val="00A665B1"/>
    <w:rsid w:val="00A66D41"/>
    <w:rsid w:val="00A67EA9"/>
    <w:rsid w:val="00A71A3D"/>
    <w:rsid w:val="00A730CC"/>
    <w:rsid w:val="00A7318F"/>
    <w:rsid w:val="00A73324"/>
    <w:rsid w:val="00A73503"/>
    <w:rsid w:val="00A73684"/>
    <w:rsid w:val="00A7465B"/>
    <w:rsid w:val="00A7490C"/>
    <w:rsid w:val="00A749EE"/>
    <w:rsid w:val="00A75691"/>
    <w:rsid w:val="00A76DEF"/>
    <w:rsid w:val="00A7763B"/>
    <w:rsid w:val="00A77AE4"/>
    <w:rsid w:val="00A77C70"/>
    <w:rsid w:val="00A805D4"/>
    <w:rsid w:val="00A81A0C"/>
    <w:rsid w:val="00A848E4"/>
    <w:rsid w:val="00A858DC"/>
    <w:rsid w:val="00A86182"/>
    <w:rsid w:val="00A86ED7"/>
    <w:rsid w:val="00A91BD6"/>
    <w:rsid w:val="00A93BAC"/>
    <w:rsid w:val="00A94D86"/>
    <w:rsid w:val="00A950AC"/>
    <w:rsid w:val="00AA00C1"/>
    <w:rsid w:val="00AA2F3D"/>
    <w:rsid w:val="00AA3CDD"/>
    <w:rsid w:val="00AA3FEC"/>
    <w:rsid w:val="00AA425A"/>
    <w:rsid w:val="00AA43B5"/>
    <w:rsid w:val="00AA4501"/>
    <w:rsid w:val="00AA4D1B"/>
    <w:rsid w:val="00AA5085"/>
    <w:rsid w:val="00AA61E3"/>
    <w:rsid w:val="00AA66EA"/>
    <w:rsid w:val="00AB0942"/>
    <w:rsid w:val="00AB0F93"/>
    <w:rsid w:val="00AB369F"/>
    <w:rsid w:val="00AB3D9B"/>
    <w:rsid w:val="00AB3E7C"/>
    <w:rsid w:val="00AB486E"/>
    <w:rsid w:val="00AB6C79"/>
    <w:rsid w:val="00AB7D5A"/>
    <w:rsid w:val="00AB7D97"/>
    <w:rsid w:val="00AC00B6"/>
    <w:rsid w:val="00AC0AF1"/>
    <w:rsid w:val="00AC2D71"/>
    <w:rsid w:val="00AC3CFA"/>
    <w:rsid w:val="00AC6021"/>
    <w:rsid w:val="00AC6962"/>
    <w:rsid w:val="00AC7072"/>
    <w:rsid w:val="00AC7329"/>
    <w:rsid w:val="00AC742E"/>
    <w:rsid w:val="00AC7798"/>
    <w:rsid w:val="00AD0DCD"/>
    <w:rsid w:val="00AD3DC4"/>
    <w:rsid w:val="00AD4069"/>
    <w:rsid w:val="00AD4EFD"/>
    <w:rsid w:val="00AD54FC"/>
    <w:rsid w:val="00AD5C83"/>
    <w:rsid w:val="00AD5D16"/>
    <w:rsid w:val="00AD79DF"/>
    <w:rsid w:val="00AE1D1A"/>
    <w:rsid w:val="00AE3281"/>
    <w:rsid w:val="00AE3424"/>
    <w:rsid w:val="00AE3628"/>
    <w:rsid w:val="00AE4EFC"/>
    <w:rsid w:val="00AE59D3"/>
    <w:rsid w:val="00AE5B84"/>
    <w:rsid w:val="00AE6217"/>
    <w:rsid w:val="00AF0ACE"/>
    <w:rsid w:val="00AF18B8"/>
    <w:rsid w:val="00AF2712"/>
    <w:rsid w:val="00AF3E69"/>
    <w:rsid w:val="00AF53BF"/>
    <w:rsid w:val="00AF5EF3"/>
    <w:rsid w:val="00AF62E8"/>
    <w:rsid w:val="00AF69E6"/>
    <w:rsid w:val="00AF738D"/>
    <w:rsid w:val="00AF7912"/>
    <w:rsid w:val="00AF7CE8"/>
    <w:rsid w:val="00B001E0"/>
    <w:rsid w:val="00B00251"/>
    <w:rsid w:val="00B01F7C"/>
    <w:rsid w:val="00B025F6"/>
    <w:rsid w:val="00B02DC2"/>
    <w:rsid w:val="00B030DC"/>
    <w:rsid w:val="00B056D1"/>
    <w:rsid w:val="00B07847"/>
    <w:rsid w:val="00B109C5"/>
    <w:rsid w:val="00B11402"/>
    <w:rsid w:val="00B116FD"/>
    <w:rsid w:val="00B11912"/>
    <w:rsid w:val="00B11A27"/>
    <w:rsid w:val="00B14599"/>
    <w:rsid w:val="00B14F08"/>
    <w:rsid w:val="00B16417"/>
    <w:rsid w:val="00B1698A"/>
    <w:rsid w:val="00B20A5A"/>
    <w:rsid w:val="00B21839"/>
    <w:rsid w:val="00B23365"/>
    <w:rsid w:val="00B241F7"/>
    <w:rsid w:val="00B25553"/>
    <w:rsid w:val="00B27580"/>
    <w:rsid w:val="00B276A9"/>
    <w:rsid w:val="00B3107F"/>
    <w:rsid w:val="00B319D9"/>
    <w:rsid w:val="00B31E25"/>
    <w:rsid w:val="00B3382F"/>
    <w:rsid w:val="00B33C17"/>
    <w:rsid w:val="00B34365"/>
    <w:rsid w:val="00B34A1F"/>
    <w:rsid w:val="00B3727E"/>
    <w:rsid w:val="00B40527"/>
    <w:rsid w:val="00B41A3E"/>
    <w:rsid w:val="00B42098"/>
    <w:rsid w:val="00B4274F"/>
    <w:rsid w:val="00B42C38"/>
    <w:rsid w:val="00B43698"/>
    <w:rsid w:val="00B436ED"/>
    <w:rsid w:val="00B44966"/>
    <w:rsid w:val="00B44B7E"/>
    <w:rsid w:val="00B453E6"/>
    <w:rsid w:val="00B47178"/>
    <w:rsid w:val="00B47C99"/>
    <w:rsid w:val="00B52145"/>
    <w:rsid w:val="00B5545C"/>
    <w:rsid w:val="00B55808"/>
    <w:rsid w:val="00B6010A"/>
    <w:rsid w:val="00B603E7"/>
    <w:rsid w:val="00B60927"/>
    <w:rsid w:val="00B60A0A"/>
    <w:rsid w:val="00B61FC2"/>
    <w:rsid w:val="00B628D9"/>
    <w:rsid w:val="00B636D6"/>
    <w:rsid w:val="00B63B04"/>
    <w:rsid w:val="00B63D48"/>
    <w:rsid w:val="00B6404A"/>
    <w:rsid w:val="00B64283"/>
    <w:rsid w:val="00B646F9"/>
    <w:rsid w:val="00B65BBD"/>
    <w:rsid w:val="00B65F92"/>
    <w:rsid w:val="00B67FE6"/>
    <w:rsid w:val="00B70168"/>
    <w:rsid w:val="00B71494"/>
    <w:rsid w:val="00B71E8D"/>
    <w:rsid w:val="00B72027"/>
    <w:rsid w:val="00B738CF"/>
    <w:rsid w:val="00B73904"/>
    <w:rsid w:val="00B74314"/>
    <w:rsid w:val="00B74A88"/>
    <w:rsid w:val="00B75675"/>
    <w:rsid w:val="00B759BD"/>
    <w:rsid w:val="00B75EDC"/>
    <w:rsid w:val="00B7732C"/>
    <w:rsid w:val="00B81124"/>
    <w:rsid w:val="00B812D8"/>
    <w:rsid w:val="00B85028"/>
    <w:rsid w:val="00B878E9"/>
    <w:rsid w:val="00B87C5E"/>
    <w:rsid w:val="00B87CC0"/>
    <w:rsid w:val="00B87EE5"/>
    <w:rsid w:val="00B90DCD"/>
    <w:rsid w:val="00B93248"/>
    <w:rsid w:val="00B93C6B"/>
    <w:rsid w:val="00B95DA3"/>
    <w:rsid w:val="00B95E09"/>
    <w:rsid w:val="00B9607D"/>
    <w:rsid w:val="00B96621"/>
    <w:rsid w:val="00B96726"/>
    <w:rsid w:val="00B96FA3"/>
    <w:rsid w:val="00B97073"/>
    <w:rsid w:val="00B97C0A"/>
    <w:rsid w:val="00BA044B"/>
    <w:rsid w:val="00BA1C0D"/>
    <w:rsid w:val="00BA2F0A"/>
    <w:rsid w:val="00BA33F5"/>
    <w:rsid w:val="00BA34DB"/>
    <w:rsid w:val="00BA4679"/>
    <w:rsid w:val="00BA4A26"/>
    <w:rsid w:val="00BA4C5C"/>
    <w:rsid w:val="00BB0F4B"/>
    <w:rsid w:val="00BB3DEF"/>
    <w:rsid w:val="00BB5FF8"/>
    <w:rsid w:val="00BB6BE5"/>
    <w:rsid w:val="00BB74A6"/>
    <w:rsid w:val="00BC0088"/>
    <w:rsid w:val="00BC044F"/>
    <w:rsid w:val="00BC1A94"/>
    <w:rsid w:val="00BC1E63"/>
    <w:rsid w:val="00BC29E1"/>
    <w:rsid w:val="00BC7458"/>
    <w:rsid w:val="00BC7461"/>
    <w:rsid w:val="00BD0A1F"/>
    <w:rsid w:val="00BD1A55"/>
    <w:rsid w:val="00BD1CB2"/>
    <w:rsid w:val="00BD1F32"/>
    <w:rsid w:val="00BD2A37"/>
    <w:rsid w:val="00BD51E0"/>
    <w:rsid w:val="00BD60AA"/>
    <w:rsid w:val="00BD61F7"/>
    <w:rsid w:val="00BD6BBD"/>
    <w:rsid w:val="00BE044E"/>
    <w:rsid w:val="00BE20B8"/>
    <w:rsid w:val="00BE22F7"/>
    <w:rsid w:val="00BE33FE"/>
    <w:rsid w:val="00BE3817"/>
    <w:rsid w:val="00BE417D"/>
    <w:rsid w:val="00BE466C"/>
    <w:rsid w:val="00BE4B15"/>
    <w:rsid w:val="00BE5B64"/>
    <w:rsid w:val="00BE6769"/>
    <w:rsid w:val="00BE68B5"/>
    <w:rsid w:val="00BF036B"/>
    <w:rsid w:val="00BF22D0"/>
    <w:rsid w:val="00BF2C1F"/>
    <w:rsid w:val="00BF3773"/>
    <w:rsid w:val="00BF4A2C"/>
    <w:rsid w:val="00BF51EF"/>
    <w:rsid w:val="00BF563A"/>
    <w:rsid w:val="00BF7055"/>
    <w:rsid w:val="00BF7385"/>
    <w:rsid w:val="00C01311"/>
    <w:rsid w:val="00C036A4"/>
    <w:rsid w:val="00C04015"/>
    <w:rsid w:val="00C04D45"/>
    <w:rsid w:val="00C05480"/>
    <w:rsid w:val="00C057A9"/>
    <w:rsid w:val="00C05DBC"/>
    <w:rsid w:val="00C06035"/>
    <w:rsid w:val="00C06407"/>
    <w:rsid w:val="00C067D5"/>
    <w:rsid w:val="00C073DA"/>
    <w:rsid w:val="00C10011"/>
    <w:rsid w:val="00C102D0"/>
    <w:rsid w:val="00C11BEC"/>
    <w:rsid w:val="00C123C8"/>
    <w:rsid w:val="00C12587"/>
    <w:rsid w:val="00C15217"/>
    <w:rsid w:val="00C15BF7"/>
    <w:rsid w:val="00C16045"/>
    <w:rsid w:val="00C16D43"/>
    <w:rsid w:val="00C16DC5"/>
    <w:rsid w:val="00C16E94"/>
    <w:rsid w:val="00C17BE9"/>
    <w:rsid w:val="00C2025E"/>
    <w:rsid w:val="00C20A7B"/>
    <w:rsid w:val="00C211F7"/>
    <w:rsid w:val="00C21AC7"/>
    <w:rsid w:val="00C2233A"/>
    <w:rsid w:val="00C22488"/>
    <w:rsid w:val="00C22CB6"/>
    <w:rsid w:val="00C22EBC"/>
    <w:rsid w:val="00C23821"/>
    <w:rsid w:val="00C23F6A"/>
    <w:rsid w:val="00C24420"/>
    <w:rsid w:val="00C24D18"/>
    <w:rsid w:val="00C261A3"/>
    <w:rsid w:val="00C2621C"/>
    <w:rsid w:val="00C26967"/>
    <w:rsid w:val="00C26A59"/>
    <w:rsid w:val="00C26EEC"/>
    <w:rsid w:val="00C27CC2"/>
    <w:rsid w:val="00C30273"/>
    <w:rsid w:val="00C30739"/>
    <w:rsid w:val="00C30B55"/>
    <w:rsid w:val="00C31AEF"/>
    <w:rsid w:val="00C32DD9"/>
    <w:rsid w:val="00C34F39"/>
    <w:rsid w:val="00C36123"/>
    <w:rsid w:val="00C3656B"/>
    <w:rsid w:val="00C41024"/>
    <w:rsid w:val="00C41741"/>
    <w:rsid w:val="00C42DA2"/>
    <w:rsid w:val="00C45220"/>
    <w:rsid w:val="00C46128"/>
    <w:rsid w:val="00C47C15"/>
    <w:rsid w:val="00C47CB8"/>
    <w:rsid w:val="00C508A6"/>
    <w:rsid w:val="00C50CEA"/>
    <w:rsid w:val="00C518A4"/>
    <w:rsid w:val="00C52738"/>
    <w:rsid w:val="00C55207"/>
    <w:rsid w:val="00C55B62"/>
    <w:rsid w:val="00C57BB9"/>
    <w:rsid w:val="00C605E7"/>
    <w:rsid w:val="00C615A0"/>
    <w:rsid w:val="00C6196A"/>
    <w:rsid w:val="00C621C9"/>
    <w:rsid w:val="00C640FC"/>
    <w:rsid w:val="00C64167"/>
    <w:rsid w:val="00C65646"/>
    <w:rsid w:val="00C6694E"/>
    <w:rsid w:val="00C66E71"/>
    <w:rsid w:val="00C70223"/>
    <w:rsid w:val="00C717D4"/>
    <w:rsid w:val="00C71992"/>
    <w:rsid w:val="00C721AD"/>
    <w:rsid w:val="00C72F98"/>
    <w:rsid w:val="00C7372D"/>
    <w:rsid w:val="00C7765A"/>
    <w:rsid w:val="00C80DFB"/>
    <w:rsid w:val="00C815F9"/>
    <w:rsid w:val="00C82C89"/>
    <w:rsid w:val="00C82FC5"/>
    <w:rsid w:val="00C83E6A"/>
    <w:rsid w:val="00C84EFB"/>
    <w:rsid w:val="00C85F67"/>
    <w:rsid w:val="00C86454"/>
    <w:rsid w:val="00C903EA"/>
    <w:rsid w:val="00C943DF"/>
    <w:rsid w:val="00C95504"/>
    <w:rsid w:val="00C955A0"/>
    <w:rsid w:val="00C95CD8"/>
    <w:rsid w:val="00C95E05"/>
    <w:rsid w:val="00C97256"/>
    <w:rsid w:val="00CA245E"/>
    <w:rsid w:val="00CA2880"/>
    <w:rsid w:val="00CA3524"/>
    <w:rsid w:val="00CA7A36"/>
    <w:rsid w:val="00CB05C8"/>
    <w:rsid w:val="00CB0F4B"/>
    <w:rsid w:val="00CB15C7"/>
    <w:rsid w:val="00CB55F3"/>
    <w:rsid w:val="00CB725A"/>
    <w:rsid w:val="00CC036E"/>
    <w:rsid w:val="00CC0B3C"/>
    <w:rsid w:val="00CC0BB1"/>
    <w:rsid w:val="00CC0BC1"/>
    <w:rsid w:val="00CC1BCF"/>
    <w:rsid w:val="00CC2C23"/>
    <w:rsid w:val="00CC4B20"/>
    <w:rsid w:val="00CC53DE"/>
    <w:rsid w:val="00CC5492"/>
    <w:rsid w:val="00CC5A8A"/>
    <w:rsid w:val="00CC5C0E"/>
    <w:rsid w:val="00CC771B"/>
    <w:rsid w:val="00CC7E71"/>
    <w:rsid w:val="00CD010E"/>
    <w:rsid w:val="00CD0ABA"/>
    <w:rsid w:val="00CD100D"/>
    <w:rsid w:val="00CD1E46"/>
    <w:rsid w:val="00CD35EC"/>
    <w:rsid w:val="00CD3CEB"/>
    <w:rsid w:val="00CD462A"/>
    <w:rsid w:val="00CD69FD"/>
    <w:rsid w:val="00CD6A68"/>
    <w:rsid w:val="00CD70FC"/>
    <w:rsid w:val="00CD78A2"/>
    <w:rsid w:val="00CE1C90"/>
    <w:rsid w:val="00CE330F"/>
    <w:rsid w:val="00CE3D91"/>
    <w:rsid w:val="00CE3DA2"/>
    <w:rsid w:val="00CE7E3A"/>
    <w:rsid w:val="00CF1288"/>
    <w:rsid w:val="00CF190D"/>
    <w:rsid w:val="00CF442D"/>
    <w:rsid w:val="00CF5AE5"/>
    <w:rsid w:val="00CF6112"/>
    <w:rsid w:val="00CF78FB"/>
    <w:rsid w:val="00CF7F65"/>
    <w:rsid w:val="00D00EC3"/>
    <w:rsid w:val="00D02779"/>
    <w:rsid w:val="00D03F8B"/>
    <w:rsid w:val="00D05750"/>
    <w:rsid w:val="00D061FA"/>
    <w:rsid w:val="00D0660D"/>
    <w:rsid w:val="00D06ABC"/>
    <w:rsid w:val="00D07015"/>
    <w:rsid w:val="00D07996"/>
    <w:rsid w:val="00D10239"/>
    <w:rsid w:val="00D102B5"/>
    <w:rsid w:val="00D10EDF"/>
    <w:rsid w:val="00D10FAA"/>
    <w:rsid w:val="00D1219C"/>
    <w:rsid w:val="00D12C59"/>
    <w:rsid w:val="00D15F00"/>
    <w:rsid w:val="00D1703A"/>
    <w:rsid w:val="00D229F2"/>
    <w:rsid w:val="00D22DFB"/>
    <w:rsid w:val="00D23647"/>
    <w:rsid w:val="00D24F74"/>
    <w:rsid w:val="00D26092"/>
    <w:rsid w:val="00D275DC"/>
    <w:rsid w:val="00D2762C"/>
    <w:rsid w:val="00D3215B"/>
    <w:rsid w:val="00D321D7"/>
    <w:rsid w:val="00D360D1"/>
    <w:rsid w:val="00D4046C"/>
    <w:rsid w:val="00D4117B"/>
    <w:rsid w:val="00D41680"/>
    <w:rsid w:val="00D41825"/>
    <w:rsid w:val="00D41A2F"/>
    <w:rsid w:val="00D4341B"/>
    <w:rsid w:val="00D43C8F"/>
    <w:rsid w:val="00D44A8B"/>
    <w:rsid w:val="00D45FFB"/>
    <w:rsid w:val="00D471B2"/>
    <w:rsid w:val="00D5080F"/>
    <w:rsid w:val="00D508AA"/>
    <w:rsid w:val="00D514FE"/>
    <w:rsid w:val="00D52FC7"/>
    <w:rsid w:val="00D53ABE"/>
    <w:rsid w:val="00D53FA2"/>
    <w:rsid w:val="00D5464C"/>
    <w:rsid w:val="00D54D1E"/>
    <w:rsid w:val="00D54EC5"/>
    <w:rsid w:val="00D559D9"/>
    <w:rsid w:val="00D55BC2"/>
    <w:rsid w:val="00D5779B"/>
    <w:rsid w:val="00D57A5D"/>
    <w:rsid w:val="00D609E5"/>
    <w:rsid w:val="00D60A9C"/>
    <w:rsid w:val="00D61E75"/>
    <w:rsid w:val="00D650CC"/>
    <w:rsid w:val="00D65379"/>
    <w:rsid w:val="00D65592"/>
    <w:rsid w:val="00D664DC"/>
    <w:rsid w:val="00D6657D"/>
    <w:rsid w:val="00D67960"/>
    <w:rsid w:val="00D71DA0"/>
    <w:rsid w:val="00D72E55"/>
    <w:rsid w:val="00D74568"/>
    <w:rsid w:val="00D77AE7"/>
    <w:rsid w:val="00D80E12"/>
    <w:rsid w:val="00D81ABE"/>
    <w:rsid w:val="00D831D1"/>
    <w:rsid w:val="00D83C72"/>
    <w:rsid w:val="00D844AA"/>
    <w:rsid w:val="00D84AAC"/>
    <w:rsid w:val="00D85010"/>
    <w:rsid w:val="00D86A9F"/>
    <w:rsid w:val="00D86D87"/>
    <w:rsid w:val="00D90C24"/>
    <w:rsid w:val="00D91436"/>
    <w:rsid w:val="00D91DC8"/>
    <w:rsid w:val="00D92E61"/>
    <w:rsid w:val="00D9497B"/>
    <w:rsid w:val="00D95FE7"/>
    <w:rsid w:val="00D97A75"/>
    <w:rsid w:val="00DA216C"/>
    <w:rsid w:val="00DA51AC"/>
    <w:rsid w:val="00DA5B29"/>
    <w:rsid w:val="00DA6C82"/>
    <w:rsid w:val="00DA6D0C"/>
    <w:rsid w:val="00DA6DC2"/>
    <w:rsid w:val="00DB13D9"/>
    <w:rsid w:val="00DB1A20"/>
    <w:rsid w:val="00DB3B28"/>
    <w:rsid w:val="00DB3F00"/>
    <w:rsid w:val="00DB42FD"/>
    <w:rsid w:val="00DB4AA2"/>
    <w:rsid w:val="00DB6E17"/>
    <w:rsid w:val="00DB6E96"/>
    <w:rsid w:val="00DB731B"/>
    <w:rsid w:val="00DB76A2"/>
    <w:rsid w:val="00DB7AE1"/>
    <w:rsid w:val="00DC032E"/>
    <w:rsid w:val="00DC034D"/>
    <w:rsid w:val="00DC1545"/>
    <w:rsid w:val="00DC1BCA"/>
    <w:rsid w:val="00DC2922"/>
    <w:rsid w:val="00DC2C97"/>
    <w:rsid w:val="00DC2CC7"/>
    <w:rsid w:val="00DC3C21"/>
    <w:rsid w:val="00DC5368"/>
    <w:rsid w:val="00DC5600"/>
    <w:rsid w:val="00DC5D0F"/>
    <w:rsid w:val="00DC671D"/>
    <w:rsid w:val="00DC6F9C"/>
    <w:rsid w:val="00DD1D13"/>
    <w:rsid w:val="00DD2F3F"/>
    <w:rsid w:val="00DD31A6"/>
    <w:rsid w:val="00DD3F65"/>
    <w:rsid w:val="00DD5D1F"/>
    <w:rsid w:val="00DE01EE"/>
    <w:rsid w:val="00DE1D57"/>
    <w:rsid w:val="00DE258E"/>
    <w:rsid w:val="00DE375A"/>
    <w:rsid w:val="00DE3F33"/>
    <w:rsid w:val="00DE4479"/>
    <w:rsid w:val="00DE7C69"/>
    <w:rsid w:val="00DE7F36"/>
    <w:rsid w:val="00DF17A4"/>
    <w:rsid w:val="00DF22F2"/>
    <w:rsid w:val="00DF31C8"/>
    <w:rsid w:val="00DF3DFC"/>
    <w:rsid w:val="00DF588C"/>
    <w:rsid w:val="00DF5C7A"/>
    <w:rsid w:val="00DF6308"/>
    <w:rsid w:val="00DF7589"/>
    <w:rsid w:val="00DF77A9"/>
    <w:rsid w:val="00DF7AB2"/>
    <w:rsid w:val="00DF7BB8"/>
    <w:rsid w:val="00E00D66"/>
    <w:rsid w:val="00E01371"/>
    <w:rsid w:val="00E01846"/>
    <w:rsid w:val="00E02353"/>
    <w:rsid w:val="00E02741"/>
    <w:rsid w:val="00E02AC9"/>
    <w:rsid w:val="00E02F34"/>
    <w:rsid w:val="00E03944"/>
    <w:rsid w:val="00E045D6"/>
    <w:rsid w:val="00E05875"/>
    <w:rsid w:val="00E06A1F"/>
    <w:rsid w:val="00E07324"/>
    <w:rsid w:val="00E10A48"/>
    <w:rsid w:val="00E11B2F"/>
    <w:rsid w:val="00E11BB1"/>
    <w:rsid w:val="00E11F55"/>
    <w:rsid w:val="00E12647"/>
    <w:rsid w:val="00E127B4"/>
    <w:rsid w:val="00E137D1"/>
    <w:rsid w:val="00E213B2"/>
    <w:rsid w:val="00E21CAA"/>
    <w:rsid w:val="00E24665"/>
    <w:rsid w:val="00E24FA4"/>
    <w:rsid w:val="00E26D5C"/>
    <w:rsid w:val="00E27025"/>
    <w:rsid w:val="00E30606"/>
    <w:rsid w:val="00E3159C"/>
    <w:rsid w:val="00E316DE"/>
    <w:rsid w:val="00E3197F"/>
    <w:rsid w:val="00E3235F"/>
    <w:rsid w:val="00E3287C"/>
    <w:rsid w:val="00E338CD"/>
    <w:rsid w:val="00E34DDA"/>
    <w:rsid w:val="00E34F82"/>
    <w:rsid w:val="00E40B49"/>
    <w:rsid w:val="00E40F81"/>
    <w:rsid w:val="00E41130"/>
    <w:rsid w:val="00E41EAC"/>
    <w:rsid w:val="00E43777"/>
    <w:rsid w:val="00E45FD1"/>
    <w:rsid w:val="00E461CD"/>
    <w:rsid w:val="00E50A55"/>
    <w:rsid w:val="00E50E0D"/>
    <w:rsid w:val="00E50EC0"/>
    <w:rsid w:val="00E5186C"/>
    <w:rsid w:val="00E51B0A"/>
    <w:rsid w:val="00E52197"/>
    <w:rsid w:val="00E528EA"/>
    <w:rsid w:val="00E53708"/>
    <w:rsid w:val="00E55913"/>
    <w:rsid w:val="00E55B18"/>
    <w:rsid w:val="00E5682C"/>
    <w:rsid w:val="00E60514"/>
    <w:rsid w:val="00E61E5D"/>
    <w:rsid w:val="00E62ED3"/>
    <w:rsid w:val="00E64AC9"/>
    <w:rsid w:val="00E65EFB"/>
    <w:rsid w:val="00E6610C"/>
    <w:rsid w:val="00E70D96"/>
    <w:rsid w:val="00E71BEB"/>
    <w:rsid w:val="00E71C0C"/>
    <w:rsid w:val="00E7204B"/>
    <w:rsid w:val="00E7314F"/>
    <w:rsid w:val="00E75D56"/>
    <w:rsid w:val="00E761C6"/>
    <w:rsid w:val="00E76987"/>
    <w:rsid w:val="00E7728F"/>
    <w:rsid w:val="00E81495"/>
    <w:rsid w:val="00E815BC"/>
    <w:rsid w:val="00E8199C"/>
    <w:rsid w:val="00E82802"/>
    <w:rsid w:val="00E82AB8"/>
    <w:rsid w:val="00E82C42"/>
    <w:rsid w:val="00E83048"/>
    <w:rsid w:val="00E831A7"/>
    <w:rsid w:val="00E84FBE"/>
    <w:rsid w:val="00E85CD9"/>
    <w:rsid w:val="00E875B1"/>
    <w:rsid w:val="00E9193F"/>
    <w:rsid w:val="00E93062"/>
    <w:rsid w:val="00E93392"/>
    <w:rsid w:val="00E9554C"/>
    <w:rsid w:val="00E95F03"/>
    <w:rsid w:val="00E960A3"/>
    <w:rsid w:val="00E961F0"/>
    <w:rsid w:val="00E96FDF"/>
    <w:rsid w:val="00EA0003"/>
    <w:rsid w:val="00EA0822"/>
    <w:rsid w:val="00EA1D7E"/>
    <w:rsid w:val="00EA2F6D"/>
    <w:rsid w:val="00EA4702"/>
    <w:rsid w:val="00EA4C48"/>
    <w:rsid w:val="00EA4D2E"/>
    <w:rsid w:val="00EA5B83"/>
    <w:rsid w:val="00EB48D1"/>
    <w:rsid w:val="00EB4A9D"/>
    <w:rsid w:val="00EB4BE9"/>
    <w:rsid w:val="00EC119F"/>
    <w:rsid w:val="00EC2C9A"/>
    <w:rsid w:val="00EC3679"/>
    <w:rsid w:val="00EC3872"/>
    <w:rsid w:val="00EC472C"/>
    <w:rsid w:val="00EC4B3E"/>
    <w:rsid w:val="00EC507E"/>
    <w:rsid w:val="00EC5D96"/>
    <w:rsid w:val="00EC6200"/>
    <w:rsid w:val="00EC78D3"/>
    <w:rsid w:val="00ED08C3"/>
    <w:rsid w:val="00ED1472"/>
    <w:rsid w:val="00ED1BD7"/>
    <w:rsid w:val="00ED2D08"/>
    <w:rsid w:val="00ED5219"/>
    <w:rsid w:val="00EE12B3"/>
    <w:rsid w:val="00EE2A64"/>
    <w:rsid w:val="00EE5349"/>
    <w:rsid w:val="00EE55ED"/>
    <w:rsid w:val="00EE588A"/>
    <w:rsid w:val="00EE5A9B"/>
    <w:rsid w:val="00EE5FF1"/>
    <w:rsid w:val="00EE7C04"/>
    <w:rsid w:val="00EF0627"/>
    <w:rsid w:val="00EF1832"/>
    <w:rsid w:val="00EF2C8C"/>
    <w:rsid w:val="00EF31AA"/>
    <w:rsid w:val="00EF5DB9"/>
    <w:rsid w:val="00F01608"/>
    <w:rsid w:val="00F02E56"/>
    <w:rsid w:val="00F0305D"/>
    <w:rsid w:val="00F04753"/>
    <w:rsid w:val="00F066B4"/>
    <w:rsid w:val="00F06CA2"/>
    <w:rsid w:val="00F0756B"/>
    <w:rsid w:val="00F07B9B"/>
    <w:rsid w:val="00F102AD"/>
    <w:rsid w:val="00F1035E"/>
    <w:rsid w:val="00F109BC"/>
    <w:rsid w:val="00F10EB1"/>
    <w:rsid w:val="00F124EE"/>
    <w:rsid w:val="00F12FD5"/>
    <w:rsid w:val="00F14501"/>
    <w:rsid w:val="00F14B0B"/>
    <w:rsid w:val="00F1580D"/>
    <w:rsid w:val="00F15AB8"/>
    <w:rsid w:val="00F15B5A"/>
    <w:rsid w:val="00F203BD"/>
    <w:rsid w:val="00F20A2B"/>
    <w:rsid w:val="00F21352"/>
    <w:rsid w:val="00F21C29"/>
    <w:rsid w:val="00F22542"/>
    <w:rsid w:val="00F2382C"/>
    <w:rsid w:val="00F25991"/>
    <w:rsid w:val="00F30469"/>
    <w:rsid w:val="00F3070D"/>
    <w:rsid w:val="00F309E9"/>
    <w:rsid w:val="00F31FC2"/>
    <w:rsid w:val="00F320E2"/>
    <w:rsid w:val="00F3216C"/>
    <w:rsid w:val="00F32D04"/>
    <w:rsid w:val="00F32E2B"/>
    <w:rsid w:val="00F331A9"/>
    <w:rsid w:val="00F3361F"/>
    <w:rsid w:val="00F33B83"/>
    <w:rsid w:val="00F35433"/>
    <w:rsid w:val="00F355AE"/>
    <w:rsid w:val="00F37A8A"/>
    <w:rsid w:val="00F402AF"/>
    <w:rsid w:val="00F40E88"/>
    <w:rsid w:val="00F414EA"/>
    <w:rsid w:val="00F41774"/>
    <w:rsid w:val="00F41F7C"/>
    <w:rsid w:val="00F434DA"/>
    <w:rsid w:val="00F43862"/>
    <w:rsid w:val="00F44318"/>
    <w:rsid w:val="00F44D2A"/>
    <w:rsid w:val="00F44D34"/>
    <w:rsid w:val="00F4523C"/>
    <w:rsid w:val="00F45DDA"/>
    <w:rsid w:val="00F45F5E"/>
    <w:rsid w:val="00F477D3"/>
    <w:rsid w:val="00F50C9B"/>
    <w:rsid w:val="00F5140E"/>
    <w:rsid w:val="00F522F8"/>
    <w:rsid w:val="00F52677"/>
    <w:rsid w:val="00F543B5"/>
    <w:rsid w:val="00F545DC"/>
    <w:rsid w:val="00F55792"/>
    <w:rsid w:val="00F55799"/>
    <w:rsid w:val="00F55FEA"/>
    <w:rsid w:val="00F56818"/>
    <w:rsid w:val="00F56B43"/>
    <w:rsid w:val="00F5791F"/>
    <w:rsid w:val="00F600EF"/>
    <w:rsid w:val="00F60947"/>
    <w:rsid w:val="00F60C40"/>
    <w:rsid w:val="00F60D41"/>
    <w:rsid w:val="00F60E3A"/>
    <w:rsid w:val="00F615A3"/>
    <w:rsid w:val="00F61A11"/>
    <w:rsid w:val="00F624E2"/>
    <w:rsid w:val="00F62942"/>
    <w:rsid w:val="00F62D8B"/>
    <w:rsid w:val="00F63240"/>
    <w:rsid w:val="00F63F54"/>
    <w:rsid w:val="00F655F2"/>
    <w:rsid w:val="00F65F1E"/>
    <w:rsid w:val="00F65F65"/>
    <w:rsid w:val="00F65FD2"/>
    <w:rsid w:val="00F66572"/>
    <w:rsid w:val="00F66910"/>
    <w:rsid w:val="00F66AF6"/>
    <w:rsid w:val="00F677A5"/>
    <w:rsid w:val="00F71344"/>
    <w:rsid w:val="00F72008"/>
    <w:rsid w:val="00F74643"/>
    <w:rsid w:val="00F76B7E"/>
    <w:rsid w:val="00F77C55"/>
    <w:rsid w:val="00F81DEF"/>
    <w:rsid w:val="00F83E85"/>
    <w:rsid w:val="00F84357"/>
    <w:rsid w:val="00F84798"/>
    <w:rsid w:val="00F858D4"/>
    <w:rsid w:val="00F86F43"/>
    <w:rsid w:val="00F878FC"/>
    <w:rsid w:val="00F9585F"/>
    <w:rsid w:val="00F96072"/>
    <w:rsid w:val="00F97825"/>
    <w:rsid w:val="00FA0275"/>
    <w:rsid w:val="00FA06FD"/>
    <w:rsid w:val="00FA2194"/>
    <w:rsid w:val="00FA2FDD"/>
    <w:rsid w:val="00FA34EE"/>
    <w:rsid w:val="00FA39AE"/>
    <w:rsid w:val="00FA45FF"/>
    <w:rsid w:val="00FA4BF9"/>
    <w:rsid w:val="00FA73E3"/>
    <w:rsid w:val="00FA7A28"/>
    <w:rsid w:val="00FA7CDF"/>
    <w:rsid w:val="00FB19BB"/>
    <w:rsid w:val="00FB2C4C"/>
    <w:rsid w:val="00FB362E"/>
    <w:rsid w:val="00FB4D0F"/>
    <w:rsid w:val="00FB4FED"/>
    <w:rsid w:val="00FB6671"/>
    <w:rsid w:val="00FB7D1F"/>
    <w:rsid w:val="00FC0E5A"/>
    <w:rsid w:val="00FC0F47"/>
    <w:rsid w:val="00FC132C"/>
    <w:rsid w:val="00FC169E"/>
    <w:rsid w:val="00FC2D75"/>
    <w:rsid w:val="00FC3687"/>
    <w:rsid w:val="00FC397C"/>
    <w:rsid w:val="00FC4161"/>
    <w:rsid w:val="00FC42A7"/>
    <w:rsid w:val="00FC4723"/>
    <w:rsid w:val="00FC58E1"/>
    <w:rsid w:val="00FC7823"/>
    <w:rsid w:val="00FC7CF0"/>
    <w:rsid w:val="00FD0CB2"/>
    <w:rsid w:val="00FD183F"/>
    <w:rsid w:val="00FD2908"/>
    <w:rsid w:val="00FD54B0"/>
    <w:rsid w:val="00FD5CF8"/>
    <w:rsid w:val="00FD6138"/>
    <w:rsid w:val="00FD7D71"/>
    <w:rsid w:val="00FD7F9A"/>
    <w:rsid w:val="00FE0566"/>
    <w:rsid w:val="00FE333C"/>
    <w:rsid w:val="00FE5D49"/>
    <w:rsid w:val="00FE6D74"/>
    <w:rsid w:val="00FE7D0D"/>
    <w:rsid w:val="00FF38BA"/>
    <w:rsid w:val="00FF3BC2"/>
    <w:rsid w:val="00FF3F70"/>
    <w:rsid w:val="00FF4E8D"/>
    <w:rsid w:val="00FF5611"/>
    <w:rsid w:val="00FF6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20298"/>
  <w15:chartTrackingRefBased/>
  <w15:docId w15:val="{DC9B9C92-4ED6-44B5-8A19-EEFEBD20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rsid w:val="006F3A2F"/>
    <w:pPr>
      <w:tabs>
        <w:tab w:val="left" w:pos="2833"/>
        <w:tab w:val="right" w:leader="dot" w:pos="10076"/>
      </w:tabs>
      <w:spacing w:after="100"/>
      <w:ind w:left="2694" w:hanging="2694"/>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819027634">
          <w:marLeft w:val="1440"/>
          <w:marRight w:val="0"/>
          <w:marTop w:val="240"/>
          <w:marBottom w:val="0"/>
          <w:divBdr>
            <w:top w:val="none" w:sz="0" w:space="0" w:color="auto"/>
            <w:left w:val="none" w:sz="0" w:space="0" w:color="auto"/>
            <w:bottom w:val="none" w:sz="0" w:space="0" w:color="auto"/>
            <w:right w:val="none" w:sz="0" w:space="0" w:color="auto"/>
          </w:divBdr>
        </w:div>
        <w:div w:id="1046953841">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1.xml"/><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et.inegi.org.mx/calidad/sesiones-del-comite/" TargetMode="Externa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intranet.inegi.org.mx/calidad" TargetMode="Externa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019\Aseguramiento%20de%20la%20Calidad%202019\informe%20anual\Informe_Anual_2019\ACCESIBILIDAD\proyectos_calendario_2018_para_calculo%20de%20indicadores_ACT_ABRIL_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E9C1-41AE-98F2-8A2701A5C87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E9C1-41AE-98F2-8A2701A5C87B}"/>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E9C1-41AE-98F2-8A2701A5C87B}"/>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'!$A$16:$A$18</c:f>
              <c:strCache>
                <c:ptCount val="3"/>
                <c:pt idx="0">
                  <c:v>2017</c:v>
                </c:pt>
                <c:pt idx="1">
                  <c:v>2018</c:v>
                </c:pt>
                <c:pt idx="2">
                  <c:v>2019</c:v>
                </c:pt>
              </c:strCache>
            </c:strRef>
          </c:cat>
          <c:val>
            <c:numRef>
              <c:f>'resumen '!$B$16:$B$18</c:f>
              <c:numCache>
                <c:formatCode>0%</c:formatCode>
                <c:ptCount val="3"/>
                <c:pt idx="0">
                  <c:v>0.59</c:v>
                </c:pt>
                <c:pt idx="1">
                  <c:v>0.86</c:v>
                </c:pt>
                <c:pt idx="2">
                  <c:v>0.92</c:v>
                </c:pt>
              </c:numCache>
            </c:numRef>
          </c:val>
          <c:extLst>
            <c:ext xmlns:c16="http://schemas.microsoft.com/office/drawing/2014/chart" uri="{C3380CC4-5D6E-409C-BE32-E72D297353CC}">
              <c16:uniqueId val="{00000006-E9C1-41AE-98F2-8A2701A5C87B}"/>
            </c:ext>
          </c:extLst>
        </c:ser>
        <c:dLbls>
          <c:showLegendKey val="0"/>
          <c:showVal val="0"/>
          <c:showCatName val="0"/>
          <c:showSerName val="0"/>
          <c:showPercent val="0"/>
          <c:showBubbleSize val="0"/>
        </c:dLbls>
        <c:gapWidth val="219"/>
        <c:overlap val="-27"/>
        <c:axId val="605527936"/>
        <c:axId val="605529112"/>
      </c:barChart>
      <c:catAx>
        <c:axId val="6055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05529112"/>
        <c:crosses val="autoZero"/>
        <c:auto val="1"/>
        <c:lblAlgn val="ctr"/>
        <c:lblOffset val="100"/>
        <c:noMultiLvlLbl val="0"/>
      </c:catAx>
      <c:valAx>
        <c:axId val="605529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055279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C9F49-5531-488F-9BA7-B8895A76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14766</Words>
  <Characters>84172</Characters>
  <Application>Microsoft Office Word</Application>
  <DocSecurity>0</DocSecurity>
  <Lines>701</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TORROJA MATEU NURIA</cp:lastModifiedBy>
  <cp:revision>6</cp:revision>
  <cp:lastPrinted>2020-03-05T19:02:00Z</cp:lastPrinted>
  <dcterms:created xsi:type="dcterms:W3CDTF">2020-03-13T20:25:00Z</dcterms:created>
  <dcterms:modified xsi:type="dcterms:W3CDTF">2020-03-13T20:33:00Z</dcterms:modified>
</cp:coreProperties>
</file>