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4DAD6" w14:textId="77777777" w:rsidR="00431D67" w:rsidRPr="00395213" w:rsidRDefault="00431D67">
      <w:pPr>
        <w:pStyle w:val="Sinespaciado"/>
        <w:rPr>
          <w:rFonts w:ascii="Garamond" w:eastAsiaTheme="minorHAnsi" w:hAnsi="Garamond"/>
          <w:sz w:val="21"/>
          <w:szCs w:val="21"/>
          <w:lang w:eastAsia="en-US"/>
        </w:rPr>
      </w:pPr>
    </w:p>
    <w:sdt>
      <w:sdtPr>
        <w:rPr>
          <w:rFonts w:ascii="Garamond" w:eastAsiaTheme="minorHAnsi" w:hAnsi="Garamond"/>
          <w:sz w:val="21"/>
          <w:szCs w:val="21"/>
          <w:lang w:eastAsia="en-US"/>
        </w:rPr>
        <w:id w:val="-1755430211"/>
        <w:docPartObj>
          <w:docPartGallery w:val="Cover Pages"/>
          <w:docPartUnique/>
        </w:docPartObj>
      </w:sdtPr>
      <w:sdtEndPr>
        <w:rPr>
          <w:i/>
        </w:rPr>
      </w:sdtEndPr>
      <w:sdtContent>
        <w:p w14:paraId="559B41DD" w14:textId="531CED9F" w:rsidR="00555CB3" w:rsidRPr="00395213" w:rsidRDefault="00375293">
          <w:pPr>
            <w:pStyle w:val="Sinespaciado"/>
            <w:rPr>
              <w:rFonts w:ascii="Garamond" w:hAnsi="Garamond"/>
              <w:sz w:val="21"/>
              <w:szCs w:val="21"/>
            </w:rPr>
          </w:pPr>
          <w:r w:rsidRPr="00395213">
            <w:rPr>
              <w:rFonts w:ascii="Garamond" w:hAnsi="Garamond"/>
              <w:noProof/>
              <w:sz w:val="21"/>
              <w:szCs w:val="21"/>
            </w:rPr>
            <mc:AlternateContent>
              <mc:Choice Requires="wps">
                <w:drawing>
                  <wp:anchor distT="0" distB="0" distL="114300" distR="114300" simplePos="0" relativeHeight="251658240" behindDoc="1" locked="0" layoutInCell="1" allowOverlap="1" wp14:anchorId="1100FBF8" wp14:editId="3D8F824E">
                    <wp:simplePos x="0" y="0"/>
                    <wp:positionH relativeFrom="column">
                      <wp:posOffset>-143301</wp:posOffset>
                    </wp:positionH>
                    <wp:positionV relativeFrom="paragraph">
                      <wp:posOffset>-211540</wp:posOffset>
                    </wp:positionV>
                    <wp:extent cx="270026" cy="9125712"/>
                    <wp:effectExtent l="0" t="0" r="0" b="0"/>
                    <wp:wrapNone/>
                    <wp:docPr id="8" name="Rectángulo 8"/>
                    <wp:cNvGraphicFramePr/>
                    <a:graphic xmlns:a="http://schemas.openxmlformats.org/drawingml/2006/main">
                      <a:graphicData uri="http://schemas.microsoft.com/office/word/2010/wordprocessingShape">
                        <wps:wsp>
                          <wps:cNvSpPr/>
                          <wps:spPr>
                            <a:xfrm>
                              <a:off x="0" y="0"/>
                              <a:ext cx="270026" cy="9125712"/>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84E58" id="Rectángulo 8" o:spid="_x0000_s1026" style="position:absolute;margin-left:-11.3pt;margin-top:-16.65pt;width:21.25pt;height:71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" fillcolor="#002060" stroked="f" strokeweight="1pt"/>
                </w:pict>
              </mc:Fallback>
            </mc:AlternateContent>
          </w:r>
        </w:p>
        <w:p w14:paraId="4C7933D5" w14:textId="7681D0CA" w:rsidR="00555CB3" w:rsidRPr="00395213" w:rsidRDefault="00942389">
          <w:pPr>
            <w:rPr>
              <w:rFonts w:ascii="Garamond" w:hAnsi="Garamond"/>
              <w:i/>
              <w:iCs/>
              <w:sz w:val="21"/>
              <w:szCs w:val="21"/>
            </w:rPr>
          </w:pPr>
        </w:p>
      </w:sdtContent>
    </w:sdt>
    <w:p w14:paraId="310541ED" w14:textId="24A7DE4E" w:rsidR="00555CB3" w:rsidRPr="00395213" w:rsidRDefault="00375293" w:rsidP="00375293">
      <w:pPr>
        <w:jc w:val="right"/>
        <w:rPr>
          <w:rFonts w:ascii="Garamond" w:hAnsi="Garamond"/>
          <w:sz w:val="21"/>
          <w:szCs w:val="21"/>
        </w:rPr>
      </w:pPr>
      <w:r w:rsidRPr="00395213">
        <w:rPr>
          <w:rFonts w:ascii="Garamond" w:hAnsi="Garamond"/>
          <w:noProof/>
          <w:sz w:val="21"/>
          <w:szCs w:val="21"/>
          <w:lang w:eastAsia="es-MX"/>
        </w:rPr>
        <w:drawing>
          <wp:inline distT="0" distB="0" distL="0" distR="0" wp14:anchorId="412B7F53" wp14:editId="6D4A4141">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p w14:paraId="14FAEC33" w14:textId="2D8BDBED" w:rsidR="006F5BC6" w:rsidRDefault="006F5BC6" w:rsidP="00723568">
      <w:pPr>
        <w:spacing w:before="240"/>
        <w:rPr>
          <w:rFonts w:ascii="Garamond" w:hAnsi="Garamond"/>
          <w:sz w:val="21"/>
          <w:szCs w:val="21"/>
        </w:rPr>
      </w:pPr>
    </w:p>
    <w:p w14:paraId="4468B02A" w14:textId="77777777" w:rsidR="00883D87" w:rsidRDefault="00883D87" w:rsidP="00723568">
      <w:pPr>
        <w:spacing w:before="240"/>
        <w:rPr>
          <w:rFonts w:ascii="Garamond" w:hAnsi="Garamond"/>
          <w:sz w:val="21"/>
          <w:szCs w:val="21"/>
        </w:rPr>
      </w:pPr>
    </w:p>
    <w:p w14:paraId="17A55D44" w14:textId="77777777" w:rsidR="00883D87" w:rsidRDefault="00883D87" w:rsidP="00723568">
      <w:pPr>
        <w:spacing w:before="240"/>
        <w:rPr>
          <w:rFonts w:ascii="Garamond" w:hAnsi="Garamond"/>
          <w:sz w:val="21"/>
          <w:szCs w:val="21"/>
        </w:rPr>
      </w:pPr>
    </w:p>
    <w:p w14:paraId="64E62AE9" w14:textId="77777777" w:rsidR="00883D87" w:rsidRDefault="00883D87" w:rsidP="00723568">
      <w:pPr>
        <w:spacing w:before="240"/>
        <w:rPr>
          <w:rFonts w:ascii="Garamond" w:hAnsi="Garamond"/>
          <w:sz w:val="21"/>
          <w:szCs w:val="21"/>
        </w:rPr>
      </w:pPr>
    </w:p>
    <w:p w14:paraId="088FB0E7" w14:textId="77777777" w:rsidR="00883D87" w:rsidRPr="00395213" w:rsidRDefault="00883D87" w:rsidP="00723568">
      <w:pPr>
        <w:spacing w:before="240"/>
        <w:rPr>
          <w:rFonts w:ascii="Garamond" w:hAnsi="Garamond"/>
          <w:sz w:val="21"/>
          <w:szCs w:val="21"/>
        </w:rPr>
      </w:pPr>
    </w:p>
    <w:p w14:paraId="79442C94" w14:textId="31056D69" w:rsidR="006F5BC6" w:rsidRPr="00395213" w:rsidRDefault="00375293" w:rsidP="00723568">
      <w:pPr>
        <w:spacing w:before="240"/>
        <w:rPr>
          <w:rFonts w:ascii="Garamond" w:hAnsi="Garamond"/>
          <w:sz w:val="21"/>
          <w:szCs w:val="21"/>
        </w:rPr>
      </w:pPr>
      <w:r w:rsidRPr="00395213">
        <w:rPr>
          <w:rFonts w:ascii="Garamond" w:hAnsi="Garamond"/>
          <w:noProof/>
          <w:sz w:val="21"/>
          <w:szCs w:val="21"/>
          <w:lang w:eastAsia="es-MX"/>
        </w:rPr>
        <w:drawing>
          <wp:anchor distT="0" distB="0" distL="114300" distR="114300" simplePos="0" relativeHeight="251658241" behindDoc="0" locked="0" layoutInCell="1" allowOverlap="1" wp14:anchorId="701BF96E" wp14:editId="02EFFC6C">
            <wp:simplePos x="0" y="0"/>
            <wp:positionH relativeFrom="column">
              <wp:posOffset>1930684</wp:posOffset>
            </wp:positionH>
            <wp:positionV relativeFrom="paragraph">
              <wp:posOffset>71546</wp:posOffset>
            </wp:positionV>
            <wp:extent cx="3483610" cy="1177265"/>
            <wp:effectExtent l="0" t="0" r="2540" b="4445"/>
            <wp:wrapThrough wrapText="bothSides">
              <wp:wrapPolygon edited="0">
                <wp:start x="0" y="0"/>
                <wp:lineTo x="0" y="21332"/>
                <wp:lineTo x="21498" y="21332"/>
                <wp:lineTo x="21498" y="0"/>
                <wp:lineTo x="0" y="0"/>
              </wp:wrapPolygon>
            </wp:wrapThrough>
            <wp:docPr id="19" name="Imagen 1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Logotipo&#10;&#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83610" cy="1177265"/>
                    </a:xfrm>
                    <a:prstGeom prst="rect">
                      <a:avLst/>
                    </a:prstGeom>
                  </pic:spPr>
                </pic:pic>
              </a:graphicData>
            </a:graphic>
          </wp:anchor>
        </w:drawing>
      </w:r>
    </w:p>
    <w:p w14:paraId="476F119E" w14:textId="265624B0" w:rsidR="006F5BC6" w:rsidRPr="00395213" w:rsidRDefault="006F5BC6" w:rsidP="007E0FE1">
      <w:pPr>
        <w:spacing w:before="240"/>
        <w:rPr>
          <w:rFonts w:ascii="Garamond" w:hAnsi="Garamond"/>
          <w:sz w:val="21"/>
          <w:szCs w:val="21"/>
        </w:rPr>
      </w:pPr>
    </w:p>
    <w:p w14:paraId="1D3C8067" w14:textId="5BADAE52" w:rsidR="00A722D3" w:rsidRPr="00395213" w:rsidRDefault="00A722D3" w:rsidP="007E0FE1">
      <w:pPr>
        <w:spacing w:before="240"/>
        <w:rPr>
          <w:rFonts w:ascii="Garamond" w:hAnsi="Garamond"/>
          <w:sz w:val="21"/>
          <w:szCs w:val="21"/>
        </w:rPr>
      </w:pPr>
    </w:p>
    <w:p w14:paraId="3E84E9C1" w14:textId="7317F206" w:rsidR="00A722D3" w:rsidRPr="00395213" w:rsidRDefault="00A722D3" w:rsidP="00575DE0">
      <w:pPr>
        <w:spacing w:before="240"/>
        <w:jc w:val="center"/>
        <w:rPr>
          <w:rFonts w:ascii="Garamond" w:hAnsi="Garamond"/>
          <w:sz w:val="21"/>
          <w:szCs w:val="21"/>
        </w:rPr>
      </w:pPr>
    </w:p>
    <w:p w14:paraId="26C1E9DF" w14:textId="2A3E9C77" w:rsidR="00672104" w:rsidRPr="00395213" w:rsidRDefault="00672104" w:rsidP="00723568">
      <w:pPr>
        <w:spacing w:before="240"/>
        <w:rPr>
          <w:rFonts w:ascii="Garamond" w:hAnsi="Garamond"/>
          <w:sz w:val="21"/>
          <w:szCs w:val="21"/>
        </w:rPr>
      </w:pPr>
    </w:p>
    <w:p w14:paraId="3F279683" w14:textId="59CE4B05" w:rsidR="00883A0F" w:rsidRPr="00311FA4" w:rsidRDefault="00A722D3" w:rsidP="00375293">
      <w:pPr>
        <w:pStyle w:val="Default"/>
        <w:spacing w:before="240" w:after="160"/>
        <w:ind w:left="990"/>
        <w:jc w:val="center"/>
        <w:rPr>
          <w:rFonts w:ascii="Garamond" w:hAnsi="Garamond"/>
          <w:b/>
          <w:bCs/>
          <w:smallCaps/>
          <w:color w:val="002060"/>
          <w:sz w:val="28"/>
          <w:szCs w:val="28"/>
          <w:lang w:val="es-MX"/>
        </w:rPr>
      </w:pPr>
      <w:r w:rsidRPr="00311FA4">
        <w:rPr>
          <w:rFonts w:ascii="Garamond" w:hAnsi="Garamond"/>
          <w:b/>
          <w:bCs/>
          <w:smallCaps/>
          <w:color w:val="002060"/>
          <w:sz w:val="28"/>
          <w:szCs w:val="28"/>
          <w:lang w:val="es-MX"/>
        </w:rPr>
        <w:t>INFORME DE RESULTADOS</w:t>
      </w:r>
    </w:p>
    <w:p w14:paraId="09D47944" w14:textId="42720EF9" w:rsidR="00575DE0" w:rsidRPr="00311FA4" w:rsidRDefault="00883A0F" w:rsidP="00375293">
      <w:pPr>
        <w:pStyle w:val="Default"/>
        <w:spacing w:before="240" w:after="160"/>
        <w:ind w:left="990"/>
        <w:jc w:val="center"/>
        <w:rPr>
          <w:rFonts w:ascii="Garamond" w:hAnsi="Garamond"/>
          <w:b/>
          <w:bCs/>
          <w:smallCaps/>
          <w:color w:val="002060"/>
          <w:sz w:val="28"/>
          <w:szCs w:val="28"/>
          <w:lang w:val="es-MX"/>
        </w:rPr>
      </w:pPr>
      <w:r w:rsidRPr="00311FA4">
        <w:rPr>
          <w:rFonts w:ascii="Garamond" w:hAnsi="Garamond"/>
          <w:b/>
          <w:bCs/>
          <w:smallCaps/>
          <w:color w:val="002060"/>
          <w:sz w:val="28"/>
          <w:szCs w:val="28"/>
          <w:lang w:val="es-MX"/>
        </w:rPr>
        <w:t>202</w:t>
      </w:r>
      <w:r w:rsidR="008D6348" w:rsidRPr="00311FA4">
        <w:rPr>
          <w:rFonts w:ascii="Garamond" w:hAnsi="Garamond"/>
          <w:b/>
          <w:bCs/>
          <w:smallCaps/>
          <w:color w:val="002060"/>
          <w:sz w:val="28"/>
          <w:szCs w:val="28"/>
          <w:lang w:val="es-MX"/>
        </w:rPr>
        <w:t>3</w:t>
      </w:r>
    </w:p>
    <w:p w14:paraId="7835CF53" w14:textId="74EE3558" w:rsidR="006F5BC6" w:rsidRPr="00395213" w:rsidRDefault="00410030" w:rsidP="00723568">
      <w:pPr>
        <w:spacing w:before="240"/>
        <w:rPr>
          <w:rFonts w:ascii="Garamond" w:hAnsi="Garamond"/>
          <w:sz w:val="21"/>
          <w:szCs w:val="21"/>
        </w:rPr>
      </w:pPr>
      <w:r w:rsidRPr="00395213">
        <w:rPr>
          <w:rFonts w:ascii="Garamond" w:hAnsi="Garamond"/>
          <w:noProof/>
          <w:sz w:val="21"/>
          <w:szCs w:val="21"/>
        </w:rPr>
        <w:drawing>
          <wp:anchor distT="0" distB="0" distL="114300" distR="114300" simplePos="0" relativeHeight="251658242" behindDoc="1" locked="0" layoutInCell="1" allowOverlap="1" wp14:anchorId="51808757" wp14:editId="57FAED40">
            <wp:simplePos x="0" y="0"/>
            <wp:positionH relativeFrom="column">
              <wp:posOffset>-1020767</wp:posOffset>
            </wp:positionH>
            <wp:positionV relativeFrom="paragraph">
              <wp:posOffset>344805</wp:posOffset>
            </wp:positionV>
            <wp:extent cx="4719090" cy="3700088"/>
            <wp:effectExtent l="0" t="0" r="571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alphaModFix amt="20000"/>
                      <a:extLst>
                        <a:ext uri="{BEBA8EAE-BF5A-486C-A8C5-ECC9F3942E4B}">
                          <a14:imgProps xmlns:a14="http://schemas.microsoft.com/office/drawing/2010/main">
                            <a14:imgLayer r:embed="rId15">
                              <a14:imgEffect>
                                <a14:artisticPaintStrokes/>
                              </a14:imgEffect>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719090" cy="3700088"/>
                    </a:xfrm>
                    <a:prstGeom prst="rect">
                      <a:avLst/>
                    </a:prstGeom>
                    <a:noFill/>
                  </pic:spPr>
                </pic:pic>
              </a:graphicData>
            </a:graphic>
            <wp14:sizeRelH relativeFrom="margin">
              <wp14:pctWidth>0</wp14:pctWidth>
            </wp14:sizeRelH>
            <wp14:sizeRelV relativeFrom="margin">
              <wp14:pctHeight>0</wp14:pctHeight>
            </wp14:sizeRelV>
          </wp:anchor>
        </w:drawing>
      </w:r>
    </w:p>
    <w:p w14:paraId="4416ADBE" w14:textId="06717B48" w:rsidR="00F2382C" w:rsidRPr="00395213" w:rsidRDefault="00F2382C" w:rsidP="00723568">
      <w:pPr>
        <w:spacing w:before="240"/>
        <w:rPr>
          <w:rFonts w:ascii="Garamond" w:hAnsi="Garamond"/>
          <w:sz w:val="21"/>
          <w:szCs w:val="21"/>
        </w:rPr>
      </w:pPr>
    </w:p>
    <w:p w14:paraId="35143514" w14:textId="33C5AA76" w:rsidR="00256978" w:rsidRPr="00395213" w:rsidRDefault="00F232B8" w:rsidP="00F232B8">
      <w:pPr>
        <w:tabs>
          <w:tab w:val="left" w:pos="1719"/>
        </w:tabs>
        <w:spacing w:before="240"/>
        <w:rPr>
          <w:rFonts w:ascii="Garamond" w:hAnsi="Garamond"/>
          <w:sz w:val="21"/>
          <w:szCs w:val="21"/>
        </w:rPr>
      </w:pPr>
      <w:r w:rsidRPr="00395213">
        <w:rPr>
          <w:rFonts w:ascii="Garamond" w:hAnsi="Garamond"/>
          <w:sz w:val="21"/>
          <w:szCs w:val="21"/>
        </w:rPr>
        <w:tab/>
      </w:r>
    </w:p>
    <w:p w14:paraId="63451F0C" w14:textId="0C81C3EE" w:rsidR="00256978" w:rsidRPr="00395213" w:rsidRDefault="00256978" w:rsidP="00723568">
      <w:pPr>
        <w:spacing w:before="240"/>
        <w:jc w:val="center"/>
        <w:rPr>
          <w:rFonts w:ascii="Garamond" w:hAnsi="Garamond"/>
          <w:sz w:val="21"/>
          <w:szCs w:val="21"/>
        </w:rPr>
      </w:pPr>
    </w:p>
    <w:p w14:paraId="1E849365" w14:textId="61E2219D" w:rsidR="006F5BC6" w:rsidRPr="00395213" w:rsidRDefault="006F5BC6" w:rsidP="00E36E92">
      <w:pPr>
        <w:spacing w:before="240"/>
        <w:jc w:val="right"/>
        <w:rPr>
          <w:rFonts w:ascii="Garamond" w:hAnsi="Garamond"/>
          <w:sz w:val="21"/>
          <w:szCs w:val="21"/>
        </w:rPr>
      </w:pPr>
    </w:p>
    <w:p w14:paraId="3569A6E1" w14:textId="77777777" w:rsidR="007B36F6" w:rsidRPr="00395213" w:rsidRDefault="007B36F6" w:rsidP="00E36E92">
      <w:pPr>
        <w:spacing w:before="240"/>
        <w:jc w:val="right"/>
        <w:rPr>
          <w:rFonts w:ascii="Garamond" w:hAnsi="Garamond"/>
          <w:sz w:val="21"/>
          <w:szCs w:val="21"/>
        </w:rPr>
      </w:pPr>
    </w:p>
    <w:p w14:paraId="2CB37259" w14:textId="72F077B5" w:rsidR="007B36F6" w:rsidRPr="00395213" w:rsidRDefault="007B36F6" w:rsidP="00883A0F">
      <w:pPr>
        <w:tabs>
          <w:tab w:val="left" w:pos="731"/>
        </w:tabs>
        <w:spacing w:before="240"/>
        <w:rPr>
          <w:rFonts w:ascii="Garamond" w:hAnsi="Garamond"/>
          <w:sz w:val="21"/>
          <w:szCs w:val="21"/>
        </w:rPr>
      </w:pPr>
    </w:p>
    <w:p w14:paraId="43D74305" w14:textId="77777777" w:rsidR="00883D87" w:rsidRDefault="00883D87" w:rsidP="00545D77">
      <w:pPr>
        <w:spacing w:before="240"/>
        <w:ind w:right="990"/>
        <w:jc w:val="right"/>
        <w:rPr>
          <w:rFonts w:ascii="Garamond" w:hAnsi="Garamond"/>
          <w:b/>
          <w:bCs/>
          <w:color w:val="002060"/>
          <w:sz w:val="21"/>
          <w:szCs w:val="21"/>
        </w:rPr>
      </w:pPr>
    </w:p>
    <w:p w14:paraId="5BCFCEC5" w14:textId="5B2AADC8" w:rsidR="00375293" w:rsidRPr="00311FA4" w:rsidRDefault="006826BC" w:rsidP="00545D77">
      <w:pPr>
        <w:spacing w:before="240"/>
        <w:ind w:right="990"/>
        <w:jc w:val="right"/>
        <w:rPr>
          <w:rFonts w:ascii="Garamond" w:hAnsi="Garamond"/>
          <w:b/>
          <w:bCs/>
          <w:color w:val="002060"/>
        </w:rPr>
      </w:pPr>
      <w:r>
        <w:rPr>
          <w:rFonts w:ascii="Garamond" w:hAnsi="Garamond"/>
          <w:b/>
          <w:bCs/>
          <w:color w:val="002060"/>
        </w:rPr>
        <w:t>Mayo,</w:t>
      </w:r>
      <w:r w:rsidR="00A044A1" w:rsidRPr="00311FA4">
        <w:rPr>
          <w:rFonts w:ascii="Garamond" w:hAnsi="Garamond"/>
          <w:b/>
          <w:bCs/>
          <w:color w:val="002060"/>
        </w:rPr>
        <w:t xml:space="preserve"> 202</w:t>
      </w:r>
      <w:r w:rsidR="000130C8" w:rsidRPr="00311FA4">
        <w:rPr>
          <w:rFonts w:ascii="Garamond" w:hAnsi="Garamond"/>
          <w:b/>
          <w:bCs/>
          <w:color w:val="002060"/>
        </w:rPr>
        <w:t>4</w:t>
      </w:r>
    </w:p>
    <w:p w14:paraId="1232B463" w14:textId="67EF290A" w:rsidR="00F845F7" w:rsidRPr="00395213" w:rsidRDefault="00F845F7">
      <w:pPr>
        <w:rPr>
          <w:rFonts w:ascii="Garamond" w:hAnsi="Garamond"/>
          <w:b/>
          <w:bCs/>
          <w:sz w:val="21"/>
          <w:szCs w:val="21"/>
        </w:rPr>
      </w:pPr>
      <w:r w:rsidRPr="00395213">
        <w:rPr>
          <w:rFonts w:ascii="Garamond" w:hAnsi="Garamond"/>
          <w:b/>
          <w:bCs/>
          <w:sz w:val="21"/>
          <w:szCs w:val="21"/>
        </w:rPr>
        <w:br w:type="page"/>
      </w:r>
    </w:p>
    <w:p w14:paraId="0D65E0FB" w14:textId="6891DE8D" w:rsidR="00252CA7" w:rsidRPr="00311FA4" w:rsidRDefault="00A144BD" w:rsidP="00575DE0">
      <w:pPr>
        <w:spacing w:after="0" w:line="276" w:lineRule="auto"/>
        <w:jc w:val="right"/>
        <w:rPr>
          <w:rFonts w:ascii="Garamond" w:hAnsi="Garamond"/>
          <w:b/>
          <w:bCs/>
          <w:color w:val="002060"/>
          <w:sz w:val="24"/>
          <w:szCs w:val="24"/>
        </w:rPr>
      </w:pPr>
      <w:r w:rsidRPr="00311FA4">
        <w:rPr>
          <w:rFonts w:ascii="Garamond" w:hAnsi="Garamond"/>
          <w:b/>
          <w:bCs/>
          <w:color w:val="002060"/>
          <w:sz w:val="24"/>
          <w:szCs w:val="24"/>
        </w:rPr>
        <w:lastRenderedPageBreak/>
        <w:t>CONTENIDO</w:t>
      </w:r>
    </w:p>
    <w:p w14:paraId="1F7E0C9F" w14:textId="5A85DA56" w:rsidR="00326D3B" w:rsidRPr="00326D3B" w:rsidRDefault="00252CA7">
      <w:pPr>
        <w:pStyle w:val="TDC1"/>
        <w:rPr>
          <w:rFonts w:ascii="Garamond" w:eastAsiaTheme="minorEastAsia" w:hAnsi="Garamond"/>
          <w:noProof/>
          <w:color w:val="002060"/>
          <w:kern w:val="2"/>
          <w:sz w:val="24"/>
          <w:szCs w:val="24"/>
          <w:lang w:eastAsia="es-MX"/>
          <w14:ligatures w14:val="standardContextual"/>
        </w:rPr>
      </w:pPr>
      <w:r w:rsidRPr="00DB575B">
        <w:rPr>
          <w:rFonts w:ascii="Garamond" w:hAnsi="Garamond"/>
          <w:color w:val="002060"/>
          <w:sz w:val="20"/>
          <w:szCs w:val="20"/>
        </w:rPr>
        <w:fldChar w:fldCharType="begin"/>
      </w:r>
      <w:r w:rsidRPr="00DB575B">
        <w:rPr>
          <w:rFonts w:ascii="Garamond" w:hAnsi="Garamond"/>
          <w:color w:val="002060"/>
          <w:sz w:val="20"/>
          <w:szCs w:val="20"/>
        </w:rPr>
        <w:instrText xml:space="preserve"> TOC \o "1-3" \h \z \u </w:instrText>
      </w:r>
      <w:r w:rsidRPr="00DB575B">
        <w:rPr>
          <w:rFonts w:ascii="Garamond" w:hAnsi="Garamond"/>
          <w:color w:val="002060"/>
          <w:sz w:val="20"/>
          <w:szCs w:val="20"/>
        </w:rPr>
        <w:fldChar w:fldCharType="separate"/>
      </w:r>
      <w:hyperlink w:anchor="_Toc164684565" w:history="1">
        <w:r w:rsidR="00326D3B" w:rsidRPr="00326D3B">
          <w:rPr>
            <w:rStyle w:val="Hipervnculo"/>
            <w:rFonts w:ascii="Garamond" w:hAnsi="Garamond"/>
            <w:b/>
            <w:noProof/>
            <w:color w:val="002060"/>
          </w:rPr>
          <w:t>I. INTRODUCCIÓN</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_Toc164684565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3</w:t>
        </w:r>
        <w:r w:rsidR="00326D3B" w:rsidRPr="00326D3B">
          <w:rPr>
            <w:rFonts w:ascii="Garamond" w:hAnsi="Garamond"/>
            <w:noProof/>
            <w:webHidden/>
            <w:color w:val="002060"/>
          </w:rPr>
          <w:fldChar w:fldCharType="end"/>
        </w:r>
      </w:hyperlink>
    </w:p>
    <w:p w14:paraId="41B6FEA9" w14:textId="5E7C0F3F" w:rsidR="00326D3B" w:rsidRPr="00326D3B" w:rsidRDefault="00942389">
      <w:pPr>
        <w:pStyle w:val="TDC1"/>
        <w:rPr>
          <w:rFonts w:ascii="Garamond" w:eastAsiaTheme="minorEastAsia" w:hAnsi="Garamond"/>
          <w:noProof/>
          <w:color w:val="002060"/>
          <w:kern w:val="2"/>
          <w:sz w:val="24"/>
          <w:szCs w:val="24"/>
          <w:lang w:eastAsia="es-MX"/>
          <w14:ligatures w14:val="standardContextual"/>
        </w:rPr>
      </w:pPr>
      <w:hyperlink w:anchor="_Toc164684566" w:history="1">
        <w:r w:rsidR="00326D3B" w:rsidRPr="00326D3B">
          <w:rPr>
            <w:rStyle w:val="Hipervnculo"/>
            <w:rFonts w:ascii="Garamond" w:hAnsi="Garamond"/>
            <w:b/>
            <w:noProof/>
            <w:color w:val="002060"/>
          </w:rPr>
          <w:t>II. RESULTADOS DE LOS INDICADORES DE CALIDAD</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_Toc164684566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6</w:t>
        </w:r>
        <w:r w:rsidR="00326D3B" w:rsidRPr="00326D3B">
          <w:rPr>
            <w:rFonts w:ascii="Garamond" w:hAnsi="Garamond"/>
            <w:noProof/>
            <w:webHidden/>
            <w:color w:val="002060"/>
          </w:rPr>
          <w:fldChar w:fldCharType="end"/>
        </w:r>
      </w:hyperlink>
    </w:p>
    <w:p w14:paraId="24547D80" w14:textId="38FD5724" w:rsidR="00326D3B" w:rsidRPr="00326D3B" w:rsidRDefault="00942389">
      <w:pPr>
        <w:pStyle w:val="TDC2"/>
        <w:rPr>
          <w:rFonts w:ascii="Garamond" w:eastAsiaTheme="minorEastAsia" w:hAnsi="Garamond"/>
          <w:noProof/>
          <w:color w:val="002060"/>
          <w:kern w:val="2"/>
          <w:sz w:val="24"/>
          <w:szCs w:val="24"/>
          <w:lang w:eastAsia="es-MX"/>
          <w14:ligatures w14:val="standardContextual"/>
        </w:rPr>
      </w:pPr>
      <w:hyperlink w:anchor="_Toc164684567" w:history="1">
        <w:r w:rsidR="00326D3B" w:rsidRPr="00326D3B">
          <w:rPr>
            <w:rStyle w:val="Hipervnculo"/>
            <w:rFonts w:ascii="Garamond" w:hAnsi="Garamond"/>
            <w:bCs/>
            <w:noProof/>
            <w:color w:val="002060"/>
          </w:rPr>
          <w:t>II.1. PERTINENCIA</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_Toc164684567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6</w:t>
        </w:r>
        <w:r w:rsidR="00326D3B" w:rsidRPr="00326D3B">
          <w:rPr>
            <w:rFonts w:ascii="Garamond" w:hAnsi="Garamond"/>
            <w:noProof/>
            <w:webHidden/>
            <w:color w:val="002060"/>
          </w:rPr>
          <w:fldChar w:fldCharType="end"/>
        </w:r>
      </w:hyperlink>
    </w:p>
    <w:p w14:paraId="585F64C0" w14:textId="53C4C519" w:rsidR="00326D3B" w:rsidRPr="00326D3B" w:rsidRDefault="00942389">
      <w:pPr>
        <w:pStyle w:val="TDC2"/>
        <w:rPr>
          <w:rFonts w:ascii="Garamond" w:eastAsiaTheme="minorEastAsia" w:hAnsi="Garamond"/>
          <w:noProof/>
          <w:color w:val="002060"/>
          <w:kern w:val="2"/>
          <w:sz w:val="24"/>
          <w:szCs w:val="24"/>
          <w:lang w:eastAsia="es-MX"/>
          <w14:ligatures w14:val="standardContextual"/>
        </w:rPr>
      </w:pPr>
      <w:hyperlink w:anchor="_Toc164684568" w:history="1">
        <w:r w:rsidR="00326D3B" w:rsidRPr="00326D3B">
          <w:rPr>
            <w:rStyle w:val="Hipervnculo"/>
            <w:rFonts w:ascii="Garamond" w:hAnsi="Garamond"/>
            <w:bCs/>
            <w:noProof/>
            <w:color w:val="002060"/>
          </w:rPr>
          <w:t>II.2. OPORTUNIDAD</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_Toc164684568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7</w:t>
        </w:r>
        <w:r w:rsidR="00326D3B" w:rsidRPr="00326D3B">
          <w:rPr>
            <w:rFonts w:ascii="Garamond" w:hAnsi="Garamond"/>
            <w:noProof/>
            <w:webHidden/>
            <w:color w:val="002060"/>
          </w:rPr>
          <w:fldChar w:fldCharType="end"/>
        </w:r>
      </w:hyperlink>
    </w:p>
    <w:p w14:paraId="5EA8FE01" w14:textId="6F2F77F4" w:rsidR="00326D3B" w:rsidRPr="00326D3B" w:rsidRDefault="00942389">
      <w:pPr>
        <w:pStyle w:val="TDC2"/>
        <w:rPr>
          <w:rFonts w:ascii="Garamond" w:eastAsiaTheme="minorEastAsia" w:hAnsi="Garamond"/>
          <w:noProof/>
          <w:color w:val="002060"/>
          <w:kern w:val="2"/>
          <w:sz w:val="24"/>
          <w:szCs w:val="24"/>
          <w:lang w:eastAsia="es-MX"/>
          <w14:ligatures w14:val="standardContextual"/>
        </w:rPr>
      </w:pPr>
      <w:hyperlink w:anchor="_Toc164684569" w:history="1">
        <w:r w:rsidR="00326D3B" w:rsidRPr="00326D3B">
          <w:rPr>
            <w:rStyle w:val="Hipervnculo"/>
            <w:rFonts w:ascii="Garamond" w:hAnsi="Garamond"/>
            <w:bCs/>
            <w:noProof/>
            <w:color w:val="002060"/>
          </w:rPr>
          <w:t>II.3. ACCESIBILIDAD</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_Toc164684569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10</w:t>
        </w:r>
        <w:r w:rsidR="00326D3B" w:rsidRPr="00326D3B">
          <w:rPr>
            <w:rFonts w:ascii="Garamond" w:hAnsi="Garamond"/>
            <w:noProof/>
            <w:webHidden/>
            <w:color w:val="002060"/>
          </w:rPr>
          <w:fldChar w:fldCharType="end"/>
        </w:r>
      </w:hyperlink>
    </w:p>
    <w:p w14:paraId="1425478E" w14:textId="73F959E4" w:rsidR="00326D3B" w:rsidRPr="00326D3B" w:rsidRDefault="00942389">
      <w:pPr>
        <w:pStyle w:val="TDC2"/>
        <w:rPr>
          <w:rFonts w:ascii="Garamond" w:eastAsiaTheme="minorEastAsia" w:hAnsi="Garamond"/>
          <w:noProof/>
          <w:color w:val="002060"/>
          <w:kern w:val="2"/>
          <w:sz w:val="24"/>
          <w:szCs w:val="24"/>
          <w:lang w:eastAsia="es-MX"/>
          <w14:ligatures w14:val="standardContextual"/>
        </w:rPr>
      </w:pPr>
      <w:hyperlink w:anchor="_Toc164684570" w:history="1">
        <w:r w:rsidR="00326D3B" w:rsidRPr="00326D3B">
          <w:rPr>
            <w:rStyle w:val="Hipervnculo"/>
            <w:rFonts w:ascii="Garamond" w:hAnsi="Garamond"/>
            <w:bCs/>
            <w:noProof/>
            <w:color w:val="002060"/>
          </w:rPr>
          <w:t>II.4. PRECISIÓN</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_Toc164684570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10</w:t>
        </w:r>
        <w:r w:rsidR="00326D3B" w:rsidRPr="00326D3B">
          <w:rPr>
            <w:rFonts w:ascii="Garamond" w:hAnsi="Garamond"/>
            <w:noProof/>
            <w:webHidden/>
            <w:color w:val="002060"/>
          </w:rPr>
          <w:fldChar w:fldCharType="end"/>
        </w:r>
      </w:hyperlink>
    </w:p>
    <w:p w14:paraId="7536C83B" w14:textId="05DDFDCD" w:rsidR="00326D3B" w:rsidRPr="00326D3B" w:rsidRDefault="00942389">
      <w:pPr>
        <w:pStyle w:val="TDC3"/>
        <w:tabs>
          <w:tab w:val="right" w:leader="dot" w:pos="10790"/>
        </w:tabs>
        <w:rPr>
          <w:rFonts w:ascii="Garamond" w:eastAsiaTheme="minorEastAsia" w:hAnsi="Garamond"/>
          <w:noProof/>
          <w:color w:val="002060"/>
          <w:kern w:val="2"/>
          <w:sz w:val="24"/>
          <w:szCs w:val="24"/>
          <w:lang w:eastAsia="es-MX"/>
          <w14:ligatures w14:val="standardContextual"/>
        </w:rPr>
      </w:pPr>
      <w:hyperlink w:anchor="_Toc164684571" w:history="1">
        <w:r w:rsidR="00326D3B" w:rsidRPr="00326D3B">
          <w:rPr>
            <w:rStyle w:val="Hipervnculo"/>
            <w:rFonts w:ascii="Garamond" w:hAnsi="Garamond"/>
            <w:noProof/>
            <w:color w:val="002060"/>
          </w:rPr>
          <w:t>A. Precisión en la información geográfica</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_Toc164684571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11</w:t>
        </w:r>
        <w:r w:rsidR="00326D3B" w:rsidRPr="00326D3B">
          <w:rPr>
            <w:rFonts w:ascii="Garamond" w:hAnsi="Garamond"/>
            <w:noProof/>
            <w:webHidden/>
            <w:color w:val="002060"/>
          </w:rPr>
          <w:fldChar w:fldCharType="end"/>
        </w:r>
      </w:hyperlink>
    </w:p>
    <w:p w14:paraId="51AC81BC" w14:textId="2D8EE438" w:rsidR="00326D3B" w:rsidRPr="00326D3B" w:rsidRDefault="00942389">
      <w:pPr>
        <w:pStyle w:val="TDC3"/>
        <w:tabs>
          <w:tab w:val="right" w:leader="dot" w:pos="10790"/>
        </w:tabs>
        <w:rPr>
          <w:rFonts w:ascii="Garamond" w:eastAsiaTheme="minorEastAsia" w:hAnsi="Garamond"/>
          <w:noProof/>
          <w:color w:val="002060"/>
          <w:kern w:val="2"/>
          <w:sz w:val="24"/>
          <w:szCs w:val="24"/>
          <w:lang w:eastAsia="es-MX"/>
          <w14:ligatures w14:val="standardContextual"/>
        </w:rPr>
      </w:pPr>
      <w:hyperlink w:anchor="_Toc164684572" w:history="1">
        <w:r w:rsidR="00326D3B" w:rsidRPr="00326D3B">
          <w:rPr>
            <w:rStyle w:val="Hipervnculo"/>
            <w:rFonts w:ascii="Garamond" w:hAnsi="Garamond"/>
            <w:bCs/>
            <w:noProof/>
            <w:color w:val="002060"/>
          </w:rPr>
          <w:t>B. Precisión en la información proveniente del aprovechamiento de registros administrativos</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_Toc164684572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12</w:t>
        </w:r>
        <w:r w:rsidR="00326D3B" w:rsidRPr="00326D3B">
          <w:rPr>
            <w:rFonts w:ascii="Garamond" w:hAnsi="Garamond"/>
            <w:noProof/>
            <w:webHidden/>
            <w:color w:val="002060"/>
          </w:rPr>
          <w:fldChar w:fldCharType="end"/>
        </w:r>
      </w:hyperlink>
    </w:p>
    <w:p w14:paraId="61F9DE57" w14:textId="75D565A7" w:rsidR="00326D3B" w:rsidRPr="00326D3B" w:rsidRDefault="00942389">
      <w:pPr>
        <w:pStyle w:val="TDC3"/>
        <w:tabs>
          <w:tab w:val="right" w:leader="dot" w:pos="10790"/>
        </w:tabs>
        <w:rPr>
          <w:rFonts w:ascii="Garamond" w:eastAsiaTheme="minorEastAsia" w:hAnsi="Garamond"/>
          <w:noProof/>
          <w:color w:val="002060"/>
          <w:kern w:val="2"/>
          <w:sz w:val="24"/>
          <w:szCs w:val="24"/>
          <w:lang w:eastAsia="es-MX"/>
          <w14:ligatures w14:val="standardContextual"/>
        </w:rPr>
      </w:pPr>
      <w:hyperlink w:anchor="_Toc164684573" w:history="1">
        <w:r w:rsidR="00326D3B" w:rsidRPr="00326D3B">
          <w:rPr>
            <w:rStyle w:val="Hipervnculo"/>
            <w:rFonts w:ascii="Garamond" w:hAnsi="Garamond"/>
            <w:noProof/>
            <w:color w:val="002060"/>
          </w:rPr>
          <w:t>C. Precisión en la información proveniente de censos</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_Toc164684573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12</w:t>
        </w:r>
        <w:r w:rsidR="00326D3B" w:rsidRPr="00326D3B">
          <w:rPr>
            <w:rFonts w:ascii="Garamond" w:hAnsi="Garamond"/>
            <w:noProof/>
            <w:webHidden/>
            <w:color w:val="002060"/>
          </w:rPr>
          <w:fldChar w:fldCharType="end"/>
        </w:r>
      </w:hyperlink>
    </w:p>
    <w:p w14:paraId="49D38FAA" w14:textId="060E6E36" w:rsidR="00326D3B" w:rsidRPr="00326D3B" w:rsidRDefault="00942389">
      <w:pPr>
        <w:pStyle w:val="TDC3"/>
        <w:tabs>
          <w:tab w:val="right" w:leader="dot" w:pos="10790"/>
        </w:tabs>
        <w:rPr>
          <w:rFonts w:ascii="Garamond" w:eastAsiaTheme="minorEastAsia" w:hAnsi="Garamond"/>
          <w:noProof/>
          <w:color w:val="002060"/>
          <w:kern w:val="2"/>
          <w:sz w:val="24"/>
          <w:szCs w:val="24"/>
          <w:lang w:eastAsia="es-MX"/>
          <w14:ligatures w14:val="standardContextual"/>
        </w:rPr>
      </w:pPr>
      <w:hyperlink w:anchor="_Toc164684574" w:history="1">
        <w:r w:rsidR="00326D3B" w:rsidRPr="00326D3B">
          <w:rPr>
            <w:rStyle w:val="Hipervnculo"/>
            <w:rFonts w:ascii="Garamond" w:hAnsi="Garamond"/>
            <w:noProof/>
            <w:color w:val="002060"/>
          </w:rPr>
          <w:t>D. Precisión en la información proveniente de encuestas</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_Toc164684574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13</w:t>
        </w:r>
        <w:r w:rsidR="00326D3B" w:rsidRPr="00326D3B">
          <w:rPr>
            <w:rFonts w:ascii="Garamond" w:hAnsi="Garamond"/>
            <w:noProof/>
            <w:webHidden/>
            <w:color w:val="002060"/>
          </w:rPr>
          <w:fldChar w:fldCharType="end"/>
        </w:r>
      </w:hyperlink>
    </w:p>
    <w:p w14:paraId="543B415A" w14:textId="01EBABAA" w:rsidR="00326D3B" w:rsidRPr="00326D3B" w:rsidRDefault="00942389">
      <w:pPr>
        <w:pStyle w:val="TDC1"/>
        <w:rPr>
          <w:rFonts w:ascii="Garamond" w:eastAsiaTheme="minorEastAsia" w:hAnsi="Garamond"/>
          <w:noProof/>
          <w:color w:val="002060"/>
          <w:kern w:val="2"/>
          <w:sz w:val="24"/>
          <w:szCs w:val="24"/>
          <w:lang w:eastAsia="es-MX"/>
          <w14:ligatures w14:val="standardContextual"/>
        </w:rPr>
      </w:pPr>
      <w:hyperlink w:anchor="_Toc164684575" w:history="1">
        <w:r w:rsidR="00326D3B" w:rsidRPr="00326D3B">
          <w:rPr>
            <w:rStyle w:val="Hipervnculo"/>
            <w:rFonts w:ascii="Garamond" w:hAnsi="Garamond" w:cstheme="minorHAnsi"/>
            <w:b/>
            <w:bCs/>
            <w:noProof/>
            <w:color w:val="002060"/>
          </w:rPr>
          <w:t>III. CAMBIOS AL DISEÑO DE LOS PROCESOS DE PRODUCCIÓN</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_Toc164684575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16</w:t>
        </w:r>
        <w:r w:rsidR="00326D3B" w:rsidRPr="00326D3B">
          <w:rPr>
            <w:rFonts w:ascii="Garamond" w:hAnsi="Garamond"/>
            <w:noProof/>
            <w:webHidden/>
            <w:color w:val="002060"/>
          </w:rPr>
          <w:fldChar w:fldCharType="end"/>
        </w:r>
      </w:hyperlink>
    </w:p>
    <w:p w14:paraId="0046F650" w14:textId="343E4A40" w:rsidR="00326D3B" w:rsidRPr="00326D3B" w:rsidRDefault="00942389">
      <w:pPr>
        <w:pStyle w:val="TDC1"/>
        <w:rPr>
          <w:rFonts w:ascii="Garamond" w:eastAsiaTheme="minorEastAsia" w:hAnsi="Garamond"/>
          <w:noProof/>
          <w:color w:val="002060"/>
          <w:kern w:val="2"/>
          <w:sz w:val="24"/>
          <w:szCs w:val="24"/>
          <w:lang w:eastAsia="es-MX"/>
          <w14:ligatures w14:val="standardContextual"/>
        </w:rPr>
      </w:pPr>
      <w:hyperlink w:anchor="_Toc164684576" w:history="1">
        <w:r w:rsidR="00326D3B" w:rsidRPr="00326D3B">
          <w:rPr>
            <w:rStyle w:val="Hipervnculo"/>
            <w:rFonts w:ascii="Garamond" w:hAnsi="Garamond" w:cstheme="minorHAnsi"/>
            <w:b/>
            <w:bCs/>
            <w:noProof/>
            <w:color w:val="002060"/>
          </w:rPr>
          <w:t>IV. CONCLUSIONES</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_Toc164684576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18</w:t>
        </w:r>
        <w:r w:rsidR="00326D3B" w:rsidRPr="00326D3B">
          <w:rPr>
            <w:rFonts w:ascii="Garamond" w:hAnsi="Garamond"/>
            <w:noProof/>
            <w:webHidden/>
            <w:color w:val="002060"/>
          </w:rPr>
          <w:fldChar w:fldCharType="end"/>
        </w:r>
      </w:hyperlink>
    </w:p>
    <w:p w14:paraId="3D63FBA8" w14:textId="7F6A80CF" w:rsidR="00326D3B" w:rsidRPr="00326D3B" w:rsidRDefault="00942389">
      <w:pPr>
        <w:pStyle w:val="TDC1"/>
        <w:rPr>
          <w:rFonts w:ascii="Garamond" w:eastAsiaTheme="minorEastAsia" w:hAnsi="Garamond"/>
          <w:noProof/>
          <w:color w:val="002060"/>
          <w:kern w:val="2"/>
          <w:sz w:val="24"/>
          <w:szCs w:val="24"/>
          <w:lang w:eastAsia="es-MX"/>
          <w14:ligatures w14:val="standardContextual"/>
        </w:rPr>
      </w:pPr>
      <w:hyperlink w:anchor="_Toc164684577" w:history="1">
        <w:r w:rsidR="00326D3B" w:rsidRPr="00326D3B">
          <w:rPr>
            <w:rStyle w:val="Hipervnculo"/>
            <w:rFonts w:ascii="Garamond" w:hAnsi="Garamond" w:cstheme="minorHAnsi"/>
            <w:b/>
            <w:bCs/>
            <w:noProof/>
            <w:color w:val="002060"/>
          </w:rPr>
          <w:t>GLOSARIO DE ACRÓNIMOS</w:t>
        </w:r>
        <w:r w:rsidR="00326D3B" w:rsidRPr="00326D3B">
          <w:rPr>
            <w:rFonts w:ascii="Garamond" w:hAnsi="Garamond"/>
            <w:noProof/>
            <w:webHidden/>
            <w:color w:val="002060"/>
          </w:rPr>
          <w:tab/>
        </w:r>
        <w:r w:rsidR="00326D3B" w:rsidRPr="00326D3B">
          <w:rPr>
            <w:rFonts w:ascii="Garamond" w:hAnsi="Garamond"/>
            <w:noProof/>
            <w:webHidden/>
            <w:color w:val="002060"/>
          </w:rPr>
          <w:fldChar w:fldCharType="begin"/>
        </w:r>
        <w:r w:rsidR="00326D3B" w:rsidRPr="00326D3B">
          <w:rPr>
            <w:rFonts w:ascii="Garamond" w:hAnsi="Garamond"/>
            <w:noProof/>
            <w:webHidden/>
            <w:color w:val="002060"/>
          </w:rPr>
          <w:instrText xml:space="preserve"> PAGEREF _Toc164684577 \h </w:instrText>
        </w:r>
        <w:r w:rsidR="00326D3B" w:rsidRPr="00326D3B">
          <w:rPr>
            <w:rFonts w:ascii="Garamond" w:hAnsi="Garamond"/>
            <w:noProof/>
            <w:webHidden/>
            <w:color w:val="002060"/>
          </w:rPr>
        </w:r>
        <w:r w:rsidR="00326D3B" w:rsidRPr="00326D3B">
          <w:rPr>
            <w:rFonts w:ascii="Garamond" w:hAnsi="Garamond"/>
            <w:noProof/>
            <w:webHidden/>
            <w:color w:val="002060"/>
          </w:rPr>
          <w:fldChar w:fldCharType="separate"/>
        </w:r>
        <w:r w:rsidR="00403083">
          <w:rPr>
            <w:rFonts w:ascii="Garamond" w:hAnsi="Garamond"/>
            <w:noProof/>
            <w:webHidden/>
            <w:color w:val="002060"/>
          </w:rPr>
          <w:t>19</w:t>
        </w:r>
        <w:r w:rsidR="00326D3B" w:rsidRPr="00326D3B">
          <w:rPr>
            <w:rFonts w:ascii="Garamond" w:hAnsi="Garamond"/>
            <w:noProof/>
            <w:webHidden/>
            <w:color w:val="002060"/>
          </w:rPr>
          <w:fldChar w:fldCharType="end"/>
        </w:r>
      </w:hyperlink>
    </w:p>
    <w:p w14:paraId="13C44493" w14:textId="3FBA3666" w:rsidR="00FE5D49" w:rsidRPr="00395213" w:rsidRDefault="00252CA7" w:rsidP="001A1E22">
      <w:pPr>
        <w:tabs>
          <w:tab w:val="right" w:leader="dot" w:pos="10490"/>
          <w:tab w:val="right" w:leader="dot" w:pos="10632"/>
        </w:tabs>
        <w:spacing w:after="0" w:line="240" w:lineRule="auto"/>
        <w:rPr>
          <w:rFonts w:ascii="Garamond" w:hAnsi="Garamond"/>
          <w:sz w:val="21"/>
          <w:szCs w:val="21"/>
        </w:rPr>
      </w:pPr>
      <w:r w:rsidRPr="00DB575B">
        <w:rPr>
          <w:rFonts w:ascii="Garamond" w:hAnsi="Garamond" w:cstheme="minorHAnsi"/>
          <w:b/>
          <w:bCs/>
          <w:color w:val="002060"/>
          <w:sz w:val="20"/>
          <w:szCs w:val="20"/>
        </w:rPr>
        <w:fldChar w:fldCharType="end"/>
      </w:r>
      <w:r w:rsidR="00FE5D49" w:rsidRPr="00395213">
        <w:rPr>
          <w:rFonts w:ascii="Garamond" w:hAnsi="Garamond"/>
          <w:sz w:val="21"/>
          <w:szCs w:val="21"/>
        </w:rPr>
        <w:br w:type="page"/>
      </w:r>
    </w:p>
    <w:p w14:paraId="2EE9DD9B" w14:textId="24788C5B" w:rsidR="001F4D54" w:rsidRPr="00311FA4" w:rsidRDefault="00714614" w:rsidP="00DD77D9">
      <w:pPr>
        <w:pStyle w:val="Ttulo1"/>
        <w:tabs>
          <w:tab w:val="left" w:pos="710"/>
          <w:tab w:val="right" w:pos="10800"/>
        </w:tabs>
        <w:rPr>
          <w:rFonts w:ascii="Garamond" w:hAnsi="Garamond" w:cstheme="minorBidi"/>
          <w:b/>
          <w:color w:val="002060"/>
          <w:sz w:val="24"/>
          <w:szCs w:val="24"/>
        </w:rPr>
      </w:pPr>
      <w:bookmarkStart w:id="0" w:name="_Toc164684565"/>
      <w:r w:rsidRPr="00311FA4">
        <w:rPr>
          <w:rFonts w:ascii="Garamond" w:hAnsi="Garamond" w:cstheme="minorBidi"/>
          <w:b/>
          <w:color w:val="002060"/>
          <w:sz w:val="24"/>
          <w:szCs w:val="24"/>
        </w:rPr>
        <w:lastRenderedPageBreak/>
        <w:t>I. INTRODUCCIÓN</w:t>
      </w:r>
      <w:bookmarkEnd w:id="0"/>
    </w:p>
    <w:p w14:paraId="66216502" w14:textId="643074B4" w:rsidR="005E7225" w:rsidRPr="00311FA4" w:rsidRDefault="007D535A" w:rsidP="009F3D64">
      <w:pPr>
        <w:spacing w:before="240"/>
        <w:jc w:val="both"/>
        <w:rPr>
          <w:rFonts w:ascii="Garamond" w:hAnsi="Garamond"/>
        </w:rPr>
      </w:pPr>
      <w:r w:rsidRPr="00311FA4">
        <w:rPr>
          <w:rFonts w:ascii="Garamond" w:hAnsi="Garamond"/>
        </w:rPr>
        <w:t>El</w:t>
      </w:r>
      <w:r w:rsidR="005E7225" w:rsidRPr="00311FA4">
        <w:rPr>
          <w:rFonts w:ascii="Garamond" w:hAnsi="Garamond"/>
        </w:rPr>
        <w:t xml:space="preserve"> Esquema Integral de Aseguramiento de la Calidad</w:t>
      </w:r>
      <w:r w:rsidRPr="00311FA4">
        <w:rPr>
          <w:rFonts w:ascii="Garamond" w:hAnsi="Garamond"/>
        </w:rPr>
        <w:t xml:space="preserve"> del Instituto</w:t>
      </w:r>
      <w:r w:rsidR="005E7225" w:rsidRPr="00311FA4">
        <w:rPr>
          <w:rFonts w:ascii="Garamond" w:hAnsi="Garamond"/>
        </w:rPr>
        <w:t xml:space="preserve"> centrado en las necesidades de las personas usuarias, considera un conjunto de principios organizados en </w:t>
      </w:r>
      <w:r w:rsidR="00470FED" w:rsidRPr="00311FA4">
        <w:rPr>
          <w:rFonts w:ascii="Garamond" w:hAnsi="Garamond"/>
        </w:rPr>
        <w:t xml:space="preserve">cuatro </w:t>
      </w:r>
      <w:r w:rsidR="005E7225" w:rsidRPr="00311FA4">
        <w:rPr>
          <w:rFonts w:ascii="Garamond" w:hAnsi="Garamond"/>
        </w:rPr>
        <w:t>dimensiones</w:t>
      </w:r>
      <w:r w:rsidR="00F768B9">
        <w:rPr>
          <w:rFonts w:ascii="Garamond" w:hAnsi="Garamond"/>
        </w:rPr>
        <w:t>:</w:t>
      </w:r>
      <w:r w:rsidR="005E7225" w:rsidRPr="00311FA4">
        <w:rPr>
          <w:rFonts w:ascii="Garamond" w:hAnsi="Garamond"/>
        </w:rPr>
        <w:t xml:space="preserve"> la gestión del </w:t>
      </w:r>
      <w:r w:rsidR="0086404A" w:rsidRPr="00311FA4">
        <w:rPr>
          <w:rFonts w:ascii="Garamond" w:hAnsi="Garamond"/>
        </w:rPr>
        <w:t>Sistema Nacional de Información Estadística y Geográfica (</w:t>
      </w:r>
      <w:proofErr w:type="spellStart"/>
      <w:r w:rsidR="00785FFA" w:rsidRPr="00311FA4">
        <w:rPr>
          <w:rFonts w:ascii="Garamond" w:hAnsi="Garamond"/>
          <w:smallCaps/>
        </w:rPr>
        <w:t>snieg</w:t>
      </w:r>
      <w:proofErr w:type="spellEnd"/>
      <w:r w:rsidR="0086404A" w:rsidRPr="00311FA4">
        <w:rPr>
          <w:rFonts w:ascii="Garamond" w:hAnsi="Garamond"/>
          <w:smallCaps/>
        </w:rPr>
        <w:t>)</w:t>
      </w:r>
      <w:r w:rsidR="00F768B9">
        <w:rPr>
          <w:rFonts w:ascii="Garamond" w:hAnsi="Garamond"/>
        </w:rPr>
        <w:t>;</w:t>
      </w:r>
      <w:r w:rsidR="005E7225" w:rsidRPr="00311FA4">
        <w:rPr>
          <w:rFonts w:ascii="Garamond" w:hAnsi="Garamond"/>
        </w:rPr>
        <w:t xml:space="preserve"> el entorno institucional del </w:t>
      </w:r>
      <w:r w:rsidR="00AD6087" w:rsidRPr="00311FA4">
        <w:rPr>
          <w:rFonts w:ascii="Garamond" w:hAnsi="Garamond"/>
        </w:rPr>
        <w:t>Instituto Nacional de Estadística y Geografía (</w:t>
      </w:r>
      <w:proofErr w:type="spellStart"/>
      <w:r w:rsidR="00617F01" w:rsidRPr="00311FA4">
        <w:rPr>
          <w:rFonts w:ascii="Garamond" w:hAnsi="Garamond"/>
          <w:smallCaps/>
        </w:rPr>
        <w:t>inegi</w:t>
      </w:r>
      <w:proofErr w:type="spellEnd"/>
      <w:r w:rsidR="00AD6087" w:rsidRPr="00311FA4">
        <w:rPr>
          <w:rFonts w:ascii="Garamond" w:hAnsi="Garamond"/>
        </w:rPr>
        <w:t xml:space="preserve"> o Instituto)</w:t>
      </w:r>
      <w:r w:rsidR="00F768B9">
        <w:rPr>
          <w:rFonts w:ascii="Garamond" w:hAnsi="Garamond"/>
        </w:rPr>
        <w:t>;</w:t>
      </w:r>
      <w:r w:rsidR="005E7225" w:rsidRPr="00311FA4">
        <w:rPr>
          <w:rFonts w:ascii="Garamond" w:hAnsi="Garamond"/>
        </w:rPr>
        <w:t xml:space="preserve"> los procesos de producción</w:t>
      </w:r>
      <w:r w:rsidR="00F768B9">
        <w:rPr>
          <w:rFonts w:ascii="Garamond" w:hAnsi="Garamond"/>
        </w:rPr>
        <w:t>,</w:t>
      </w:r>
      <w:r w:rsidR="005E7225" w:rsidRPr="00311FA4">
        <w:rPr>
          <w:rFonts w:ascii="Garamond" w:hAnsi="Garamond"/>
        </w:rPr>
        <w:t xml:space="preserve"> y los productos</w:t>
      </w:r>
      <w:r w:rsidR="00201775" w:rsidRPr="00311FA4">
        <w:rPr>
          <w:rFonts w:ascii="Garamond" w:hAnsi="Garamond"/>
        </w:rPr>
        <w:t xml:space="preserve">, </w:t>
      </w:r>
      <w:r w:rsidR="00DD77D9" w:rsidRPr="00311FA4">
        <w:rPr>
          <w:rFonts w:ascii="Garamond" w:hAnsi="Garamond"/>
        </w:rPr>
        <w:t>es decir</w:t>
      </w:r>
      <w:r w:rsidR="00E62C71" w:rsidRPr="00311FA4">
        <w:rPr>
          <w:rFonts w:ascii="Garamond" w:hAnsi="Garamond"/>
        </w:rPr>
        <w:t>,</w:t>
      </w:r>
      <w:r w:rsidR="00201775" w:rsidRPr="00311FA4">
        <w:rPr>
          <w:rFonts w:ascii="Garamond" w:hAnsi="Garamond"/>
        </w:rPr>
        <w:t xml:space="preserve"> la información estadística y geográfica</w:t>
      </w:r>
      <w:r w:rsidR="005E7225" w:rsidRPr="00311FA4">
        <w:rPr>
          <w:rFonts w:ascii="Garamond" w:hAnsi="Garamond"/>
        </w:rPr>
        <w:t xml:space="preserve">. </w:t>
      </w:r>
      <w:r w:rsidR="00F768B9">
        <w:rPr>
          <w:rFonts w:ascii="Garamond" w:hAnsi="Garamond"/>
        </w:rPr>
        <w:t>Los</w:t>
      </w:r>
      <w:r w:rsidR="005E7225" w:rsidRPr="00311FA4">
        <w:rPr>
          <w:rFonts w:ascii="Garamond" w:hAnsi="Garamond"/>
        </w:rPr>
        <w:t xml:space="preserve"> principios </w:t>
      </w:r>
      <w:r w:rsidR="00F768B9">
        <w:rPr>
          <w:rFonts w:ascii="Garamond" w:hAnsi="Garamond"/>
        </w:rPr>
        <w:t>establecidos se operan</w:t>
      </w:r>
      <w:r w:rsidR="005E7225" w:rsidRPr="00311FA4">
        <w:rPr>
          <w:rFonts w:ascii="Garamond" w:hAnsi="Garamond"/>
        </w:rPr>
        <w:t xml:space="preserve"> mediante el </w:t>
      </w:r>
      <w:r w:rsidR="009F3D64">
        <w:rPr>
          <w:rFonts w:ascii="Garamond" w:hAnsi="Garamond"/>
        </w:rPr>
        <w:t>s</w:t>
      </w:r>
      <w:r w:rsidR="005E7225" w:rsidRPr="00311FA4">
        <w:rPr>
          <w:rFonts w:ascii="Garamond" w:hAnsi="Garamond"/>
        </w:rPr>
        <w:t xml:space="preserve">istema de </w:t>
      </w:r>
      <w:r w:rsidR="009F3D64">
        <w:rPr>
          <w:rFonts w:ascii="Garamond" w:hAnsi="Garamond"/>
        </w:rPr>
        <w:t>g</w:t>
      </w:r>
      <w:r w:rsidR="005E7225" w:rsidRPr="00311FA4">
        <w:rPr>
          <w:rFonts w:ascii="Garamond" w:hAnsi="Garamond"/>
        </w:rPr>
        <w:t xml:space="preserve">estión de la </w:t>
      </w:r>
      <w:r w:rsidR="009F3D64">
        <w:rPr>
          <w:rFonts w:ascii="Garamond" w:hAnsi="Garamond"/>
        </w:rPr>
        <w:t>c</w:t>
      </w:r>
      <w:r w:rsidR="005E7225" w:rsidRPr="00311FA4">
        <w:rPr>
          <w:rFonts w:ascii="Garamond" w:hAnsi="Garamond"/>
        </w:rPr>
        <w:t xml:space="preserve">alidad </w:t>
      </w:r>
      <w:r w:rsidR="00F768B9">
        <w:rPr>
          <w:rFonts w:ascii="Garamond" w:hAnsi="Garamond"/>
        </w:rPr>
        <w:t>donde se promueven</w:t>
      </w:r>
      <w:r w:rsidR="00F768B9" w:rsidRPr="00311FA4">
        <w:rPr>
          <w:rFonts w:ascii="Garamond" w:hAnsi="Garamond"/>
        </w:rPr>
        <w:t xml:space="preserve"> </w:t>
      </w:r>
      <w:r w:rsidR="005E7225" w:rsidRPr="00311FA4">
        <w:rPr>
          <w:rFonts w:ascii="Garamond" w:hAnsi="Garamond"/>
        </w:rPr>
        <w:t xml:space="preserve">prácticas para </w:t>
      </w:r>
      <w:r w:rsidR="2078A1D6" w:rsidRPr="00311FA4">
        <w:rPr>
          <w:rFonts w:ascii="Garamond" w:hAnsi="Garamond"/>
        </w:rPr>
        <w:t>estandarizar</w:t>
      </w:r>
      <w:r w:rsidR="005E7225" w:rsidRPr="00311FA4">
        <w:rPr>
          <w:rFonts w:ascii="Garamond" w:hAnsi="Garamond"/>
        </w:rPr>
        <w:t xml:space="preserve"> los procesos de producción, evalua</w:t>
      </w:r>
      <w:r w:rsidR="00430E48" w:rsidRPr="00311FA4">
        <w:rPr>
          <w:rFonts w:ascii="Garamond" w:hAnsi="Garamond"/>
        </w:rPr>
        <w:t>r</w:t>
      </w:r>
      <w:r w:rsidR="005E7225" w:rsidRPr="00311FA4">
        <w:rPr>
          <w:rFonts w:ascii="Garamond" w:hAnsi="Garamond"/>
        </w:rPr>
        <w:t xml:space="preserve"> sistemática</w:t>
      </w:r>
      <w:r w:rsidR="00430E48" w:rsidRPr="00311FA4">
        <w:rPr>
          <w:rFonts w:ascii="Garamond" w:hAnsi="Garamond"/>
        </w:rPr>
        <w:t>mente</w:t>
      </w:r>
      <w:r w:rsidR="005E7225" w:rsidRPr="00311FA4">
        <w:rPr>
          <w:rFonts w:ascii="Garamond" w:hAnsi="Garamond"/>
        </w:rPr>
        <w:t xml:space="preserve"> </w:t>
      </w:r>
      <w:r w:rsidR="00F768B9">
        <w:rPr>
          <w:rFonts w:ascii="Garamond" w:hAnsi="Garamond"/>
        </w:rPr>
        <w:t>el</w:t>
      </w:r>
      <w:r w:rsidR="005E7225" w:rsidRPr="00311FA4">
        <w:rPr>
          <w:rFonts w:ascii="Garamond" w:hAnsi="Garamond"/>
        </w:rPr>
        <w:t xml:space="preserve"> quehacer y, con base en evidencia, </w:t>
      </w:r>
      <w:r w:rsidR="2078A1D6" w:rsidRPr="00311FA4">
        <w:rPr>
          <w:rFonts w:ascii="Garamond" w:hAnsi="Garamond"/>
        </w:rPr>
        <w:t>implementa</w:t>
      </w:r>
      <w:r w:rsidR="00430E48" w:rsidRPr="00311FA4">
        <w:rPr>
          <w:rFonts w:ascii="Garamond" w:hAnsi="Garamond"/>
        </w:rPr>
        <w:t>r</w:t>
      </w:r>
      <w:r w:rsidR="000E57D4" w:rsidRPr="00311FA4">
        <w:rPr>
          <w:rFonts w:ascii="Garamond" w:hAnsi="Garamond"/>
        </w:rPr>
        <w:t xml:space="preserve"> </w:t>
      </w:r>
      <w:r w:rsidR="005E7225" w:rsidRPr="00311FA4">
        <w:rPr>
          <w:rFonts w:ascii="Garamond" w:hAnsi="Garamond"/>
        </w:rPr>
        <w:t xml:space="preserve">acciones de mejora </w:t>
      </w:r>
      <w:r w:rsidR="00D1351C" w:rsidRPr="00311FA4">
        <w:rPr>
          <w:rFonts w:ascii="Garamond" w:hAnsi="Garamond"/>
        </w:rPr>
        <w:t xml:space="preserve">que se </w:t>
      </w:r>
      <w:r w:rsidR="005E7225" w:rsidRPr="00311FA4">
        <w:rPr>
          <w:rFonts w:ascii="Garamond" w:hAnsi="Garamond"/>
        </w:rPr>
        <w:t>reflej</w:t>
      </w:r>
      <w:r w:rsidR="00D1351C" w:rsidRPr="00311FA4">
        <w:rPr>
          <w:rFonts w:ascii="Garamond" w:hAnsi="Garamond"/>
        </w:rPr>
        <w:t>en</w:t>
      </w:r>
      <w:r w:rsidR="005E7225" w:rsidRPr="00311FA4">
        <w:rPr>
          <w:rFonts w:ascii="Garamond" w:hAnsi="Garamond"/>
        </w:rPr>
        <w:t xml:space="preserve"> en los servicios de información </w:t>
      </w:r>
      <w:r w:rsidR="009745D3" w:rsidRPr="00311FA4">
        <w:rPr>
          <w:rFonts w:ascii="Garamond" w:hAnsi="Garamond"/>
        </w:rPr>
        <w:t>ofrecidos</w:t>
      </w:r>
      <w:r w:rsidR="00940E78" w:rsidRPr="00311FA4">
        <w:rPr>
          <w:rFonts w:ascii="Garamond" w:hAnsi="Garamond"/>
        </w:rPr>
        <w:t xml:space="preserve"> </w:t>
      </w:r>
      <w:r w:rsidR="005E7225" w:rsidRPr="00311FA4">
        <w:rPr>
          <w:rFonts w:ascii="Garamond" w:hAnsi="Garamond"/>
        </w:rPr>
        <w:t>a las personas usuarias</w:t>
      </w:r>
      <w:r w:rsidR="00514670" w:rsidRPr="00311FA4">
        <w:rPr>
          <w:rFonts w:ascii="Garamond" w:hAnsi="Garamond"/>
        </w:rPr>
        <w:t xml:space="preserve"> (ver Figura 1)</w:t>
      </w:r>
      <w:r w:rsidR="00D44B05" w:rsidRPr="00311FA4">
        <w:rPr>
          <w:rFonts w:ascii="Garamond" w:hAnsi="Garamond"/>
        </w:rPr>
        <w:t>.</w:t>
      </w:r>
    </w:p>
    <w:p w14:paraId="4435C916" w14:textId="1127AA63" w:rsidR="00C85EA3" w:rsidRPr="00311FA4" w:rsidRDefault="003B192C" w:rsidP="00480103">
      <w:pPr>
        <w:spacing w:after="0"/>
        <w:jc w:val="center"/>
        <w:rPr>
          <w:rFonts w:ascii="Garamond" w:hAnsi="Garamond"/>
          <w:b/>
        </w:rPr>
      </w:pPr>
      <w:r w:rsidRPr="00311FA4">
        <w:rPr>
          <w:rFonts w:ascii="Garamond" w:hAnsi="Garamond"/>
          <w:b/>
        </w:rPr>
        <w:t xml:space="preserve">Figura </w:t>
      </w:r>
      <w:r w:rsidR="00A2293D" w:rsidRPr="00311FA4">
        <w:rPr>
          <w:rFonts w:ascii="Garamond" w:hAnsi="Garamond"/>
          <w:b/>
        </w:rPr>
        <w:t>1</w:t>
      </w:r>
      <w:r w:rsidR="00C85EA3" w:rsidRPr="00311FA4">
        <w:rPr>
          <w:rFonts w:ascii="Garamond" w:hAnsi="Garamond"/>
          <w:b/>
        </w:rPr>
        <w:t xml:space="preserve">. </w:t>
      </w:r>
      <w:r w:rsidRPr="00311FA4">
        <w:rPr>
          <w:rFonts w:ascii="Garamond" w:hAnsi="Garamond"/>
          <w:b/>
        </w:rPr>
        <w:t>Esquema Integral de Aseguramiento de la Calidad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EF3BEF" w:rsidRPr="00395213" w14:paraId="11F9AA1A" w14:textId="77777777" w:rsidTr="00D41512">
        <w:trPr>
          <w:cantSplit/>
          <w:trHeight w:val="1134"/>
          <w:jc w:val="center"/>
        </w:trPr>
        <w:tc>
          <w:tcPr>
            <w:tcW w:w="8226" w:type="dxa"/>
          </w:tcPr>
          <w:p w14:paraId="5E7036F8" w14:textId="2A0728DC" w:rsidR="00C85EA3" w:rsidRPr="00395213" w:rsidRDefault="004F79D0" w:rsidP="00D41512">
            <w:pPr>
              <w:spacing w:before="240"/>
              <w:jc w:val="center"/>
              <w:rPr>
                <w:rFonts w:ascii="Garamond" w:hAnsi="Garamond"/>
                <w:sz w:val="21"/>
                <w:szCs w:val="21"/>
              </w:rPr>
            </w:pPr>
            <w:r>
              <w:rPr>
                <w:rFonts w:ascii="Garamond" w:hAnsi="Garamond"/>
                <w:noProof/>
                <w:sz w:val="21"/>
                <w:szCs w:val="21"/>
              </w:rPr>
              <w:drawing>
                <wp:inline distT="0" distB="0" distL="0" distR="0" wp14:anchorId="634BED70" wp14:editId="44B782D4">
                  <wp:extent cx="5080883" cy="3849920"/>
                  <wp:effectExtent l="0" t="0" r="5715" b="0"/>
                  <wp:docPr id="383491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8302" cy="3908582"/>
                          </a:xfrm>
                          <a:prstGeom prst="rect">
                            <a:avLst/>
                          </a:prstGeom>
                          <a:noFill/>
                        </pic:spPr>
                      </pic:pic>
                    </a:graphicData>
                  </a:graphic>
                </wp:inline>
              </w:drawing>
            </w:r>
          </w:p>
        </w:tc>
      </w:tr>
    </w:tbl>
    <w:p w14:paraId="36B87CA0" w14:textId="471C5A2E" w:rsidR="008A057A" w:rsidRPr="00311FA4" w:rsidRDefault="00EA35AD" w:rsidP="009F451A">
      <w:pPr>
        <w:spacing w:before="240"/>
        <w:jc w:val="both"/>
        <w:rPr>
          <w:rFonts w:ascii="Garamond" w:hAnsi="Garamond"/>
        </w:rPr>
      </w:pPr>
      <w:r w:rsidRPr="00311FA4">
        <w:rPr>
          <w:rFonts w:ascii="Garamond" w:hAnsi="Garamond"/>
        </w:rPr>
        <w:t xml:space="preserve">Las dimensiones y los respectivos principios </w:t>
      </w:r>
      <w:r w:rsidR="00514670" w:rsidRPr="00311FA4">
        <w:rPr>
          <w:rFonts w:ascii="Garamond" w:hAnsi="Garamond"/>
        </w:rPr>
        <w:t>(ver Figura 2)</w:t>
      </w:r>
      <w:r w:rsidR="00B82E18" w:rsidRPr="00311FA4">
        <w:rPr>
          <w:rFonts w:ascii="Garamond" w:hAnsi="Garamond"/>
        </w:rPr>
        <w:t xml:space="preserve"> conforman un marco conceptual </w:t>
      </w:r>
      <w:r w:rsidR="005B17B6" w:rsidRPr="00311FA4">
        <w:rPr>
          <w:rFonts w:ascii="Garamond" w:hAnsi="Garamond"/>
        </w:rPr>
        <w:t>para el aseguramiento de la calidad</w:t>
      </w:r>
      <w:r w:rsidR="00740F39" w:rsidRPr="00311FA4">
        <w:rPr>
          <w:rFonts w:ascii="Garamond" w:hAnsi="Garamond"/>
        </w:rPr>
        <w:t xml:space="preserve"> </w:t>
      </w:r>
      <w:r w:rsidR="00A47005" w:rsidRPr="00311FA4">
        <w:rPr>
          <w:rFonts w:ascii="Garamond" w:hAnsi="Garamond"/>
        </w:rPr>
        <w:t>a varios niveles de abstracción</w:t>
      </w:r>
      <w:r w:rsidR="009F7476" w:rsidRPr="00311FA4">
        <w:rPr>
          <w:rFonts w:ascii="Garamond" w:hAnsi="Garamond"/>
        </w:rPr>
        <w:t xml:space="preserve">. Por ejemplo, </w:t>
      </w:r>
      <w:r w:rsidR="0068033C" w:rsidRPr="00311FA4">
        <w:rPr>
          <w:rFonts w:ascii="Garamond" w:hAnsi="Garamond"/>
        </w:rPr>
        <w:t xml:space="preserve">al más alto nivel contempla </w:t>
      </w:r>
      <w:r w:rsidR="00ED58A9" w:rsidRPr="00311FA4">
        <w:rPr>
          <w:rFonts w:ascii="Garamond" w:hAnsi="Garamond"/>
        </w:rPr>
        <w:t>acciones para mejorar la gestión del sistema de información</w:t>
      </w:r>
      <w:r w:rsidR="006D5688" w:rsidRPr="00311FA4">
        <w:rPr>
          <w:rFonts w:ascii="Garamond" w:hAnsi="Garamond"/>
        </w:rPr>
        <w:t xml:space="preserve"> a partir de</w:t>
      </w:r>
      <w:r w:rsidR="008362CD" w:rsidRPr="00311FA4">
        <w:rPr>
          <w:rFonts w:ascii="Garamond" w:hAnsi="Garamond"/>
        </w:rPr>
        <w:t>l fortalecimiento de</w:t>
      </w:r>
      <w:r w:rsidR="00793732" w:rsidRPr="00311FA4">
        <w:rPr>
          <w:rFonts w:ascii="Garamond" w:hAnsi="Garamond"/>
        </w:rPr>
        <w:t xml:space="preserve"> la coordinación del </w:t>
      </w:r>
      <w:proofErr w:type="spellStart"/>
      <w:r w:rsidR="00793732" w:rsidRPr="00311FA4">
        <w:rPr>
          <w:rFonts w:ascii="Garamond" w:hAnsi="Garamond"/>
          <w:smallCaps/>
        </w:rPr>
        <w:t>snieg</w:t>
      </w:r>
      <w:proofErr w:type="spellEnd"/>
      <w:r w:rsidR="00B36725" w:rsidRPr="00311FA4">
        <w:rPr>
          <w:rFonts w:ascii="Garamond" w:hAnsi="Garamond"/>
        </w:rPr>
        <w:t>,</w:t>
      </w:r>
      <w:r w:rsidR="00793732" w:rsidRPr="00311FA4">
        <w:rPr>
          <w:rFonts w:ascii="Garamond" w:hAnsi="Garamond"/>
        </w:rPr>
        <w:t xml:space="preserve"> </w:t>
      </w:r>
      <w:r w:rsidR="00B36725" w:rsidRPr="00311FA4">
        <w:rPr>
          <w:rFonts w:ascii="Garamond" w:hAnsi="Garamond"/>
        </w:rPr>
        <w:t xml:space="preserve">y </w:t>
      </w:r>
      <w:r w:rsidR="007704E1" w:rsidRPr="00311FA4">
        <w:rPr>
          <w:rFonts w:ascii="Garamond" w:hAnsi="Garamond"/>
        </w:rPr>
        <w:t>la relación con las personas usuarias, las Unidades del Estado</w:t>
      </w:r>
      <w:r w:rsidR="00A35D92" w:rsidRPr="00311FA4">
        <w:rPr>
          <w:rFonts w:ascii="Garamond" w:hAnsi="Garamond"/>
        </w:rPr>
        <w:t>, las personas informantes</w:t>
      </w:r>
      <w:r w:rsidR="00F92C02" w:rsidRPr="00311FA4">
        <w:rPr>
          <w:rFonts w:ascii="Garamond" w:hAnsi="Garamond"/>
        </w:rPr>
        <w:t xml:space="preserve"> y</w:t>
      </w:r>
      <w:r w:rsidR="008139EF" w:rsidRPr="00311FA4">
        <w:rPr>
          <w:rFonts w:ascii="Garamond" w:hAnsi="Garamond"/>
        </w:rPr>
        <w:t xml:space="preserve"> </w:t>
      </w:r>
      <w:r w:rsidR="00AB24CC" w:rsidRPr="00311FA4">
        <w:rPr>
          <w:rFonts w:ascii="Garamond" w:hAnsi="Garamond"/>
        </w:rPr>
        <w:t>las instancias que poseen datos útiles</w:t>
      </w:r>
      <w:r w:rsidR="00234816" w:rsidRPr="00311FA4">
        <w:rPr>
          <w:rFonts w:ascii="Garamond" w:hAnsi="Garamond"/>
        </w:rPr>
        <w:t xml:space="preserve"> para fines estadísticos o geográficos. </w:t>
      </w:r>
      <w:r w:rsidR="00C708A8" w:rsidRPr="00311FA4">
        <w:rPr>
          <w:rFonts w:ascii="Garamond" w:hAnsi="Garamond"/>
        </w:rPr>
        <w:t xml:space="preserve">Dentro de esta dimensión también </w:t>
      </w:r>
      <w:r w:rsidR="0098649E" w:rsidRPr="00311FA4">
        <w:rPr>
          <w:rFonts w:ascii="Garamond" w:hAnsi="Garamond"/>
        </w:rPr>
        <w:t xml:space="preserve">se ubica el principio de </w:t>
      </w:r>
      <w:r w:rsidR="0098649E" w:rsidRPr="00F43683">
        <w:rPr>
          <w:rFonts w:ascii="Garamond" w:hAnsi="Garamond"/>
        </w:rPr>
        <w:t xml:space="preserve">gestión de </w:t>
      </w:r>
      <w:r w:rsidR="005565FF" w:rsidRPr="00F43683">
        <w:rPr>
          <w:rFonts w:ascii="Garamond" w:hAnsi="Garamond"/>
        </w:rPr>
        <w:t>las normas</w:t>
      </w:r>
      <w:r w:rsidR="0098649E" w:rsidRPr="00311FA4">
        <w:rPr>
          <w:rFonts w:ascii="Garamond" w:hAnsi="Garamond"/>
        </w:rPr>
        <w:t xml:space="preserve"> y </w:t>
      </w:r>
      <w:r w:rsidR="006F0721" w:rsidRPr="00311FA4">
        <w:rPr>
          <w:rFonts w:ascii="Garamond" w:hAnsi="Garamond"/>
        </w:rPr>
        <w:t>estándares técnicos</w:t>
      </w:r>
      <w:r w:rsidR="00FD3DAA">
        <w:rPr>
          <w:rFonts w:ascii="Garamond" w:hAnsi="Garamond"/>
        </w:rPr>
        <w:t>,</w:t>
      </w:r>
      <w:r w:rsidR="006F0721" w:rsidRPr="00311FA4">
        <w:rPr>
          <w:rFonts w:ascii="Garamond" w:hAnsi="Garamond"/>
        </w:rPr>
        <w:t xml:space="preserve"> bajo los cuales se realiza</w:t>
      </w:r>
      <w:r w:rsidR="002368DB" w:rsidRPr="00311FA4">
        <w:rPr>
          <w:rFonts w:ascii="Garamond" w:hAnsi="Garamond"/>
        </w:rPr>
        <w:t xml:space="preserve"> la producción de información estadística y geográfica.</w:t>
      </w:r>
      <w:r w:rsidR="008A7A00" w:rsidRPr="00311FA4">
        <w:rPr>
          <w:rFonts w:ascii="Garamond" w:hAnsi="Garamond"/>
        </w:rPr>
        <w:t xml:space="preserve"> </w:t>
      </w:r>
      <w:r w:rsidR="00996717" w:rsidRPr="00311FA4">
        <w:rPr>
          <w:rFonts w:ascii="Garamond" w:hAnsi="Garamond"/>
        </w:rPr>
        <w:t>Al otro extremo</w:t>
      </w:r>
      <w:r w:rsidR="00ED11AA" w:rsidRPr="00311FA4">
        <w:rPr>
          <w:rFonts w:ascii="Garamond" w:hAnsi="Garamond"/>
        </w:rPr>
        <w:t>, al nivel de los resultados</w:t>
      </w:r>
      <w:r w:rsidR="00433CFD" w:rsidRPr="00311FA4">
        <w:rPr>
          <w:rFonts w:ascii="Garamond" w:hAnsi="Garamond"/>
        </w:rPr>
        <w:t xml:space="preserve"> o productos, se identifica</w:t>
      </w:r>
      <w:r w:rsidR="00996717" w:rsidRPr="00311FA4">
        <w:rPr>
          <w:rFonts w:ascii="Garamond" w:hAnsi="Garamond"/>
        </w:rPr>
        <w:t xml:space="preserve"> un conjunto de principios relacionados con características deseables</w:t>
      </w:r>
      <w:r w:rsidR="00334F2C" w:rsidRPr="00311FA4">
        <w:rPr>
          <w:rFonts w:ascii="Garamond" w:hAnsi="Garamond"/>
        </w:rPr>
        <w:t xml:space="preserve"> de la in</w:t>
      </w:r>
      <w:r w:rsidR="00731157" w:rsidRPr="00311FA4">
        <w:rPr>
          <w:rFonts w:ascii="Garamond" w:hAnsi="Garamond"/>
        </w:rPr>
        <w:t xml:space="preserve">formación </w:t>
      </w:r>
      <w:r w:rsidR="00F768B9">
        <w:rPr>
          <w:rFonts w:ascii="Garamond" w:hAnsi="Garamond"/>
        </w:rPr>
        <w:t>generada</w:t>
      </w:r>
      <w:r w:rsidR="00731157" w:rsidRPr="00311FA4">
        <w:rPr>
          <w:rFonts w:ascii="Garamond" w:hAnsi="Garamond"/>
        </w:rPr>
        <w:t xml:space="preserve">, desde </w:t>
      </w:r>
      <w:r w:rsidR="003F569F" w:rsidRPr="00311FA4">
        <w:rPr>
          <w:rFonts w:ascii="Garamond" w:hAnsi="Garamond"/>
        </w:rPr>
        <w:t xml:space="preserve">su </w:t>
      </w:r>
      <w:r w:rsidR="004A5360">
        <w:rPr>
          <w:rFonts w:ascii="Garamond" w:hAnsi="Garamond"/>
        </w:rPr>
        <w:t>pertinencia</w:t>
      </w:r>
      <w:r w:rsidR="003F569F" w:rsidRPr="00311FA4">
        <w:rPr>
          <w:rFonts w:ascii="Garamond" w:hAnsi="Garamond"/>
        </w:rPr>
        <w:t xml:space="preserve"> para la toma decisiones, pasando por mediciones sobre su precisión, </w:t>
      </w:r>
      <w:r w:rsidR="00166D00" w:rsidRPr="00311FA4">
        <w:rPr>
          <w:rFonts w:ascii="Garamond" w:hAnsi="Garamond"/>
        </w:rPr>
        <w:t xml:space="preserve">hasta </w:t>
      </w:r>
      <w:r w:rsidR="00523063" w:rsidRPr="00311FA4">
        <w:rPr>
          <w:rFonts w:ascii="Garamond" w:hAnsi="Garamond"/>
        </w:rPr>
        <w:t xml:space="preserve">la </w:t>
      </w:r>
      <w:r w:rsidR="00B56FF7" w:rsidRPr="00311FA4">
        <w:rPr>
          <w:rFonts w:ascii="Garamond" w:hAnsi="Garamond"/>
        </w:rPr>
        <w:t xml:space="preserve">oportunidad con la que </w:t>
      </w:r>
      <w:r w:rsidR="00FD7A96" w:rsidRPr="00311FA4">
        <w:rPr>
          <w:rFonts w:ascii="Garamond" w:hAnsi="Garamond"/>
        </w:rPr>
        <w:t xml:space="preserve">se pone a disposición </w:t>
      </w:r>
      <w:r w:rsidR="003E4580" w:rsidRPr="00311FA4">
        <w:rPr>
          <w:rFonts w:ascii="Garamond" w:hAnsi="Garamond"/>
        </w:rPr>
        <w:t xml:space="preserve">de las personas usuarias y la facilidad </w:t>
      </w:r>
      <w:r w:rsidR="00CF6144" w:rsidRPr="00311FA4">
        <w:rPr>
          <w:rFonts w:ascii="Garamond" w:hAnsi="Garamond"/>
        </w:rPr>
        <w:t xml:space="preserve">con la que </w:t>
      </w:r>
      <w:r w:rsidR="00DB4B1F" w:rsidRPr="00311FA4">
        <w:rPr>
          <w:rFonts w:ascii="Garamond" w:hAnsi="Garamond"/>
        </w:rPr>
        <w:t xml:space="preserve">se puede </w:t>
      </w:r>
      <w:r w:rsidR="003E4580" w:rsidRPr="00311FA4">
        <w:rPr>
          <w:rFonts w:ascii="Garamond" w:hAnsi="Garamond"/>
        </w:rPr>
        <w:t>acce</w:t>
      </w:r>
      <w:r w:rsidR="00DB4B1F" w:rsidRPr="00311FA4">
        <w:rPr>
          <w:rFonts w:ascii="Garamond" w:hAnsi="Garamond"/>
        </w:rPr>
        <w:t>der a ella.</w:t>
      </w:r>
    </w:p>
    <w:p w14:paraId="737FD541" w14:textId="29914E33" w:rsidR="003E23EA" w:rsidRDefault="003E23EA">
      <w:pPr>
        <w:rPr>
          <w:rFonts w:ascii="Garamond" w:hAnsi="Garamond"/>
          <w:b/>
        </w:rPr>
      </w:pPr>
      <w:r>
        <w:rPr>
          <w:rFonts w:ascii="Garamond" w:hAnsi="Garamond"/>
          <w:b/>
        </w:rPr>
        <w:br w:type="page"/>
      </w:r>
    </w:p>
    <w:p w14:paraId="7F05B53C" w14:textId="0929711F" w:rsidR="00B26EEF" w:rsidRPr="00311FA4" w:rsidRDefault="00D41512" w:rsidP="00D41512">
      <w:pPr>
        <w:spacing w:after="0"/>
        <w:jc w:val="center"/>
        <w:rPr>
          <w:rFonts w:ascii="Garamond" w:hAnsi="Garamond"/>
          <w:b/>
        </w:rPr>
      </w:pPr>
      <w:r w:rsidRPr="00311FA4">
        <w:rPr>
          <w:rFonts w:ascii="Garamond" w:hAnsi="Garamond"/>
          <w:b/>
        </w:rPr>
        <w:lastRenderedPageBreak/>
        <w:t>Figura 2. Dimensiones y Principios de Calidad</w:t>
      </w:r>
    </w:p>
    <w:p w14:paraId="349AA093" w14:textId="65EF65C8" w:rsidR="00B26EEF" w:rsidRDefault="006826BC" w:rsidP="00D41512">
      <w:pPr>
        <w:spacing w:before="240" w:after="0" w:line="240" w:lineRule="auto"/>
        <w:jc w:val="center"/>
        <w:rPr>
          <w:rFonts w:ascii="Garamond" w:hAnsi="Garamond"/>
          <w:sz w:val="21"/>
          <w:szCs w:val="21"/>
        </w:rPr>
      </w:pPr>
      <w:r>
        <w:rPr>
          <w:rFonts w:ascii="Garamond" w:hAnsi="Garamond"/>
          <w:noProof/>
          <w:sz w:val="21"/>
          <w:szCs w:val="21"/>
        </w:rPr>
        <w:drawing>
          <wp:inline distT="0" distB="0" distL="0" distR="0" wp14:anchorId="2C6FF416" wp14:editId="0705AB9E">
            <wp:extent cx="6316953" cy="2949851"/>
            <wp:effectExtent l="0" t="0" r="8255" b="3175"/>
            <wp:docPr id="39526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8912" cy="2960105"/>
                    </a:xfrm>
                    <a:prstGeom prst="rect">
                      <a:avLst/>
                    </a:prstGeom>
                    <a:noFill/>
                  </pic:spPr>
                </pic:pic>
              </a:graphicData>
            </a:graphic>
          </wp:inline>
        </w:drawing>
      </w:r>
    </w:p>
    <w:p w14:paraId="4C8DA252" w14:textId="3DACDFF4" w:rsidR="003D0340" w:rsidRPr="00311FA4" w:rsidRDefault="003D0340" w:rsidP="003D0340">
      <w:pPr>
        <w:spacing w:before="240"/>
        <w:jc w:val="both"/>
        <w:rPr>
          <w:rFonts w:ascii="Garamond" w:hAnsi="Garamond"/>
          <w:bCs/>
        </w:rPr>
      </w:pPr>
      <w:r w:rsidRPr="00311FA4">
        <w:rPr>
          <w:rFonts w:ascii="Garamond" w:hAnsi="Garamond"/>
          <w:bCs/>
        </w:rPr>
        <w:t>Estas dimensiones y principios están relacionados entre sí; por ejemplo, el asegurar la independencia profesional del Instituto favorece la solidez metodológica con la que se ejecutan los procesos de producción. Asimismo, una implementación cada vez más eficaz y eficiente de los procesos de producción contribuye a que la gestión de metadatos sea más completa y consolidada.</w:t>
      </w:r>
      <w:r w:rsidR="00CF5543">
        <w:rPr>
          <w:rFonts w:ascii="Garamond" w:hAnsi="Garamond"/>
          <w:bCs/>
        </w:rPr>
        <w:t xml:space="preserve"> </w:t>
      </w:r>
      <w:r w:rsidR="00E51D7B">
        <w:rPr>
          <w:rFonts w:ascii="Garamond" w:hAnsi="Garamond"/>
          <w:bCs/>
        </w:rPr>
        <w:t xml:space="preserve">En algunos casos </w:t>
      </w:r>
      <w:r w:rsidR="00571541">
        <w:rPr>
          <w:rFonts w:ascii="Garamond" w:hAnsi="Garamond"/>
          <w:bCs/>
        </w:rPr>
        <w:t>la relación puede ser inversa</w:t>
      </w:r>
      <w:r w:rsidR="00FD3DAA">
        <w:rPr>
          <w:rFonts w:ascii="Garamond" w:hAnsi="Garamond"/>
          <w:bCs/>
        </w:rPr>
        <w:t>,</w:t>
      </w:r>
      <w:r w:rsidR="00330960">
        <w:rPr>
          <w:rFonts w:ascii="Garamond" w:hAnsi="Garamond"/>
          <w:bCs/>
        </w:rPr>
        <w:t xml:space="preserve"> </w:t>
      </w:r>
      <w:r w:rsidR="00571541">
        <w:rPr>
          <w:rFonts w:ascii="Garamond" w:hAnsi="Garamond"/>
          <w:bCs/>
        </w:rPr>
        <w:t>por ejemplo</w:t>
      </w:r>
      <w:r w:rsidR="0040012A">
        <w:rPr>
          <w:rFonts w:ascii="Garamond" w:hAnsi="Garamond"/>
          <w:bCs/>
        </w:rPr>
        <w:t>,</w:t>
      </w:r>
      <w:r w:rsidR="00E03666">
        <w:rPr>
          <w:rFonts w:ascii="Garamond" w:hAnsi="Garamond"/>
          <w:bCs/>
        </w:rPr>
        <w:t xml:space="preserve"> </w:t>
      </w:r>
      <w:r w:rsidR="001D139C">
        <w:rPr>
          <w:rFonts w:ascii="Garamond" w:hAnsi="Garamond"/>
          <w:bCs/>
        </w:rPr>
        <w:t>aumentar la oportunidad de la i</w:t>
      </w:r>
      <w:r w:rsidR="00D22A99">
        <w:rPr>
          <w:rFonts w:ascii="Garamond" w:hAnsi="Garamond"/>
          <w:bCs/>
        </w:rPr>
        <w:t xml:space="preserve">nformación puede </w:t>
      </w:r>
      <w:r w:rsidR="00235883">
        <w:rPr>
          <w:rFonts w:ascii="Garamond" w:hAnsi="Garamond"/>
          <w:bCs/>
        </w:rPr>
        <w:t xml:space="preserve">implicar </w:t>
      </w:r>
      <w:r w:rsidR="00D55933">
        <w:rPr>
          <w:rFonts w:ascii="Garamond" w:hAnsi="Garamond"/>
          <w:bCs/>
        </w:rPr>
        <w:t>la generación de resultados con m</w:t>
      </w:r>
      <w:r w:rsidR="00504495">
        <w:rPr>
          <w:rFonts w:ascii="Garamond" w:hAnsi="Garamond"/>
          <w:bCs/>
        </w:rPr>
        <w:t>enor</w:t>
      </w:r>
      <w:r w:rsidR="00D55933">
        <w:rPr>
          <w:rFonts w:ascii="Garamond" w:hAnsi="Garamond"/>
          <w:bCs/>
        </w:rPr>
        <w:t xml:space="preserve"> nivel de </w:t>
      </w:r>
      <w:r w:rsidR="00504495">
        <w:rPr>
          <w:rFonts w:ascii="Garamond" w:hAnsi="Garamond"/>
          <w:bCs/>
        </w:rPr>
        <w:t>des</w:t>
      </w:r>
      <w:r w:rsidR="00D55933">
        <w:rPr>
          <w:rFonts w:ascii="Garamond" w:hAnsi="Garamond"/>
          <w:bCs/>
        </w:rPr>
        <w:t>agregación y</w:t>
      </w:r>
      <w:r w:rsidR="005E28BF">
        <w:rPr>
          <w:rFonts w:ascii="Garamond" w:hAnsi="Garamond"/>
          <w:bCs/>
        </w:rPr>
        <w:t>,</w:t>
      </w:r>
      <w:r w:rsidR="00D55933">
        <w:rPr>
          <w:rFonts w:ascii="Garamond" w:hAnsi="Garamond"/>
          <w:bCs/>
        </w:rPr>
        <w:t xml:space="preserve"> por consecuencia</w:t>
      </w:r>
      <w:r w:rsidR="005E28BF">
        <w:rPr>
          <w:rFonts w:ascii="Garamond" w:hAnsi="Garamond"/>
          <w:bCs/>
        </w:rPr>
        <w:t>,</w:t>
      </w:r>
      <w:r w:rsidR="00D55933">
        <w:rPr>
          <w:rFonts w:ascii="Garamond" w:hAnsi="Garamond"/>
          <w:bCs/>
        </w:rPr>
        <w:t xml:space="preserve"> </w:t>
      </w:r>
      <w:r w:rsidR="00D05F63">
        <w:rPr>
          <w:rFonts w:ascii="Garamond" w:hAnsi="Garamond"/>
          <w:bCs/>
        </w:rPr>
        <w:t>menor</w:t>
      </w:r>
      <w:r w:rsidR="008A326A">
        <w:rPr>
          <w:rFonts w:ascii="Garamond" w:hAnsi="Garamond"/>
          <w:bCs/>
        </w:rPr>
        <w:t xml:space="preserve"> pertinencia.</w:t>
      </w:r>
      <w:r w:rsidR="0083624D">
        <w:rPr>
          <w:rFonts w:ascii="Garamond" w:hAnsi="Garamond"/>
          <w:bCs/>
        </w:rPr>
        <w:t xml:space="preserve"> </w:t>
      </w:r>
      <w:r w:rsidR="0083624D" w:rsidRPr="0083624D">
        <w:rPr>
          <w:rFonts w:ascii="Garamond" w:hAnsi="Garamond"/>
          <w:bCs/>
        </w:rPr>
        <w:t>Esto depende</w:t>
      </w:r>
      <w:r w:rsidR="0083624D">
        <w:rPr>
          <w:rFonts w:ascii="Garamond" w:hAnsi="Garamond"/>
          <w:bCs/>
        </w:rPr>
        <w:t>rá</w:t>
      </w:r>
      <w:r w:rsidR="0083624D" w:rsidRPr="0083624D">
        <w:rPr>
          <w:rFonts w:ascii="Garamond" w:hAnsi="Garamond"/>
          <w:bCs/>
        </w:rPr>
        <w:t xml:space="preserve"> de los propósitos del producto y las necesidades de</w:t>
      </w:r>
      <w:r w:rsidR="00ED4C27">
        <w:rPr>
          <w:rFonts w:ascii="Garamond" w:hAnsi="Garamond"/>
          <w:bCs/>
        </w:rPr>
        <w:t xml:space="preserve"> la </w:t>
      </w:r>
      <w:r w:rsidR="0083624D" w:rsidRPr="0083624D">
        <w:rPr>
          <w:rFonts w:ascii="Garamond" w:hAnsi="Garamond"/>
          <w:bCs/>
        </w:rPr>
        <w:t>propi</w:t>
      </w:r>
      <w:r w:rsidR="00ED4C27">
        <w:rPr>
          <w:rFonts w:ascii="Garamond" w:hAnsi="Garamond"/>
          <w:bCs/>
        </w:rPr>
        <w:t>a</w:t>
      </w:r>
      <w:r w:rsidR="0083624D" w:rsidRPr="0083624D">
        <w:rPr>
          <w:rFonts w:ascii="Garamond" w:hAnsi="Garamond"/>
          <w:bCs/>
        </w:rPr>
        <w:t xml:space="preserve"> </w:t>
      </w:r>
      <w:r w:rsidR="00ED4C27">
        <w:rPr>
          <w:rFonts w:ascii="Garamond" w:hAnsi="Garamond"/>
          <w:bCs/>
        </w:rPr>
        <w:t xml:space="preserve">persona </w:t>
      </w:r>
      <w:r w:rsidR="0083624D" w:rsidRPr="0083624D">
        <w:rPr>
          <w:rFonts w:ascii="Garamond" w:hAnsi="Garamond"/>
          <w:bCs/>
        </w:rPr>
        <w:t>usuari</w:t>
      </w:r>
      <w:r w:rsidR="00ED4C27">
        <w:rPr>
          <w:rFonts w:ascii="Garamond" w:hAnsi="Garamond"/>
          <w:bCs/>
        </w:rPr>
        <w:t>a</w:t>
      </w:r>
      <w:r w:rsidR="00683E93">
        <w:rPr>
          <w:rFonts w:ascii="Garamond" w:hAnsi="Garamond"/>
          <w:bCs/>
        </w:rPr>
        <w:t>.</w:t>
      </w:r>
    </w:p>
    <w:p w14:paraId="7098F083" w14:textId="374EEA65" w:rsidR="003D0340" w:rsidRPr="00311FA4" w:rsidRDefault="00582ABC" w:rsidP="009F3D64">
      <w:pPr>
        <w:spacing w:before="240"/>
        <w:jc w:val="both"/>
        <w:rPr>
          <w:rFonts w:ascii="Garamond" w:hAnsi="Garamond"/>
          <w:bCs/>
        </w:rPr>
      </w:pPr>
      <w:r>
        <w:rPr>
          <w:rFonts w:ascii="Garamond" w:hAnsi="Garamond"/>
          <w:bCs/>
        </w:rPr>
        <w:t xml:space="preserve">El sistema de gestión de la calidad (ver </w:t>
      </w:r>
      <w:r w:rsidR="009F3D64">
        <w:rPr>
          <w:rFonts w:ascii="Garamond" w:hAnsi="Garamond"/>
          <w:bCs/>
        </w:rPr>
        <w:t>F</w:t>
      </w:r>
      <w:r>
        <w:rPr>
          <w:rFonts w:ascii="Garamond" w:hAnsi="Garamond"/>
          <w:bCs/>
        </w:rPr>
        <w:t>igura 3)</w:t>
      </w:r>
      <w:r w:rsidR="003D0340" w:rsidRPr="00311FA4">
        <w:rPr>
          <w:rFonts w:ascii="Garamond" w:hAnsi="Garamond"/>
          <w:bCs/>
        </w:rPr>
        <w:t xml:space="preserve"> conlleva fortalecer la estandarización del quehacer institucional, en particular de los procesos de producción de información estadística y geográfica, pero también del resto de procesos administrativos que operan alrededor de la generación de información. </w:t>
      </w:r>
      <w:r w:rsidR="00BF3C0D" w:rsidRPr="00311FA4">
        <w:rPr>
          <w:rFonts w:ascii="Garamond" w:hAnsi="Garamond"/>
          <w:bCs/>
        </w:rPr>
        <w:t>La</w:t>
      </w:r>
      <w:r w:rsidR="003D0340" w:rsidRPr="00311FA4">
        <w:rPr>
          <w:rFonts w:ascii="Garamond" w:hAnsi="Garamond"/>
          <w:bCs/>
        </w:rPr>
        <w:t xml:space="preserve"> </w:t>
      </w:r>
      <w:r w:rsidR="003D0340" w:rsidRPr="00BF3C0D">
        <w:rPr>
          <w:rFonts w:ascii="Garamond" w:hAnsi="Garamond"/>
        </w:rPr>
        <w:t>evaluación regular y sistemática</w:t>
      </w:r>
      <w:r w:rsidR="003D0340" w:rsidRPr="00311FA4">
        <w:rPr>
          <w:rFonts w:ascii="Garamond" w:hAnsi="Garamond"/>
          <w:bCs/>
        </w:rPr>
        <w:t xml:space="preserve"> provee datos para la toma de decisiones organizacionales que orienten la mejora de los procesos. Este ciclo virtuoso puede contribuir a la innovación institucional si se convierte en parte medular de la cultura del Instituto.</w:t>
      </w:r>
    </w:p>
    <w:p w14:paraId="78194E71" w14:textId="4F1BD3AD" w:rsidR="003D0340" w:rsidRDefault="000A52D6" w:rsidP="000A52D6">
      <w:pPr>
        <w:spacing w:after="0"/>
        <w:jc w:val="center"/>
        <w:rPr>
          <w:rFonts w:ascii="Garamond" w:hAnsi="Garamond"/>
        </w:rPr>
      </w:pPr>
      <w:r w:rsidRPr="00311FA4">
        <w:rPr>
          <w:rFonts w:ascii="Garamond" w:hAnsi="Garamond"/>
          <w:b/>
        </w:rPr>
        <w:t xml:space="preserve">Figura </w:t>
      </w:r>
      <w:r>
        <w:rPr>
          <w:rFonts w:ascii="Garamond" w:hAnsi="Garamond"/>
          <w:b/>
        </w:rPr>
        <w:t>3</w:t>
      </w:r>
      <w:r w:rsidRPr="00311FA4">
        <w:rPr>
          <w:rFonts w:ascii="Garamond" w:hAnsi="Garamond"/>
          <w:b/>
        </w:rPr>
        <w:t xml:space="preserve">. </w:t>
      </w:r>
      <w:r>
        <w:rPr>
          <w:rFonts w:ascii="Garamond" w:hAnsi="Garamond"/>
          <w:b/>
        </w:rPr>
        <w:t>Sistema de gestión de la calidad</w:t>
      </w:r>
    </w:p>
    <w:p w14:paraId="119CEF1B" w14:textId="6D94062F" w:rsidR="003D0340" w:rsidRDefault="00CB3BB9" w:rsidP="000A52D6">
      <w:pPr>
        <w:spacing w:before="240"/>
        <w:jc w:val="center"/>
        <w:rPr>
          <w:rFonts w:ascii="Garamond" w:hAnsi="Garamond"/>
        </w:rPr>
      </w:pPr>
      <w:r>
        <w:rPr>
          <w:rFonts w:ascii="Garamond" w:hAnsi="Garamond"/>
          <w:noProof/>
          <w:sz w:val="21"/>
          <w:szCs w:val="21"/>
        </w:rPr>
        <w:drawing>
          <wp:inline distT="0" distB="0" distL="0" distR="0" wp14:anchorId="62BE2352" wp14:editId="7501118B">
            <wp:extent cx="5080158" cy="2020570"/>
            <wp:effectExtent l="0" t="0" r="0" b="0"/>
            <wp:docPr id="66180441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04419" name="Imagen 1" descr="Interfaz de usuario gráfica&#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t="47509"/>
                    <a:stretch/>
                  </pic:blipFill>
                  <pic:spPr bwMode="auto">
                    <a:xfrm>
                      <a:off x="0" y="0"/>
                      <a:ext cx="5158302" cy="2051651"/>
                    </a:xfrm>
                    <a:prstGeom prst="rect">
                      <a:avLst/>
                    </a:prstGeom>
                    <a:noFill/>
                    <a:ln>
                      <a:noFill/>
                    </a:ln>
                    <a:extLst>
                      <a:ext uri="{53640926-AAD7-44D8-BBD7-CCE9431645EC}">
                        <a14:shadowObscured xmlns:a14="http://schemas.microsoft.com/office/drawing/2010/main"/>
                      </a:ext>
                    </a:extLst>
                  </pic:spPr>
                </pic:pic>
              </a:graphicData>
            </a:graphic>
          </wp:inline>
        </w:drawing>
      </w:r>
    </w:p>
    <w:p w14:paraId="6E8F0DE3" w14:textId="5B30CF53" w:rsidR="005554BC" w:rsidRPr="00311FA4" w:rsidRDefault="00F532E4" w:rsidP="009F3D64">
      <w:pPr>
        <w:spacing w:before="240"/>
        <w:jc w:val="both"/>
        <w:rPr>
          <w:rFonts w:ascii="Garamond" w:hAnsi="Garamond"/>
        </w:rPr>
      </w:pPr>
      <w:r>
        <w:rPr>
          <w:rFonts w:ascii="Garamond" w:hAnsi="Garamond"/>
        </w:rPr>
        <w:lastRenderedPageBreak/>
        <w:t>A la fecha, e</w:t>
      </w:r>
      <w:r w:rsidR="009E779F" w:rsidRPr="00311FA4">
        <w:rPr>
          <w:rFonts w:ascii="Garamond" w:hAnsi="Garamond"/>
        </w:rPr>
        <w:t xml:space="preserve">n </w:t>
      </w:r>
      <w:r w:rsidR="00CF4D0E" w:rsidRPr="00311FA4">
        <w:rPr>
          <w:rFonts w:ascii="Garamond" w:hAnsi="Garamond"/>
        </w:rPr>
        <w:t>materia de estandarización de los procesos de producción</w:t>
      </w:r>
      <w:r w:rsidR="003E30C1" w:rsidRPr="00311FA4">
        <w:rPr>
          <w:rFonts w:ascii="Garamond" w:hAnsi="Garamond"/>
        </w:rPr>
        <w:t xml:space="preserve"> </w:t>
      </w:r>
      <w:r w:rsidR="00D53E4E" w:rsidRPr="00311FA4">
        <w:rPr>
          <w:rFonts w:ascii="Garamond" w:hAnsi="Garamond"/>
        </w:rPr>
        <w:t>el Instituto dispone</w:t>
      </w:r>
      <w:r w:rsidR="00561008" w:rsidRPr="00311FA4">
        <w:rPr>
          <w:rFonts w:ascii="Garamond" w:hAnsi="Garamond"/>
        </w:rPr>
        <w:t>, entre otr</w:t>
      </w:r>
      <w:r w:rsidR="0085363F" w:rsidRPr="00311FA4">
        <w:rPr>
          <w:rFonts w:ascii="Garamond" w:hAnsi="Garamond"/>
        </w:rPr>
        <w:t>a</w:t>
      </w:r>
      <w:r w:rsidR="00561008" w:rsidRPr="00311FA4">
        <w:rPr>
          <w:rFonts w:ascii="Garamond" w:hAnsi="Garamond"/>
        </w:rPr>
        <w:t>s,</w:t>
      </w:r>
      <w:r w:rsidR="00D53E4E" w:rsidRPr="00311FA4">
        <w:rPr>
          <w:rFonts w:ascii="Garamond" w:hAnsi="Garamond"/>
        </w:rPr>
        <w:t xml:space="preserve"> de </w:t>
      </w:r>
      <w:r w:rsidR="006930E0" w:rsidRPr="00311FA4">
        <w:rPr>
          <w:rFonts w:ascii="Garamond" w:hAnsi="Garamond"/>
        </w:rPr>
        <w:t xml:space="preserve">la </w:t>
      </w:r>
      <w:r w:rsidR="006930E0" w:rsidRPr="00311FA4">
        <w:rPr>
          <w:rFonts w:ascii="Garamond" w:hAnsi="Garamond"/>
          <w:i/>
          <w:iCs/>
        </w:rPr>
        <w:t xml:space="preserve">Norma Técnica del Proceso </w:t>
      </w:r>
      <w:r w:rsidR="00DD153A" w:rsidRPr="00311FA4">
        <w:rPr>
          <w:rFonts w:ascii="Garamond" w:hAnsi="Garamond"/>
          <w:i/>
          <w:iCs/>
        </w:rPr>
        <w:t xml:space="preserve">de </w:t>
      </w:r>
      <w:r w:rsidR="006930E0" w:rsidRPr="00311FA4">
        <w:rPr>
          <w:rFonts w:ascii="Garamond" w:hAnsi="Garamond"/>
          <w:i/>
          <w:iCs/>
        </w:rPr>
        <w:t xml:space="preserve">Producción </w:t>
      </w:r>
      <w:r w:rsidR="00DD153A" w:rsidRPr="00311FA4">
        <w:rPr>
          <w:rFonts w:ascii="Garamond" w:hAnsi="Garamond"/>
          <w:i/>
          <w:iCs/>
        </w:rPr>
        <w:t xml:space="preserve">de </w:t>
      </w:r>
      <w:r w:rsidR="006930E0" w:rsidRPr="00311FA4">
        <w:rPr>
          <w:rFonts w:ascii="Garamond" w:hAnsi="Garamond"/>
          <w:i/>
          <w:iCs/>
        </w:rPr>
        <w:t xml:space="preserve">Información Estadística y Geográfica para el </w:t>
      </w:r>
      <w:proofErr w:type="spellStart"/>
      <w:r w:rsidR="00617F01" w:rsidRPr="00311FA4">
        <w:rPr>
          <w:rFonts w:ascii="Garamond" w:hAnsi="Garamond"/>
          <w:i/>
          <w:iCs/>
          <w:smallCaps/>
        </w:rPr>
        <w:t>i</w:t>
      </w:r>
      <w:r w:rsidR="006930E0" w:rsidRPr="00311FA4">
        <w:rPr>
          <w:rFonts w:ascii="Garamond" w:hAnsi="Garamond"/>
          <w:i/>
          <w:iCs/>
          <w:smallCaps/>
        </w:rPr>
        <w:t>negi</w:t>
      </w:r>
      <w:proofErr w:type="spellEnd"/>
      <w:r w:rsidR="00DD153A" w:rsidRPr="00311FA4">
        <w:rPr>
          <w:rFonts w:ascii="Garamond" w:hAnsi="Garamond"/>
          <w:smallCaps/>
        </w:rPr>
        <w:t xml:space="preserve"> (</w:t>
      </w:r>
      <w:proofErr w:type="spellStart"/>
      <w:r w:rsidR="00617F01" w:rsidRPr="00311FA4">
        <w:rPr>
          <w:rFonts w:ascii="Garamond" w:hAnsi="Garamond"/>
          <w:smallCaps/>
        </w:rPr>
        <w:t>n</w:t>
      </w:r>
      <w:r w:rsidR="00DD153A" w:rsidRPr="00311FA4">
        <w:rPr>
          <w:rFonts w:ascii="Garamond" w:hAnsi="Garamond"/>
          <w:smallCaps/>
        </w:rPr>
        <w:t>tppieg</w:t>
      </w:r>
      <w:proofErr w:type="spellEnd"/>
      <w:r w:rsidR="00DD153A" w:rsidRPr="00311FA4">
        <w:rPr>
          <w:rFonts w:ascii="Garamond" w:hAnsi="Garamond"/>
          <w:smallCaps/>
        </w:rPr>
        <w:t>)</w:t>
      </w:r>
      <w:r w:rsidR="00234F6B" w:rsidRPr="00311FA4">
        <w:rPr>
          <w:rFonts w:ascii="Garamond" w:hAnsi="Garamond"/>
        </w:rPr>
        <w:t xml:space="preserve">, actualizada en 2021, </w:t>
      </w:r>
      <w:r w:rsidR="00311E76" w:rsidRPr="00311FA4">
        <w:rPr>
          <w:rFonts w:ascii="Garamond" w:hAnsi="Garamond"/>
        </w:rPr>
        <w:t xml:space="preserve">los </w:t>
      </w:r>
      <w:r w:rsidR="00311E76" w:rsidRPr="00311FA4">
        <w:rPr>
          <w:rFonts w:ascii="Garamond" w:hAnsi="Garamond"/>
          <w:i/>
          <w:iCs/>
        </w:rPr>
        <w:t>Lineamientos para la Integración y Actualización del Inventario de Programas de Información</w:t>
      </w:r>
      <w:r w:rsidR="00765039" w:rsidRPr="00311FA4">
        <w:rPr>
          <w:rFonts w:ascii="Garamond" w:hAnsi="Garamond"/>
        </w:rPr>
        <w:t xml:space="preserve"> (Lineamientos del </w:t>
      </w:r>
      <w:proofErr w:type="spellStart"/>
      <w:r w:rsidR="00765039" w:rsidRPr="00311FA4">
        <w:rPr>
          <w:rFonts w:ascii="Garamond" w:hAnsi="Garamond"/>
          <w:smallCaps/>
        </w:rPr>
        <w:t>ipi</w:t>
      </w:r>
      <w:proofErr w:type="spellEnd"/>
      <w:r w:rsidR="00765039" w:rsidRPr="00311FA4">
        <w:rPr>
          <w:rFonts w:ascii="Garamond" w:hAnsi="Garamond"/>
        </w:rPr>
        <w:t>)</w:t>
      </w:r>
      <w:r w:rsidR="00311E76" w:rsidRPr="00311FA4">
        <w:rPr>
          <w:rFonts w:ascii="Garamond" w:hAnsi="Garamond"/>
        </w:rPr>
        <w:t>, actualizados en 2023</w:t>
      </w:r>
      <w:r w:rsidR="000F7750" w:rsidRPr="00311FA4">
        <w:rPr>
          <w:rFonts w:ascii="Garamond" w:hAnsi="Garamond"/>
        </w:rPr>
        <w:t xml:space="preserve">, y los </w:t>
      </w:r>
      <w:r w:rsidR="000F7750" w:rsidRPr="00311FA4">
        <w:rPr>
          <w:rFonts w:ascii="Garamond" w:hAnsi="Garamond"/>
          <w:i/>
          <w:iCs/>
        </w:rPr>
        <w:t>Lineamientos de Coordinación Operativa</w:t>
      </w:r>
      <w:r w:rsidR="000F7750" w:rsidRPr="00311FA4">
        <w:rPr>
          <w:rFonts w:ascii="Garamond" w:hAnsi="Garamond"/>
        </w:rPr>
        <w:t>, de 2021</w:t>
      </w:r>
      <w:r w:rsidR="005B0A82" w:rsidRPr="00311FA4">
        <w:rPr>
          <w:rFonts w:ascii="Garamond" w:hAnsi="Garamond"/>
        </w:rPr>
        <w:t xml:space="preserve">. </w:t>
      </w:r>
      <w:r w:rsidR="005B3D90" w:rsidRPr="00311FA4">
        <w:rPr>
          <w:rFonts w:ascii="Garamond" w:hAnsi="Garamond"/>
        </w:rPr>
        <w:t xml:space="preserve">Para facilitar la implementación de la </w:t>
      </w:r>
      <w:proofErr w:type="spellStart"/>
      <w:r w:rsidR="005B3D90" w:rsidRPr="00311FA4">
        <w:rPr>
          <w:rFonts w:ascii="Garamond" w:hAnsi="Garamond"/>
          <w:smallCaps/>
        </w:rPr>
        <w:t>ntppieg</w:t>
      </w:r>
      <w:proofErr w:type="spellEnd"/>
      <w:r w:rsidR="005B3D90" w:rsidRPr="00311FA4">
        <w:rPr>
          <w:rFonts w:ascii="Garamond" w:hAnsi="Garamond"/>
          <w:smallCaps/>
        </w:rPr>
        <w:t>,</w:t>
      </w:r>
      <w:r w:rsidR="005B3D90" w:rsidRPr="00311FA4">
        <w:rPr>
          <w:rFonts w:ascii="Garamond" w:hAnsi="Garamond"/>
        </w:rPr>
        <w:t xml:space="preserve"> </w:t>
      </w:r>
      <w:r w:rsidR="00B80A90" w:rsidRPr="00311FA4">
        <w:rPr>
          <w:rFonts w:ascii="Garamond" w:hAnsi="Garamond"/>
        </w:rPr>
        <w:t>el Sistema de Registro de Evidencias (</w:t>
      </w:r>
      <w:proofErr w:type="spellStart"/>
      <w:r w:rsidR="005A37A9" w:rsidRPr="00311FA4">
        <w:rPr>
          <w:rFonts w:ascii="Garamond" w:hAnsi="Garamond"/>
          <w:smallCaps/>
        </w:rPr>
        <w:t>pt</w:t>
      </w:r>
      <w:r w:rsidR="00B80A90" w:rsidRPr="00311FA4">
        <w:rPr>
          <w:rFonts w:ascii="Garamond" w:hAnsi="Garamond"/>
          <w:smallCaps/>
        </w:rPr>
        <w:t>racking</w:t>
      </w:r>
      <w:proofErr w:type="spellEnd"/>
      <w:r w:rsidR="00B80A90" w:rsidRPr="00311FA4">
        <w:rPr>
          <w:rFonts w:ascii="Garamond" w:hAnsi="Garamond"/>
        </w:rPr>
        <w:t>)</w:t>
      </w:r>
      <w:r w:rsidR="006D1793" w:rsidRPr="00311FA4">
        <w:rPr>
          <w:rFonts w:ascii="Garamond" w:hAnsi="Garamond"/>
        </w:rPr>
        <w:t xml:space="preserve"> es continuamente mejorado</w:t>
      </w:r>
      <w:r w:rsidR="00E21109" w:rsidRPr="00311FA4">
        <w:rPr>
          <w:rFonts w:ascii="Garamond" w:hAnsi="Garamond"/>
        </w:rPr>
        <w:t xml:space="preserve">. </w:t>
      </w:r>
      <w:r w:rsidR="002F3438" w:rsidRPr="00311FA4">
        <w:rPr>
          <w:rFonts w:ascii="Garamond" w:hAnsi="Garamond"/>
        </w:rPr>
        <w:t xml:space="preserve">En </w:t>
      </w:r>
      <w:r w:rsidR="00B24A7B" w:rsidRPr="00311FA4">
        <w:rPr>
          <w:rFonts w:ascii="Garamond" w:hAnsi="Garamond"/>
        </w:rPr>
        <w:t>cumplimiento de</w:t>
      </w:r>
      <w:r w:rsidR="00CB791E" w:rsidRPr="00311FA4">
        <w:rPr>
          <w:rFonts w:ascii="Garamond" w:hAnsi="Garamond"/>
        </w:rPr>
        <w:t xml:space="preserve"> la</w:t>
      </w:r>
      <w:r w:rsidR="002B0741" w:rsidRPr="00311FA4">
        <w:rPr>
          <w:rFonts w:ascii="Garamond" w:hAnsi="Garamond"/>
        </w:rPr>
        <w:t>s</w:t>
      </w:r>
      <w:r w:rsidR="00CB791E" w:rsidRPr="00311FA4">
        <w:rPr>
          <w:rFonts w:ascii="Garamond" w:hAnsi="Garamond"/>
        </w:rPr>
        <w:t xml:space="preserve"> </w:t>
      </w:r>
      <w:r w:rsidR="002B0741" w:rsidRPr="00311FA4">
        <w:rPr>
          <w:rFonts w:ascii="Garamond" w:hAnsi="Garamond"/>
        </w:rPr>
        <w:t>reformas</w:t>
      </w:r>
      <w:r w:rsidR="00CB791E" w:rsidRPr="00311FA4">
        <w:rPr>
          <w:rFonts w:ascii="Garamond" w:hAnsi="Garamond"/>
        </w:rPr>
        <w:t xml:space="preserve"> </w:t>
      </w:r>
      <w:r w:rsidR="00B24A7B" w:rsidRPr="00311FA4">
        <w:rPr>
          <w:rFonts w:ascii="Garamond" w:hAnsi="Garamond"/>
        </w:rPr>
        <w:t>a</w:t>
      </w:r>
      <w:r w:rsidR="00CB791E" w:rsidRPr="00311FA4">
        <w:rPr>
          <w:rFonts w:ascii="Garamond" w:hAnsi="Garamond"/>
        </w:rPr>
        <w:t xml:space="preserve"> los Lineamientos del </w:t>
      </w:r>
      <w:proofErr w:type="spellStart"/>
      <w:r w:rsidR="00CB791E" w:rsidRPr="00311FA4">
        <w:rPr>
          <w:rFonts w:ascii="Garamond" w:hAnsi="Garamond"/>
          <w:smallCaps/>
        </w:rPr>
        <w:t>ipi</w:t>
      </w:r>
      <w:proofErr w:type="spellEnd"/>
      <w:r w:rsidR="00CB791E" w:rsidRPr="00311FA4">
        <w:rPr>
          <w:rFonts w:ascii="Garamond" w:hAnsi="Garamond"/>
        </w:rPr>
        <w:t xml:space="preserve">, </w:t>
      </w:r>
      <w:r w:rsidR="00FD2A99" w:rsidRPr="00311FA4">
        <w:rPr>
          <w:rFonts w:ascii="Garamond" w:hAnsi="Garamond"/>
        </w:rPr>
        <w:t xml:space="preserve">el inventario será actualizado </w:t>
      </w:r>
      <w:r w:rsidR="002B0741" w:rsidRPr="00311FA4">
        <w:rPr>
          <w:rFonts w:ascii="Garamond" w:hAnsi="Garamond"/>
        </w:rPr>
        <w:t>y reorganizado</w:t>
      </w:r>
      <w:r w:rsidR="00B24A7B" w:rsidRPr="00311FA4">
        <w:rPr>
          <w:rFonts w:ascii="Garamond" w:hAnsi="Garamond"/>
        </w:rPr>
        <w:t xml:space="preserve"> durante 2024.</w:t>
      </w:r>
    </w:p>
    <w:p w14:paraId="31937E82" w14:textId="6E3DAC21" w:rsidR="0084371C" w:rsidRPr="00311FA4" w:rsidRDefault="003E25BE" w:rsidP="0084371C">
      <w:pPr>
        <w:spacing w:before="240"/>
        <w:jc w:val="both"/>
        <w:rPr>
          <w:rFonts w:ascii="Garamond" w:hAnsi="Garamond"/>
        </w:rPr>
      </w:pPr>
      <w:r w:rsidRPr="00311FA4">
        <w:rPr>
          <w:rFonts w:ascii="Garamond" w:hAnsi="Garamond"/>
        </w:rPr>
        <w:t xml:space="preserve">Respecto a </w:t>
      </w:r>
      <w:r w:rsidR="004A5A6C" w:rsidRPr="00311FA4">
        <w:rPr>
          <w:rFonts w:ascii="Garamond" w:hAnsi="Garamond"/>
        </w:rPr>
        <w:t xml:space="preserve">la </w:t>
      </w:r>
      <w:r w:rsidRPr="00311FA4">
        <w:rPr>
          <w:rFonts w:ascii="Garamond" w:hAnsi="Garamond"/>
        </w:rPr>
        <w:t xml:space="preserve">evaluación sistemática, </w:t>
      </w:r>
      <w:r w:rsidR="000C3FB4" w:rsidRPr="00311FA4">
        <w:rPr>
          <w:rFonts w:ascii="Garamond" w:hAnsi="Garamond"/>
        </w:rPr>
        <w:t xml:space="preserve">el Instituto ha venido reportando </w:t>
      </w:r>
      <w:r w:rsidR="00912757" w:rsidRPr="00311FA4">
        <w:rPr>
          <w:rFonts w:ascii="Garamond" w:hAnsi="Garamond"/>
        </w:rPr>
        <w:t>mediciones con base en indicadores</w:t>
      </w:r>
      <w:r w:rsidR="00BE05AC" w:rsidRPr="00311FA4">
        <w:rPr>
          <w:rFonts w:ascii="Garamond" w:hAnsi="Garamond"/>
        </w:rPr>
        <w:t xml:space="preserve"> de calidad asociados a </w:t>
      </w:r>
      <w:r w:rsidR="00C80F93" w:rsidRPr="00311FA4">
        <w:rPr>
          <w:rFonts w:ascii="Garamond" w:hAnsi="Garamond"/>
        </w:rPr>
        <w:t>los productos</w:t>
      </w:r>
      <w:r w:rsidR="00EB1A67" w:rsidRPr="00311FA4">
        <w:rPr>
          <w:rFonts w:ascii="Garamond" w:hAnsi="Garamond"/>
        </w:rPr>
        <w:t xml:space="preserve">. Asimismo, durante 2023 </w:t>
      </w:r>
      <w:r w:rsidR="00BE6D75" w:rsidRPr="00311FA4">
        <w:rPr>
          <w:rFonts w:ascii="Garamond" w:hAnsi="Garamond"/>
        </w:rPr>
        <w:t xml:space="preserve">se </w:t>
      </w:r>
      <w:r w:rsidR="00E50C4E" w:rsidRPr="00311FA4">
        <w:rPr>
          <w:rFonts w:ascii="Garamond" w:hAnsi="Garamond"/>
        </w:rPr>
        <w:t xml:space="preserve">reportaron avances </w:t>
      </w:r>
      <w:r w:rsidR="00EC0AFD" w:rsidRPr="00311FA4">
        <w:rPr>
          <w:rFonts w:ascii="Garamond" w:hAnsi="Garamond"/>
        </w:rPr>
        <w:t xml:space="preserve">en el desarrollo de un </w:t>
      </w:r>
      <w:r w:rsidR="00C80F93" w:rsidRPr="00311FA4">
        <w:rPr>
          <w:rFonts w:ascii="Garamond" w:hAnsi="Garamond"/>
        </w:rPr>
        <w:t xml:space="preserve">marco genérico de evaluaciones </w:t>
      </w:r>
      <w:r w:rsidR="00EC0AFD" w:rsidRPr="00311FA4">
        <w:rPr>
          <w:rFonts w:ascii="Garamond" w:hAnsi="Garamond"/>
        </w:rPr>
        <w:t>de calidad</w:t>
      </w:r>
      <w:r w:rsidR="00113623">
        <w:rPr>
          <w:rFonts w:ascii="Garamond" w:hAnsi="Garamond"/>
        </w:rPr>
        <w:t xml:space="preserve">, el cual </w:t>
      </w:r>
      <w:r w:rsidR="00333C29">
        <w:rPr>
          <w:rFonts w:ascii="Garamond" w:hAnsi="Garamond"/>
        </w:rPr>
        <w:t>tiene el propósito de</w:t>
      </w:r>
      <w:r w:rsidR="00113623">
        <w:rPr>
          <w:rFonts w:ascii="Garamond" w:hAnsi="Garamond"/>
        </w:rPr>
        <w:t xml:space="preserve"> guiar los temas de evaluación </w:t>
      </w:r>
      <w:r w:rsidR="00E30C8A">
        <w:rPr>
          <w:rFonts w:ascii="Garamond" w:hAnsi="Garamond"/>
        </w:rPr>
        <w:t>de</w:t>
      </w:r>
      <w:r w:rsidR="00620B13">
        <w:rPr>
          <w:rFonts w:ascii="Garamond" w:hAnsi="Garamond"/>
        </w:rPr>
        <w:t xml:space="preserve"> los procesos de producción </w:t>
      </w:r>
      <w:r w:rsidR="00E30C8A">
        <w:rPr>
          <w:rFonts w:ascii="Garamond" w:hAnsi="Garamond"/>
        </w:rPr>
        <w:t>a cargo del</w:t>
      </w:r>
      <w:r w:rsidR="00620B13">
        <w:rPr>
          <w:rFonts w:ascii="Garamond" w:hAnsi="Garamond"/>
        </w:rPr>
        <w:t xml:space="preserve"> </w:t>
      </w:r>
      <w:proofErr w:type="spellStart"/>
      <w:r w:rsidR="00E30C8A" w:rsidRPr="00E30C8A">
        <w:rPr>
          <w:rFonts w:ascii="Garamond" w:hAnsi="Garamond"/>
          <w:smallCaps/>
        </w:rPr>
        <w:t>inegi</w:t>
      </w:r>
      <w:proofErr w:type="spellEnd"/>
      <w:r w:rsidR="00EC2352" w:rsidRPr="00311FA4">
        <w:rPr>
          <w:rFonts w:ascii="Garamond" w:hAnsi="Garamond"/>
        </w:rPr>
        <w:t>.</w:t>
      </w:r>
      <w:r w:rsidR="00F55A42" w:rsidRPr="00311FA4">
        <w:rPr>
          <w:rFonts w:ascii="Garamond" w:hAnsi="Garamond"/>
        </w:rPr>
        <w:t xml:space="preserve"> E</w:t>
      </w:r>
      <w:r w:rsidR="00F71309" w:rsidRPr="00311FA4">
        <w:rPr>
          <w:rFonts w:ascii="Garamond" w:hAnsi="Garamond"/>
        </w:rPr>
        <w:t xml:space="preserve">n cuanto </w:t>
      </w:r>
      <w:r w:rsidR="00F55A42" w:rsidRPr="00311FA4">
        <w:rPr>
          <w:rFonts w:ascii="Garamond" w:hAnsi="Garamond"/>
        </w:rPr>
        <w:t xml:space="preserve">a </w:t>
      </w:r>
      <w:r w:rsidR="00F71309" w:rsidRPr="00311FA4">
        <w:rPr>
          <w:rFonts w:ascii="Garamond" w:hAnsi="Garamond"/>
        </w:rPr>
        <w:t>acciones de mejora</w:t>
      </w:r>
      <w:r w:rsidR="00AC5E43" w:rsidRPr="00311FA4">
        <w:rPr>
          <w:rFonts w:ascii="Garamond" w:hAnsi="Garamond"/>
        </w:rPr>
        <w:t xml:space="preserve"> </w:t>
      </w:r>
      <w:r w:rsidR="008D0833" w:rsidRPr="00311FA4">
        <w:rPr>
          <w:rFonts w:ascii="Garamond" w:hAnsi="Garamond"/>
        </w:rPr>
        <w:t>el Instituto opera el Sistema de Seguimiento de Cambios</w:t>
      </w:r>
      <w:r w:rsidR="00FC4068" w:rsidRPr="00311FA4">
        <w:rPr>
          <w:rFonts w:ascii="Garamond" w:hAnsi="Garamond"/>
        </w:rPr>
        <w:t xml:space="preserve">, mediante el cual </w:t>
      </w:r>
      <w:r w:rsidR="004D48C9" w:rsidRPr="00311FA4">
        <w:rPr>
          <w:rFonts w:ascii="Garamond" w:hAnsi="Garamond"/>
        </w:rPr>
        <w:t xml:space="preserve">se implementan los </w:t>
      </w:r>
      <w:r w:rsidR="004D48C9" w:rsidRPr="00311FA4">
        <w:rPr>
          <w:rFonts w:ascii="Garamond" w:hAnsi="Garamond"/>
          <w:i/>
          <w:iCs/>
        </w:rPr>
        <w:t>Lineamientos de</w:t>
      </w:r>
      <w:r w:rsidR="005C46A1" w:rsidRPr="00311FA4">
        <w:rPr>
          <w:rFonts w:ascii="Garamond" w:hAnsi="Garamond"/>
          <w:i/>
          <w:iCs/>
        </w:rPr>
        <w:t>l</w:t>
      </w:r>
      <w:r w:rsidR="004D48C9" w:rsidRPr="00311FA4">
        <w:rPr>
          <w:rFonts w:ascii="Garamond" w:hAnsi="Garamond"/>
          <w:i/>
          <w:iCs/>
        </w:rPr>
        <w:t xml:space="preserve"> </w:t>
      </w:r>
      <w:r w:rsidR="001A010A" w:rsidRPr="00311FA4">
        <w:rPr>
          <w:rFonts w:ascii="Garamond" w:hAnsi="Garamond"/>
          <w:i/>
          <w:iCs/>
        </w:rPr>
        <w:t>proceso de gestión de cambios</w:t>
      </w:r>
      <w:r w:rsidR="001A010A">
        <w:rPr>
          <w:rFonts w:ascii="Garamond" w:hAnsi="Garamond"/>
          <w:i/>
          <w:iCs/>
        </w:rPr>
        <w:t xml:space="preserve"> </w:t>
      </w:r>
      <w:r w:rsidR="00007708">
        <w:rPr>
          <w:rFonts w:ascii="Garamond" w:hAnsi="Garamond"/>
          <w:i/>
          <w:iCs/>
        </w:rPr>
        <w:t xml:space="preserve">en los programas de información </w:t>
      </w:r>
      <w:r w:rsidR="001B7BBB">
        <w:rPr>
          <w:rFonts w:ascii="Garamond" w:hAnsi="Garamond"/>
          <w:i/>
          <w:iCs/>
        </w:rPr>
        <w:t>estadística y geográfica</w:t>
      </w:r>
      <w:r w:rsidR="00EF0632" w:rsidRPr="00311FA4">
        <w:rPr>
          <w:rFonts w:ascii="Garamond" w:hAnsi="Garamond"/>
        </w:rPr>
        <w:t xml:space="preserve"> cuyo objetivo es documentar </w:t>
      </w:r>
      <w:r w:rsidR="00E30FF5" w:rsidRPr="00311FA4">
        <w:rPr>
          <w:rFonts w:ascii="Garamond" w:hAnsi="Garamond"/>
        </w:rPr>
        <w:t xml:space="preserve">las mejoras al diseño de los procesos de producción. </w:t>
      </w:r>
      <w:r w:rsidR="00AC5CCD" w:rsidRPr="00311FA4">
        <w:rPr>
          <w:rFonts w:ascii="Garamond" w:hAnsi="Garamond"/>
        </w:rPr>
        <w:t xml:space="preserve">Asimismo, </w:t>
      </w:r>
      <w:r w:rsidR="000A178E" w:rsidRPr="00311FA4">
        <w:rPr>
          <w:rFonts w:ascii="Garamond" w:hAnsi="Garamond"/>
        </w:rPr>
        <w:t xml:space="preserve">las acciones de capacitación </w:t>
      </w:r>
      <w:r w:rsidR="00BF021B" w:rsidRPr="00311FA4">
        <w:rPr>
          <w:rFonts w:ascii="Garamond" w:hAnsi="Garamond"/>
        </w:rPr>
        <w:t xml:space="preserve">coadyuvan </w:t>
      </w:r>
      <w:r w:rsidR="005E6DB3" w:rsidRPr="00311FA4">
        <w:rPr>
          <w:rFonts w:ascii="Garamond" w:hAnsi="Garamond"/>
        </w:rPr>
        <w:t xml:space="preserve">a mejorar las competencias </w:t>
      </w:r>
      <w:r w:rsidR="00E670BA" w:rsidRPr="00311FA4">
        <w:rPr>
          <w:rFonts w:ascii="Garamond" w:hAnsi="Garamond"/>
        </w:rPr>
        <w:t xml:space="preserve">de </w:t>
      </w:r>
      <w:r w:rsidR="007E3000" w:rsidRPr="00311FA4">
        <w:rPr>
          <w:rFonts w:ascii="Garamond" w:hAnsi="Garamond"/>
        </w:rPr>
        <w:t xml:space="preserve">las </w:t>
      </w:r>
      <w:r w:rsidR="00E670BA" w:rsidRPr="00311FA4">
        <w:rPr>
          <w:rFonts w:ascii="Garamond" w:hAnsi="Garamond"/>
        </w:rPr>
        <w:t xml:space="preserve">personas servidoras públicas tanto </w:t>
      </w:r>
      <w:r w:rsidR="00BD67D2" w:rsidRPr="00311FA4">
        <w:rPr>
          <w:rFonts w:ascii="Garamond" w:hAnsi="Garamond"/>
        </w:rPr>
        <w:t>del</w:t>
      </w:r>
      <w:r w:rsidR="00C34675" w:rsidRPr="00311FA4">
        <w:rPr>
          <w:rFonts w:ascii="Garamond" w:hAnsi="Garamond"/>
        </w:rPr>
        <w:t xml:space="preserve"> </w:t>
      </w:r>
      <w:proofErr w:type="spellStart"/>
      <w:r w:rsidR="00A31E11" w:rsidRPr="00311FA4">
        <w:rPr>
          <w:rFonts w:ascii="Garamond" w:hAnsi="Garamond"/>
          <w:smallCaps/>
        </w:rPr>
        <w:t>inegi</w:t>
      </w:r>
      <w:proofErr w:type="spellEnd"/>
      <w:r w:rsidR="00504495">
        <w:rPr>
          <w:rFonts w:ascii="Garamond" w:hAnsi="Garamond"/>
          <w:smallCaps/>
        </w:rPr>
        <w:t>,</w:t>
      </w:r>
      <w:r w:rsidR="00C34675" w:rsidRPr="00311FA4">
        <w:rPr>
          <w:rFonts w:ascii="Garamond" w:hAnsi="Garamond"/>
        </w:rPr>
        <w:t xml:space="preserve"> </w:t>
      </w:r>
      <w:r w:rsidR="00E670BA" w:rsidRPr="00311FA4">
        <w:rPr>
          <w:rFonts w:ascii="Garamond" w:hAnsi="Garamond"/>
        </w:rPr>
        <w:t>como d</w:t>
      </w:r>
      <w:r w:rsidR="00BD67D2" w:rsidRPr="00311FA4">
        <w:rPr>
          <w:rFonts w:ascii="Garamond" w:hAnsi="Garamond"/>
        </w:rPr>
        <w:t xml:space="preserve">el </w:t>
      </w:r>
      <w:proofErr w:type="spellStart"/>
      <w:r w:rsidR="00A31E11" w:rsidRPr="00311FA4">
        <w:rPr>
          <w:rFonts w:ascii="Garamond" w:hAnsi="Garamond"/>
          <w:smallCaps/>
        </w:rPr>
        <w:t>snieg</w:t>
      </w:r>
      <w:proofErr w:type="spellEnd"/>
      <w:r w:rsidR="00F530AC">
        <w:rPr>
          <w:rStyle w:val="Refdenotaalpie"/>
          <w:rFonts w:ascii="Garamond" w:hAnsi="Garamond"/>
          <w:smallCaps/>
        </w:rPr>
        <w:footnoteReference w:id="2"/>
      </w:r>
      <w:r w:rsidR="006E4187" w:rsidRPr="00311FA4">
        <w:rPr>
          <w:rFonts w:ascii="Garamond" w:hAnsi="Garamond"/>
        </w:rPr>
        <w:t>.</w:t>
      </w:r>
    </w:p>
    <w:p w14:paraId="148B1500" w14:textId="59EF4FEA" w:rsidR="0084371C" w:rsidRPr="00311FA4" w:rsidRDefault="00643BC1" w:rsidP="0084371C">
      <w:pPr>
        <w:spacing w:before="240"/>
        <w:jc w:val="both"/>
        <w:rPr>
          <w:rFonts w:ascii="Garamond" w:hAnsi="Garamond"/>
        </w:rPr>
      </w:pPr>
      <w:r w:rsidRPr="00311FA4">
        <w:rPr>
          <w:rFonts w:ascii="Garamond" w:hAnsi="Garamond"/>
        </w:rPr>
        <w:t>E</w:t>
      </w:r>
      <w:r w:rsidR="00755916" w:rsidRPr="00311FA4">
        <w:rPr>
          <w:rFonts w:ascii="Garamond" w:hAnsi="Garamond"/>
        </w:rPr>
        <w:t>n e</w:t>
      </w:r>
      <w:r w:rsidR="00D74228" w:rsidRPr="00311FA4">
        <w:rPr>
          <w:rFonts w:ascii="Garamond" w:hAnsi="Garamond"/>
        </w:rPr>
        <w:t>ste</w:t>
      </w:r>
      <w:r w:rsidRPr="00311FA4">
        <w:rPr>
          <w:rFonts w:ascii="Garamond" w:hAnsi="Garamond"/>
        </w:rPr>
        <w:t xml:space="preserve"> </w:t>
      </w:r>
      <w:r w:rsidR="008D78E4" w:rsidRPr="00311FA4">
        <w:rPr>
          <w:rFonts w:ascii="Garamond" w:hAnsi="Garamond"/>
        </w:rPr>
        <w:t>I</w:t>
      </w:r>
      <w:r w:rsidRPr="00311FA4">
        <w:rPr>
          <w:rFonts w:ascii="Garamond" w:hAnsi="Garamond"/>
        </w:rPr>
        <w:t xml:space="preserve">nforme de resultados </w:t>
      </w:r>
      <w:r w:rsidR="00DB19FC" w:rsidRPr="00311FA4">
        <w:rPr>
          <w:rFonts w:ascii="Garamond" w:hAnsi="Garamond"/>
        </w:rPr>
        <w:t xml:space="preserve">2023 </w:t>
      </w:r>
      <w:r w:rsidR="00755916" w:rsidRPr="00311FA4">
        <w:rPr>
          <w:rFonts w:ascii="Garamond" w:hAnsi="Garamond"/>
        </w:rPr>
        <w:t xml:space="preserve">se </w:t>
      </w:r>
      <w:r w:rsidR="00763A9F" w:rsidRPr="00311FA4">
        <w:rPr>
          <w:rFonts w:ascii="Garamond" w:hAnsi="Garamond"/>
        </w:rPr>
        <w:t>presenta</w:t>
      </w:r>
      <w:r w:rsidR="00755916" w:rsidRPr="00311FA4">
        <w:rPr>
          <w:rFonts w:ascii="Garamond" w:hAnsi="Garamond"/>
        </w:rPr>
        <w:t>n</w:t>
      </w:r>
      <w:r w:rsidR="00763A9F" w:rsidRPr="00311FA4">
        <w:rPr>
          <w:rFonts w:ascii="Garamond" w:hAnsi="Garamond"/>
        </w:rPr>
        <w:t xml:space="preserve"> l</w:t>
      </w:r>
      <w:r w:rsidR="00AE6ACF" w:rsidRPr="00311FA4">
        <w:rPr>
          <w:rFonts w:ascii="Garamond" w:hAnsi="Garamond"/>
        </w:rPr>
        <w:t>a</w:t>
      </w:r>
      <w:r w:rsidR="00763A9F" w:rsidRPr="00311FA4">
        <w:rPr>
          <w:rFonts w:ascii="Garamond" w:hAnsi="Garamond"/>
        </w:rPr>
        <w:t xml:space="preserve">s </w:t>
      </w:r>
      <w:r w:rsidR="00DB19FC" w:rsidRPr="00311FA4">
        <w:rPr>
          <w:rFonts w:ascii="Garamond" w:hAnsi="Garamond"/>
        </w:rPr>
        <w:t>principales</w:t>
      </w:r>
      <w:r w:rsidR="00763A9F" w:rsidRPr="00311FA4">
        <w:rPr>
          <w:rFonts w:ascii="Garamond" w:hAnsi="Garamond"/>
        </w:rPr>
        <w:t xml:space="preserve"> </w:t>
      </w:r>
      <w:r w:rsidR="00AE6ACF" w:rsidRPr="00311FA4">
        <w:rPr>
          <w:rFonts w:ascii="Garamond" w:hAnsi="Garamond"/>
        </w:rPr>
        <w:t xml:space="preserve">conclusiones de la medición </w:t>
      </w:r>
      <w:r w:rsidR="00763A9F" w:rsidRPr="00311FA4">
        <w:rPr>
          <w:rFonts w:ascii="Garamond" w:hAnsi="Garamond"/>
        </w:rPr>
        <w:t>de los indicadores de calidad</w:t>
      </w:r>
      <w:r w:rsidR="006325DA" w:rsidRPr="00311FA4">
        <w:rPr>
          <w:rFonts w:ascii="Garamond" w:hAnsi="Garamond"/>
        </w:rPr>
        <w:t xml:space="preserve"> </w:t>
      </w:r>
      <w:r w:rsidR="00B47CE7" w:rsidRPr="00311FA4">
        <w:rPr>
          <w:rFonts w:ascii="Garamond" w:hAnsi="Garamond"/>
        </w:rPr>
        <w:t xml:space="preserve">y </w:t>
      </w:r>
      <w:r w:rsidR="00661FB8" w:rsidRPr="00311FA4">
        <w:rPr>
          <w:rFonts w:ascii="Garamond" w:hAnsi="Garamond"/>
        </w:rPr>
        <w:t xml:space="preserve">del reporte de cambios al diseño de los procesos de producción. </w:t>
      </w:r>
      <w:r w:rsidR="006F3585" w:rsidRPr="00311FA4">
        <w:rPr>
          <w:rFonts w:ascii="Garamond" w:hAnsi="Garamond"/>
        </w:rPr>
        <w:t>P</w:t>
      </w:r>
      <w:r w:rsidR="00B47CE7" w:rsidRPr="00311FA4">
        <w:rPr>
          <w:rFonts w:ascii="Garamond" w:hAnsi="Garamond"/>
        </w:rPr>
        <w:t xml:space="preserve">ara mayor detalle </w:t>
      </w:r>
      <w:r w:rsidR="000F3804" w:rsidRPr="00311FA4">
        <w:rPr>
          <w:rFonts w:ascii="Garamond" w:hAnsi="Garamond"/>
        </w:rPr>
        <w:t>pueden consultar</w:t>
      </w:r>
      <w:r w:rsidR="006F3585" w:rsidRPr="00311FA4">
        <w:rPr>
          <w:rFonts w:ascii="Garamond" w:hAnsi="Garamond"/>
        </w:rPr>
        <w:t>se</w:t>
      </w:r>
      <w:r w:rsidR="000F3804" w:rsidRPr="00311FA4">
        <w:rPr>
          <w:rFonts w:ascii="Garamond" w:hAnsi="Garamond"/>
        </w:rPr>
        <w:t xml:space="preserve"> </w:t>
      </w:r>
      <w:r w:rsidR="006325DA" w:rsidRPr="00311FA4">
        <w:rPr>
          <w:rFonts w:ascii="Garamond" w:hAnsi="Garamond"/>
        </w:rPr>
        <w:t>los anexos estadísticos</w:t>
      </w:r>
      <w:r w:rsidR="000F3804" w:rsidRPr="00311FA4">
        <w:rPr>
          <w:rFonts w:ascii="Garamond" w:hAnsi="Garamond"/>
        </w:rPr>
        <w:t xml:space="preserve"> (</w:t>
      </w:r>
      <w:hyperlink r:id="rId18">
        <w:r w:rsidR="0085430E" w:rsidRPr="00311FA4">
          <w:rPr>
            <w:rStyle w:val="Hipervnculo"/>
            <w:rFonts w:ascii="Garamond" w:hAnsi="Garamond"/>
          </w:rPr>
          <w:t>Anexos informe 2023.xlsx</w:t>
        </w:r>
      </w:hyperlink>
      <w:r w:rsidR="000F3804" w:rsidRPr="00311FA4">
        <w:rPr>
          <w:rFonts w:ascii="Garamond" w:hAnsi="Garamond"/>
        </w:rPr>
        <w:t>)</w:t>
      </w:r>
      <w:r w:rsidR="00B40900" w:rsidRPr="00311FA4">
        <w:rPr>
          <w:rFonts w:ascii="Garamond" w:hAnsi="Garamond"/>
        </w:rPr>
        <w:t>.</w:t>
      </w:r>
    </w:p>
    <w:p w14:paraId="1452616D" w14:textId="20BCF8E1" w:rsidR="0084371C" w:rsidRPr="00311FA4" w:rsidRDefault="000930DA" w:rsidP="0084371C">
      <w:pPr>
        <w:pStyle w:val="Ttulo1"/>
        <w:tabs>
          <w:tab w:val="left" w:pos="710"/>
          <w:tab w:val="right" w:pos="10800"/>
        </w:tabs>
        <w:rPr>
          <w:rFonts w:ascii="Garamond" w:hAnsi="Garamond" w:cstheme="minorBidi"/>
          <w:b/>
          <w:color w:val="002060"/>
          <w:sz w:val="24"/>
          <w:szCs w:val="24"/>
        </w:rPr>
      </w:pPr>
      <w:r w:rsidRPr="00395213">
        <w:rPr>
          <w:rFonts w:ascii="Garamond" w:hAnsi="Garamond"/>
          <w:sz w:val="21"/>
          <w:szCs w:val="21"/>
        </w:rPr>
        <w:br w:type="page"/>
      </w:r>
      <w:bookmarkStart w:id="1" w:name="_Toc164684566"/>
      <w:r w:rsidR="0084371C" w:rsidRPr="00311FA4">
        <w:rPr>
          <w:rFonts w:ascii="Garamond" w:hAnsi="Garamond" w:cstheme="minorBidi"/>
          <w:b/>
          <w:color w:val="002060"/>
          <w:sz w:val="24"/>
          <w:szCs w:val="24"/>
        </w:rPr>
        <w:lastRenderedPageBreak/>
        <w:t>II. RESULTADOS DE LOS INDICADORES DE CALIDAD</w:t>
      </w:r>
      <w:bookmarkEnd w:id="1"/>
    </w:p>
    <w:p w14:paraId="6592F4E0" w14:textId="39CDD6B2" w:rsidR="0011705B" w:rsidRPr="00311FA4" w:rsidRDefault="00875C42" w:rsidP="00F80D17">
      <w:pPr>
        <w:spacing w:before="240"/>
        <w:jc w:val="both"/>
        <w:rPr>
          <w:rFonts w:ascii="Garamond" w:hAnsi="Garamond"/>
        </w:rPr>
      </w:pPr>
      <w:r>
        <w:rPr>
          <w:rFonts w:ascii="Garamond" w:hAnsi="Garamond"/>
        </w:rPr>
        <w:t>Entre</w:t>
      </w:r>
      <w:r w:rsidR="00A5763D">
        <w:rPr>
          <w:rFonts w:ascii="Garamond" w:hAnsi="Garamond"/>
        </w:rPr>
        <w:t xml:space="preserve"> 2017</w:t>
      </w:r>
      <w:r w:rsidR="00DD1D18">
        <w:rPr>
          <w:rFonts w:ascii="Garamond" w:hAnsi="Garamond"/>
        </w:rPr>
        <w:t xml:space="preserve"> y 2023</w:t>
      </w:r>
      <w:r w:rsidR="00A5763D">
        <w:rPr>
          <w:rFonts w:ascii="Garamond" w:hAnsi="Garamond"/>
        </w:rPr>
        <w:t xml:space="preserve">, </w:t>
      </w:r>
      <w:r w:rsidR="00106AFD">
        <w:rPr>
          <w:rFonts w:ascii="Garamond" w:hAnsi="Garamond"/>
        </w:rPr>
        <w:t>e</w:t>
      </w:r>
      <w:r w:rsidR="0011705B" w:rsidRPr="00311FA4">
        <w:rPr>
          <w:rFonts w:ascii="Garamond" w:hAnsi="Garamond"/>
        </w:rPr>
        <w:t>l Comité</w:t>
      </w:r>
      <w:r w:rsidR="009B3129">
        <w:rPr>
          <w:rFonts w:ascii="Garamond" w:hAnsi="Garamond"/>
        </w:rPr>
        <w:t xml:space="preserve"> de Asegu</w:t>
      </w:r>
      <w:r w:rsidR="0082218A">
        <w:rPr>
          <w:rFonts w:ascii="Garamond" w:hAnsi="Garamond"/>
        </w:rPr>
        <w:t>r</w:t>
      </w:r>
      <w:r w:rsidR="009B3129">
        <w:rPr>
          <w:rFonts w:ascii="Garamond" w:hAnsi="Garamond"/>
        </w:rPr>
        <w:t>amiento de la Calidad</w:t>
      </w:r>
      <w:r w:rsidR="0011705B" w:rsidRPr="00311FA4">
        <w:rPr>
          <w:rFonts w:ascii="Garamond" w:hAnsi="Garamond"/>
        </w:rPr>
        <w:t xml:space="preserve"> ha aprobado </w:t>
      </w:r>
      <w:r w:rsidR="00F80D17" w:rsidRPr="00311FA4">
        <w:rPr>
          <w:rFonts w:ascii="Garamond" w:hAnsi="Garamond"/>
        </w:rPr>
        <w:t xml:space="preserve">indicadores </w:t>
      </w:r>
      <w:r w:rsidR="000F16FA" w:rsidRPr="00311FA4">
        <w:rPr>
          <w:rFonts w:ascii="Garamond" w:hAnsi="Garamond"/>
        </w:rPr>
        <w:t>transversales</w:t>
      </w:r>
      <w:r w:rsidR="00655856">
        <w:rPr>
          <w:rFonts w:ascii="Garamond" w:hAnsi="Garamond"/>
        </w:rPr>
        <w:t xml:space="preserve"> (</w:t>
      </w:r>
      <w:r w:rsidR="00504495">
        <w:rPr>
          <w:rFonts w:ascii="Garamond" w:hAnsi="Garamond"/>
        </w:rPr>
        <w:t>12</w:t>
      </w:r>
      <w:r w:rsidR="00504D37" w:rsidRPr="00311FA4">
        <w:rPr>
          <w:rFonts w:ascii="Garamond" w:hAnsi="Garamond"/>
        </w:rPr>
        <w:t xml:space="preserve"> </w:t>
      </w:r>
      <w:r w:rsidR="0011705B" w:rsidRPr="00311FA4">
        <w:rPr>
          <w:rFonts w:ascii="Garamond" w:hAnsi="Garamond"/>
        </w:rPr>
        <w:t>de pertinencia, dos de oportunidad, dos de puntualidad y uno de accesibilidad</w:t>
      </w:r>
      <w:r w:rsidR="00655856">
        <w:rPr>
          <w:rFonts w:ascii="Garamond" w:hAnsi="Garamond"/>
        </w:rPr>
        <w:t>)</w:t>
      </w:r>
      <w:r w:rsidR="00E26735">
        <w:rPr>
          <w:rFonts w:ascii="Garamond" w:hAnsi="Garamond"/>
        </w:rPr>
        <w:t xml:space="preserve"> e</w:t>
      </w:r>
      <w:r w:rsidR="006273E7" w:rsidRPr="00311FA4">
        <w:rPr>
          <w:rFonts w:ascii="Garamond" w:hAnsi="Garamond"/>
        </w:rPr>
        <w:t xml:space="preserve"> </w:t>
      </w:r>
      <w:r w:rsidR="0011705B" w:rsidRPr="00311FA4">
        <w:rPr>
          <w:rFonts w:ascii="Garamond" w:hAnsi="Garamond"/>
        </w:rPr>
        <w:t>indicadores de precisión por método de generación</w:t>
      </w:r>
      <w:r w:rsidR="00655856">
        <w:rPr>
          <w:rFonts w:ascii="Garamond" w:hAnsi="Garamond"/>
        </w:rPr>
        <w:t xml:space="preserve"> (</w:t>
      </w:r>
      <w:r w:rsidR="00504495">
        <w:rPr>
          <w:rFonts w:ascii="Garamond" w:hAnsi="Garamond"/>
        </w:rPr>
        <w:t>13</w:t>
      </w:r>
      <w:r w:rsidR="0011705B" w:rsidRPr="00311FA4">
        <w:rPr>
          <w:rFonts w:ascii="Garamond" w:hAnsi="Garamond"/>
        </w:rPr>
        <w:t xml:space="preserve"> para encuestas</w:t>
      </w:r>
      <w:r w:rsidR="00FD5332">
        <w:rPr>
          <w:rFonts w:ascii="Garamond" w:hAnsi="Garamond"/>
        </w:rPr>
        <w:t>–</w:t>
      </w:r>
      <w:r w:rsidR="0011705B" w:rsidRPr="00311FA4">
        <w:rPr>
          <w:rFonts w:ascii="Garamond" w:hAnsi="Garamond"/>
        </w:rPr>
        <w:t>probabilísticas y no probabilísticas</w:t>
      </w:r>
      <w:r w:rsidR="0068267D">
        <w:rPr>
          <w:rFonts w:ascii="Garamond" w:hAnsi="Garamond"/>
        </w:rPr>
        <w:t>–</w:t>
      </w:r>
      <w:r w:rsidR="0011705B" w:rsidRPr="00311FA4">
        <w:rPr>
          <w:rFonts w:ascii="Garamond" w:hAnsi="Garamond"/>
        </w:rPr>
        <w:t xml:space="preserve">, tres para aprovechamiento de registros administrativos, cuatro para censos y </w:t>
      </w:r>
      <w:r w:rsidR="005723FC">
        <w:rPr>
          <w:rFonts w:ascii="Garamond" w:hAnsi="Garamond"/>
        </w:rPr>
        <w:t>seis</w:t>
      </w:r>
      <w:r w:rsidR="0011705B" w:rsidRPr="00311FA4">
        <w:rPr>
          <w:rFonts w:ascii="Garamond" w:hAnsi="Garamond"/>
        </w:rPr>
        <w:t xml:space="preserve"> para información geográfica</w:t>
      </w:r>
      <w:r w:rsidR="00655856">
        <w:rPr>
          <w:rFonts w:ascii="Garamond" w:hAnsi="Garamond"/>
        </w:rPr>
        <w:t>)</w:t>
      </w:r>
      <w:r w:rsidR="00235E3D" w:rsidRPr="00311FA4">
        <w:rPr>
          <w:rFonts w:ascii="Garamond" w:hAnsi="Garamond"/>
        </w:rPr>
        <w:t xml:space="preserve"> (ver Figura </w:t>
      </w:r>
      <w:r w:rsidR="00341A81">
        <w:rPr>
          <w:rFonts w:ascii="Garamond" w:hAnsi="Garamond"/>
        </w:rPr>
        <w:t>4</w:t>
      </w:r>
      <w:r w:rsidR="00235E3D" w:rsidRPr="00311FA4">
        <w:rPr>
          <w:rFonts w:ascii="Garamond" w:hAnsi="Garamond"/>
        </w:rPr>
        <w:t>)</w:t>
      </w:r>
      <w:r w:rsidR="0011705B" w:rsidRPr="00311FA4">
        <w:rPr>
          <w:rFonts w:ascii="Garamond" w:hAnsi="Garamond"/>
        </w:rPr>
        <w:t>. En este apartado</w:t>
      </w:r>
      <w:r w:rsidR="00643965" w:rsidRPr="00311FA4">
        <w:rPr>
          <w:rFonts w:ascii="Garamond" w:hAnsi="Garamond"/>
        </w:rPr>
        <w:t xml:space="preserve"> </w:t>
      </w:r>
      <w:r w:rsidR="0011705B" w:rsidRPr="00311FA4">
        <w:rPr>
          <w:rFonts w:ascii="Garamond" w:hAnsi="Garamond"/>
        </w:rPr>
        <w:t>se presenta</w:t>
      </w:r>
      <w:r w:rsidR="00643965" w:rsidRPr="00311FA4">
        <w:rPr>
          <w:rFonts w:ascii="Garamond" w:hAnsi="Garamond"/>
        </w:rPr>
        <w:t>n</w:t>
      </w:r>
      <w:r w:rsidR="0011705B" w:rsidRPr="00311FA4">
        <w:rPr>
          <w:rFonts w:ascii="Garamond" w:hAnsi="Garamond"/>
        </w:rPr>
        <w:t xml:space="preserve"> los principales resultados de estos indicadores</w:t>
      </w:r>
      <w:r w:rsidR="001E4BE0">
        <w:rPr>
          <w:rStyle w:val="Refdenotaalpie"/>
          <w:rFonts w:ascii="Garamond" w:hAnsi="Garamond"/>
        </w:rPr>
        <w:footnoteReference w:id="3"/>
      </w:r>
      <w:r w:rsidR="00235E3D" w:rsidRPr="00311FA4">
        <w:rPr>
          <w:rFonts w:ascii="Garamond" w:hAnsi="Garamond"/>
        </w:rPr>
        <w:t>.</w:t>
      </w:r>
    </w:p>
    <w:p w14:paraId="61E5B6F4" w14:textId="18AE3D2B" w:rsidR="00F32163" w:rsidRPr="00311FA4" w:rsidRDefault="00F32163" w:rsidP="00F32163">
      <w:pPr>
        <w:spacing w:after="0"/>
        <w:jc w:val="center"/>
        <w:rPr>
          <w:rFonts w:ascii="Garamond" w:hAnsi="Garamond"/>
          <w:b/>
        </w:rPr>
      </w:pPr>
      <w:r w:rsidRPr="00311FA4">
        <w:rPr>
          <w:rFonts w:ascii="Garamond" w:hAnsi="Garamond"/>
          <w:b/>
        </w:rPr>
        <w:t xml:space="preserve">Figura </w:t>
      </w:r>
      <w:r w:rsidR="00341A81">
        <w:rPr>
          <w:rFonts w:ascii="Garamond" w:hAnsi="Garamond"/>
          <w:b/>
        </w:rPr>
        <w:t>4</w:t>
      </w:r>
      <w:r w:rsidRPr="00311FA4">
        <w:rPr>
          <w:rFonts w:ascii="Garamond" w:hAnsi="Garamond"/>
          <w:b/>
        </w:rPr>
        <w:t xml:space="preserve">. </w:t>
      </w:r>
      <w:r w:rsidR="00963993" w:rsidRPr="00311FA4">
        <w:rPr>
          <w:rFonts w:ascii="Garamond" w:hAnsi="Garamond"/>
          <w:b/>
        </w:rPr>
        <w:t>Número de i</w:t>
      </w:r>
      <w:r w:rsidR="005B4E98" w:rsidRPr="00311FA4">
        <w:rPr>
          <w:rFonts w:ascii="Garamond" w:hAnsi="Garamond"/>
          <w:b/>
        </w:rPr>
        <w:t>ndicadores aprobados por el Comité</w:t>
      </w:r>
      <w:r w:rsidR="001063F9" w:rsidRPr="00311FA4">
        <w:rPr>
          <w:rFonts w:ascii="Garamond" w:hAnsi="Garamond"/>
          <w:b/>
        </w:rPr>
        <w:t>, según princip</w:t>
      </w:r>
      <w:r w:rsidR="00CE3F40" w:rsidRPr="00311FA4">
        <w:rPr>
          <w:rFonts w:ascii="Garamond" w:hAnsi="Garamond"/>
          <w:b/>
        </w:rPr>
        <w:t>io de calidad</w:t>
      </w:r>
      <w:r w:rsidR="00504495">
        <w:rPr>
          <w:rFonts w:ascii="Garamond" w:hAnsi="Garamond"/>
          <w:b/>
        </w:rPr>
        <w:t xml:space="preserve"> de los productos</w:t>
      </w:r>
    </w:p>
    <w:p w14:paraId="05B1BC3B" w14:textId="4C358F30" w:rsidR="00E11129" w:rsidRPr="003148D3" w:rsidRDefault="002E5F60" w:rsidP="00CE0559">
      <w:pPr>
        <w:spacing w:before="240"/>
        <w:jc w:val="center"/>
        <w:rPr>
          <w:rFonts w:ascii="Garamond" w:hAnsi="Garamond"/>
          <w:sz w:val="21"/>
          <w:szCs w:val="21"/>
        </w:rPr>
      </w:pPr>
      <w:r>
        <w:rPr>
          <w:rFonts w:ascii="Garamond" w:hAnsi="Garamond"/>
          <w:noProof/>
          <w:sz w:val="21"/>
          <w:szCs w:val="21"/>
        </w:rPr>
        <w:drawing>
          <wp:inline distT="0" distB="0" distL="0" distR="0" wp14:anchorId="55A98F7F" wp14:editId="60580A74">
            <wp:extent cx="6451014" cy="3009332"/>
            <wp:effectExtent l="0" t="0" r="0" b="0"/>
            <wp:docPr id="11010678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9842" cy="3018115"/>
                    </a:xfrm>
                    <a:prstGeom prst="rect">
                      <a:avLst/>
                    </a:prstGeom>
                    <a:noFill/>
                  </pic:spPr>
                </pic:pic>
              </a:graphicData>
            </a:graphic>
          </wp:inline>
        </w:drawing>
      </w:r>
    </w:p>
    <w:p w14:paraId="789281E8" w14:textId="4B039485" w:rsidR="00652C18" w:rsidRPr="00311FA4" w:rsidRDefault="00652C18" w:rsidP="00652C18">
      <w:pPr>
        <w:pStyle w:val="Ttulo2"/>
        <w:spacing w:before="240"/>
        <w:rPr>
          <w:rFonts w:ascii="Garamond" w:eastAsiaTheme="minorHAnsi" w:hAnsi="Garamond" w:cstheme="minorBidi"/>
          <w:bCs/>
          <w:color w:val="0079BF"/>
          <w:sz w:val="22"/>
          <w:szCs w:val="22"/>
        </w:rPr>
      </w:pPr>
      <w:bookmarkStart w:id="2" w:name="_Toc164684567"/>
      <w:r w:rsidRPr="00311FA4">
        <w:rPr>
          <w:rFonts w:ascii="Garamond" w:eastAsiaTheme="minorHAnsi" w:hAnsi="Garamond" w:cstheme="minorBidi"/>
          <w:bCs/>
          <w:color w:val="0079BF"/>
          <w:sz w:val="22"/>
          <w:szCs w:val="22"/>
        </w:rPr>
        <w:t>II.1. PERTINENCIA</w:t>
      </w:r>
      <w:bookmarkEnd w:id="2"/>
    </w:p>
    <w:p w14:paraId="49D3EA1D" w14:textId="29ECA837" w:rsidR="005823E5" w:rsidRPr="00311FA4" w:rsidRDefault="00647EF6" w:rsidP="00C04D6C">
      <w:pPr>
        <w:spacing w:before="120" w:after="60"/>
        <w:jc w:val="both"/>
        <w:rPr>
          <w:rFonts w:ascii="Garamond" w:hAnsi="Garamond"/>
        </w:rPr>
      </w:pPr>
      <w:r w:rsidRPr="00311FA4">
        <w:rPr>
          <w:rFonts w:ascii="Garamond" w:hAnsi="Garamond"/>
        </w:rPr>
        <w:t>D</w:t>
      </w:r>
      <w:r w:rsidR="00F84F70" w:rsidRPr="00311FA4">
        <w:rPr>
          <w:rFonts w:ascii="Garamond" w:hAnsi="Garamond"/>
        </w:rPr>
        <w:t>esde el punto de vista de la cobertura de necesidades</w:t>
      </w:r>
      <w:r w:rsidR="00F15B4C" w:rsidRPr="00311FA4">
        <w:rPr>
          <w:rFonts w:ascii="Garamond" w:hAnsi="Garamond"/>
        </w:rPr>
        <w:t xml:space="preserve"> (ver </w:t>
      </w:r>
      <w:r w:rsidR="00863CA4" w:rsidRPr="00311FA4">
        <w:rPr>
          <w:rFonts w:ascii="Garamond" w:hAnsi="Garamond"/>
        </w:rPr>
        <w:t>Tabla</w:t>
      </w:r>
      <w:r w:rsidR="00F15B4C" w:rsidRPr="00311FA4">
        <w:rPr>
          <w:rFonts w:ascii="Garamond" w:hAnsi="Garamond"/>
        </w:rPr>
        <w:t xml:space="preserve"> </w:t>
      </w:r>
      <w:r w:rsidR="00863CA4" w:rsidRPr="00311FA4">
        <w:rPr>
          <w:rFonts w:ascii="Garamond" w:hAnsi="Garamond"/>
        </w:rPr>
        <w:t>1</w:t>
      </w:r>
      <w:r w:rsidR="00F15B4C" w:rsidRPr="00311FA4">
        <w:rPr>
          <w:rFonts w:ascii="Garamond" w:hAnsi="Garamond"/>
        </w:rPr>
        <w:t>)</w:t>
      </w:r>
      <w:r w:rsidR="00F84F70" w:rsidRPr="00311FA4">
        <w:rPr>
          <w:rFonts w:ascii="Garamond" w:hAnsi="Garamond"/>
        </w:rPr>
        <w:t>, e</w:t>
      </w:r>
      <w:r w:rsidR="000B061C" w:rsidRPr="00311FA4">
        <w:rPr>
          <w:rFonts w:ascii="Garamond" w:hAnsi="Garamond"/>
        </w:rPr>
        <w:t xml:space="preserve">l porcentaje de indicadores </w:t>
      </w:r>
      <w:r w:rsidR="007B58D6" w:rsidRPr="00311FA4">
        <w:rPr>
          <w:rFonts w:ascii="Garamond" w:hAnsi="Garamond"/>
        </w:rPr>
        <w:t xml:space="preserve">que permiten medir la evolución del desarrollo nacional que se calculan con información estadística y geográfica del </w:t>
      </w:r>
      <w:proofErr w:type="spellStart"/>
      <w:r w:rsidR="00CE7E95" w:rsidRPr="00311FA4">
        <w:rPr>
          <w:rFonts w:ascii="Garamond" w:hAnsi="Garamond"/>
          <w:smallCaps/>
        </w:rPr>
        <w:t>inegi</w:t>
      </w:r>
      <w:proofErr w:type="spellEnd"/>
      <w:r w:rsidR="007B58D6" w:rsidRPr="00311FA4">
        <w:rPr>
          <w:rFonts w:ascii="Garamond" w:hAnsi="Garamond"/>
        </w:rPr>
        <w:t xml:space="preserve"> </w:t>
      </w:r>
      <w:r w:rsidR="00F2702B" w:rsidRPr="00311FA4">
        <w:rPr>
          <w:rFonts w:ascii="Garamond" w:hAnsi="Garamond"/>
        </w:rPr>
        <w:t>es de</w:t>
      </w:r>
      <w:r w:rsidR="009F4647" w:rsidRPr="00311FA4">
        <w:rPr>
          <w:rFonts w:ascii="Garamond" w:hAnsi="Garamond"/>
        </w:rPr>
        <w:t xml:space="preserve"> </w:t>
      </w:r>
      <w:r w:rsidR="000B052E" w:rsidRPr="00311FA4">
        <w:rPr>
          <w:rFonts w:ascii="Garamond" w:hAnsi="Garamond"/>
        </w:rPr>
        <w:t>2</w:t>
      </w:r>
      <w:r w:rsidR="00071718" w:rsidRPr="00311FA4">
        <w:rPr>
          <w:rFonts w:ascii="Garamond" w:hAnsi="Garamond"/>
        </w:rPr>
        <w:t>5</w:t>
      </w:r>
      <w:r w:rsidR="000B052E" w:rsidRPr="00311FA4">
        <w:rPr>
          <w:rFonts w:ascii="Garamond" w:hAnsi="Garamond"/>
        </w:rPr>
        <w:t>%</w:t>
      </w:r>
      <w:r w:rsidR="00C65918" w:rsidRPr="00311FA4">
        <w:rPr>
          <w:rFonts w:ascii="Garamond" w:hAnsi="Garamond"/>
        </w:rPr>
        <w:t xml:space="preserve">. </w:t>
      </w:r>
      <w:r w:rsidR="000B0364" w:rsidRPr="00311FA4">
        <w:rPr>
          <w:rFonts w:ascii="Garamond" w:hAnsi="Garamond"/>
        </w:rPr>
        <w:t xml:space="preserve">Por otro lado, </w:t>
      </w:r>
      <w:r w:rsidR="00C65918" w:rsidRPr="00311FA4">
        <w:rPr>
          <w:rFonts w:ascii="Garamond" w:hAnsi="Garamond"/>
        </w:rPr>
        <w:t xml:space="preserve">el porcentaje de indicadores </w:t>
      </w:r>
      <w:r w:rsidR="00816B80" w:rsidRPr="00311FA4">
        <w:rPr>
          <w:rFonts w:ascii="Garamond" w:hAnsi="Garamond"/>
        </w:rPr>
        <w:t>de</w:t>
      </w:r>
      <w:r w:rsidR="00EC4202" w:rsidRPr="00311FA4">
        <w:rPr>
          <w:rFonts w:ascii="Garamond" w:hAnsi="Garamond"/>
        </w:rPr>
        <w:t xml:space="preserve"> los</w:t>
      </w:r>
      <w:r w:rsidR="00816B80" w:rsidRPr="00311FA4">
        <w:rPr>
          <w:rFonts w:ascii="Garamond" w:hAnsi="Garamond"/>
        </w:rPr>
        <w:t xml:space="preserve"> Objetivos de Desarrollo Sostenible (</w:t>
      </w:r>
      <w:proofErr w:type="spellStart"/>
      <w:r w:rsidR="00ED5F35" w:rsidRPr="00311FA4">
        <w:rPr>
          <w:rFonts w:ascii="Garamond" w:hAnsi="Garamond"/>
          <w:smallCaps/>
        </w:rPr>
        <w:t>ods</w:t>
      </w:r>
      <w:proofErr w:type="spellEnd"/>
      <w:r w:rsidR="00816B80" w:rsidRPr="00311FA4">
        <w:rPr>
          <w:rFonts w:ascii="Garamond" w:hAnsi="Garamond"/>
        </w:rPr>
        <w:t>)</w:t>
      </w:r>
      <w:r w:rsidR="00C65918" w:rsidRPr="00311FA4">
        <w:rPr>
          <w:rFonts w:ascii="Garamond" w:hAnsi="Garamond"/>
        </w:rPr>
        <w:t xml:space="preserve"> que se calculan con programas del </w:t>
      </w:r>
      <w:proofErr w:type="spellStart"/>
      <w:r w:rsidR="00ED5F35" w:rsidRPr="00311FA4">
        <w:rPr>
          <w:rFonts w:ascii="Garamond" w:hAnsi="Garamond"/>
          <w:smallCaps/>
        </w:rPr>
        <w:t>inegi</w:t>
      </w:r>
      <w:proofErr w:type="spellEnd"/>
      <w:r w:rsidR="007D093B">
        <w:rPr>
          <w:rFonts w:ascii="Garamond" w:hAnsi="Garamond"/>
        </w:rPr>
        <w:t xml:space="preserve"> es</w:t>
      </w:r>
      <w:r w:rsidR="00F2702B" w:rsidRPr="00311FA4">
        <w:rPr>
          <w:rFonts w:ascii="Garamond" w:hAnsi="Garamond"/>
        </w:rPr>
        <w:t xml:space="preserve"> </w:t>
      </w:r>
      <w:r w:rsidR="007D093B">
        <w:rPr>
          <w:rFonts w:ascii="Garamond" w:hAnsi="Garamond"/>
        </w:rPr>
        <w:t>de</w:t>
      </w:r>
      <w:r w:rsidR="00ED5F35" w:rsidRPr="00311FA4">
        <w:rPr>
          <w:rFonts w:ascii="Garamond" w:hAnsi="Garamond"/>
        </w:rPr>
        <w:t xml:space="preserve"> 75% en 2023</w:t>
      </w:r>
      <w:r w:rsidR="00F2702B" w:rsidRPr="00311FA4">
        <w:rPr>
          <w:rFonts w:ascii="Garamond" w:hAnsi="Garamond"/>
        </w:rPr>
        <w:t>.</w:t>
      </w:r>
    </w:p>
    <w:p w14:paraId="7E13823E" w14:textId="047EEDAF" w:rsidR="0081502B" w:rsidRPr="00311FA4" w:rsidRDefault="00863CA4" w:rsidP="00A0106C">
      <w:pPr>
        <w:spacing w:before="240" w:after="0"/>
        <w:jc w:val="center"/>
        <w:rPr>
          <w:rFonts w:ascii="Garamond" w:hAnsi="Garamond"/>
          <w:b/>
        </w:rPr>
      </w:pPr>
      <w:r w:rsidRPr="00311FA4">
        <w:rPr>
          <w:rFonts w:ascii="Garamond" w:hAnsi="Garamond"/>
          <w:b/>
        </w:rPr>
        <w:t>Tabla 1</w:t>
      </w:r>
      <w:r w:rsidR="002E4AA4" w:rsidRPr="00311FA4">
        <w:rPr>
          <w:rFonts w:ascii="Garamond" w:hAnsi="Garamond"/>
          <w:b/>
        </w:rPr>
        <w:t>.</w:t>
      </w:r>
      <w:r w:rsidR="0081502B" w:rsidRPr="00311FA4">
        <w:rPr>
          <w:rFonts w:ascii="Garamond" w:hAnsi="Garamond"/>
          <w:b/>
        </w:rPr>
        <w:t xml:space="preserve"> </w:t>
      </w:r>
      <w:r w:rsidR="002D5E5C" w:rsidRPr="00311FA4">
        <w:rPr>
          <w:rFonts w:ascii="Garamond" w:hAnsi="Garamond"/>
          <w:b/>
        </w:rPr>
        <w:t>Porcentaje de indicadores de desarrollo</w:t>
      </w:r>
      <w:r w:rsidR="001354B1" w:rsidRPr="00311FA4">
        <w:rPr>
          <w:rFonts w:ascii="Garamond" w:hAnsi="Garamond"/>
          <w:b/>
        </w:rPr>
        <w:t xml:space="preserve"> medidos con </w:t>
      </w:r>
      <w:r w:rsidR="00E67D1D" w:rsidRPr="00311FA4">
        <w:rPr>
          <w:rFonts w:ascii="Garamond" w:hAnsi="Garamond"/>
          <w:b/>
        </w:rPr>
        <w:t>información</w:t>
      </w:r>
      <w:r w:rsidR="001354B1" w:rsidRPr="00311FA4">
        <w:rPr>
          <w:rFonts w:ascii="Garamond" w:hAnsi="Garamond"/>
          <w:b/>
        </w:rPr>
        <w:t xml:space="preserve"> del </w:t>
      </w:r>
      <w:proofErr w:type="spellStart"/>
      <w:r w:rsidR="00532B05" w:rsidRPr="00311FA4">
        <w:rPr>
          <w:rFonts w:ascii="Garamond" w:hAnsi="Garamond"/>
          <w:b/>
          <w:smallCaps/>
        </w:rPr>
        <w:t>inegi</w:t>
      </w:r>
      <w:proofErr w:type="spellEnd"/>
      <w:r w:rsidR="0081502B" w:rsidRPr="00311FA4">
        <w:rPr>
          <w:rFonts w:ascii="Garamond" w:hAnsi="Garamond"/>
          <w:b/>
        </w:rPr>
        <w:t xml:space="preserve"> (cobertura de necesidades)</w:t>
      </w:r>
      <w:r w:rsidR="0085341D">
        <w:rPr>
          <w:rStyle w:val="Refdenotaalpie"/>
          <w:rFonts w:ascii="Garamond" w:hAnsi="Garamond"/>
          <w:b/>
        </w:rPr>
        <w:footnoteReference w:id="4"/>
      </w:r>
    </w:p>
    <w:tbl>
      <w:tblPr>
        <w:tblW w:w="8219"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20" w:firstRow="1" w:lastRow="0" w:firstColumn="0" w:lastColumn="0" w:noHBand="0" w:noVBand="1"/>
      </w:tblPr>
      <w:tblGrid>
        <w:gridCol w:w="6799"/>
        <w:gridCol w:w="1420"/>
      </w:tblGrid>
      <w:tr w:rsidR="00BC7229" w:rsidRPr="00E94CE6" w14:paraId="3F76DF21" w14:textId="77777777" w:rsidTr="00832504">
        <w:trPr>
          <w:trHeight w:val="454"/>
          <w:jc w:val="center"/>
        </w:trPr>
        <w:tc>
          <w:tcPr>
            <w:tcW w:w="6799" w:type="dxa"/>
            <w:tcBorders>
              <w:bottom w:val="nil"/>
              <w:right w:val="nil"/>
            </w:tcBorders>
            <w:shd w:val="clear" w:color="auto" w:fill="002060"/>
            <w:tcMar>
              <w:top w:w="3" w:type="dxa"/>
              <w:left w:w="15" w:type="dxa"/>
              <w:bottom w:w="0" w:type="dxa"/>
              <w:right w:w="15" w:type="dxa"/>
            </w:tcMar>
            <w:vAlign w:val="center"/>
            <w:hideMark/>
          </w:tcPr>
          <w:p w14:paraId="4D673050" w14:textId="77777777" w:rsidR="00BC7229" w:rsidRPr="00E94CE6" w:rsidRDefault="00BC7229" w:rsidP="00B36FB4">
            <w:pPr>
              <w:spacing w:after="0"/>
              <w:jc w:val="center"/>
              <w:rPr>
                <w:rFonts w:ascii="Garamond" w:hAnsi="Garamond"/>
                <w:b/>
                <w:sz w:val="20"/>
                <w:szCs w:val="20"/>
              </w:rPr>
            </w:pPr>
            <w:r w:rsidRPr="00E94CE6">
              <w:rPr>
                <w:rFonts w:ascii="Garamond" w:hAnsi="Garamond"/>
                <w:b/>
                <w:sz w:val="20"/>
                <w:szCs w:val="20"/>
              </w:rPr>
              <w:t>Indicadores de pertinencia</w:t>
            </w:r>
          </w:p>
        </w:tc>
        <w:tc>
          <w:tcPr>
            <w:tcW w:w="1420" w:type="dxa"/>
            <w:tcBorders>
              <w:left w:val="nil"/>
              <w:bottom w:val="nil"/>
            </w:tcBorders>
            <w:shd w:val="clear" w:color="auto" w:fill="002060"/>
            <w:vAlign w:val="center"/>
          </w:tcPr>
          <w:p w14:paraId="697EC5CB" w14:textId="77777777" w:rsidR="00BC7229" w:rsidRPr="00E94CE6" w:rsidRDefault="00BC7229" w:rsidP="00B36FB4">
            <w:pPr>
              <w:spacing w:after="0"/>
              <w:jc w:val="center"/>
              <w:rPr>
                <w:rFonts w:ascii="Garamond" w:hAnsi="Garamond"/>
                <w:b/>
                <w:sz w:val="20"/>
                <w:szCs w:val="20"/>
              </w:rPr>
            </w:pPr>
            <w:r w:rsidRPr="00E94CE6">
              <w:rPr>
                <w:rFonts w:ascii="Garamond" w:hAnsi="Garamond"/>
                <w:b/>
                <w:sz w:val="20"/>
                <w:szCs w:val="20"/>
              </w:rPr>
              <w:t>2023</w:t>
            </w:r>
          </w:p>
        </w:tc>
      </w:tr>
      <w:tr w:rsidR="00BC7229" w:rsidRPr="00E94CE6" w14:paraId="620FC139" w14:textId="77777777" w:rsidTr="00832504">
        <w:trPr>
          <w:trHeight w:val="510"/>
          <w:jc w:val="center"/>
        </w:trPr>
        <w:tc>
          <w:tcPr>
            <w:tcW w:w="6799" w:type="dxa"/>
            <w:tcBorders>
              <w:top w:val="nil"/>
              <w:right w:val="nil"/>
            </w:tcBorders>
            <w:shd w:val="clear" w:color="auto" w:fill="FFFFFF" w:themeFill="background1"/>
            <w:tcMar>
              <w:top w:w="49" w:type="dxa"/>
              <w:left w:w="15" w:type="dxa"/>
              <w:bottom w:w="0" w:type="dxa"/>
              <w:right w:w="15" w:type="dxa"/>
            </w:tcMar>
            <w:vAlign w:val="center"/>
            <w:hideMark/>
          </w:tcPr>
          <w:p w14:paraId="4E5ABB6C" w14:textId="77777777" w:rsidR="00BC7229" w:rsidRPr="00E94CE6" w:rsidRDefault="00BC7229" w:rsidP="00B36FB4">
            <w:pPr>
              <w:spacing w:after="0"/>
              <w:rPr>
                <w:rFonts w:ascii="Garamond" w:hAnsi="Garamond"/>
                <w:bCs/>
                <w:sz w:val="20"/>
                <w:szCs w:val="20"/>
              </w:rPr>
            </w:pPr>
            <w:r w:rsidRPr="00E94CE6">
              <w:rPr>
                <w:rFonts w:ascii="Garamond" w:hAnsi="Garamond"/>
                <w:bCs/>
                <w:sz w:val="20"/>
                <w:szCs w:val="20"/>
              </w:rPr>
              <w:t xml:space="preserve">Porcentaje de indicadores que permiten medir la evolución del desarrollo nacional que se calculan con información estadística y geográfica del </w:t>
            </w:r>
            <w:proofErr w:type="spellStart"/>
            <w:r w:rsidRPr="00E94CE6">
              <w:rPr>
                <w:rFonts w:ascii="Garamond" w:hAnsi="Garamond"/>
                <w:bCs/>
                <w:smallCaps/>
                <w:sz w:val="20"/>
                <w:szCs w:val="20"/>
              </w:rPr>
              <w:t>inegi</w:t>
            </w:r>
            <w:proofErr w:type="spellEnd"/>
            <w:r w:rsidRPr="00E94CE6">
              <w:rPr>
                <w:rFonts w:ascii="Garamond" w:hAnsi="Garamond"/>
                <w:bCs/>
                <w:sz w:val="20"/>
                <w:szCs w:val="20"/>
              </w:rPr>
              <w:t>.</w:t>
            </w:r>
          </w:p>
        </w:tc>
        <w:tc>
          <w:tcPr>
            <w:tcW w:w="1420" w:type="dxa"/>
            <w:tcBorders>
              <w:top w:val="nil"/>
              <w:left w:val="nil"/>
            </w:tcBorders>
            <w:shd w:val="clear" w:color="auto" w:fill="FFFFFF" w:themeFill="background1"/>
            <w:vAlign w:val="center"/>
          </w:tcPr>
          <w:p w14:paraId="48C253A5" w14:textId="6E01B8FB" w:rsidR="00BC7229" w:rsidRPr="00E94CE6" w:rsidRDefault="00BC7229" w:rsidP="00B36FB4">
            <w:pPr>
              <w:spacing w:after="0"/>
              <w:jc w:val="center"/>
              <w:rPr>
                <w:rFonts w:ascii="Garamond" w:hAnsi="Garamond"/>
                <w:bCs/>
                <w:sz w:val="20"/>
                <w:szCs w:val="20"/>
              </w:rPr>
            </w:pPr>
            <w:r w:rsidRPr="00E94CE6">
              <w:rPr>
                <w:rFonts w:ascii="Garamond" w:hAnsi="Garamond"/>
                <w:bCs/>
                <w:sz w:val="20"/>
                <w:szCs w:val="20"/>
              </w:rPr>
              <w:t>25%</w:t>
            </w:r>
          </w:p>
        </w:tc>
      </w:tr>
      <w:tr w:rsidR="00BC7229" w:rsidRPr="00E94CE6" w14:paraId="3A5A9DB7" w14:textId="77777777" w:rsidTr="00832504">
        <w:trPr>
          <w:trHeight w:val="510"/>
          <w:jc w:val="center"/>
        </w:trPr>
        <w:tc>
          <w:tcPr>
            <w:tcW w:w="6799" w:type="dxa"/>
            <w:tcBorders>
              <w:right w:val="nil"/>
            </w:tcBorders>
            <w:shd w:val="clear" w:color="auto" w:fill="auto"/>
            <w:tcMar>
              <w:top w:w="34" w:type="dxa"/>
              <w:left w:w="15" w:type="dxa"/>
              <w:bottom w:w="0" w:type="dxa"/>
              <w:right w:w="15" w:type="dxa"/>
            </w:tcMar>
            <w:vAlign w:val="center"/>
            <w:hideMark/>
          </w:tcPr>
          <w:p w14:paraId="11749136" w14:textId="77777777" w:rsidR="00BC7229" w:rsidRPr="00E94CE6" w:rsidRDefault="00BC7229" w:rsidP="00B36FB4">
            <w:pPr>
              <w:spacing w:after="0" w:line="240" w:lineRule="auto"/>
              <w:rPr>
                <w:rFonts w:ascii="Garamond" w:hAnsi="Garamond"/>
                <w:bCs/>
                <w:sz w:val="20"/>
                <w:szCs w:val="20"/>
              </w:rPr>
            </w:pPr>
            <w:r w:rsidRPr="00E94CE6">
              <w:rPr>
                <w:rFonts w:ascii="Garamond" w:hAnsi="Garamond"/>
                <w:bCs/>
                <w:sz w:val="20"/>
                <w:szCs w:val="20"/>
              </w:rPr>
              <w:t xml:space="preserve">Porcentaje de indicadores de los </w:t>
            </w:r>
            <w:proofErr w:type="spellStart"/>
            <w:r w:rsidRPr="00134D9D">
              <w:rPr>
                <w:rFonts w:ascii="Garamond" w:hAnsi="Garamond"/>
                <w:bCs/>
                <w:smallCaps/>
                <w:sz w:val="20"/>
                <w:szCs w:val="20"/>
              </w:rPr>
              <w:t>ods</w:t>
            </w:r>
            <w:proofErr w:type="spellEnd"/>
            <w:r w:rsidRPr="00E94CE6">
              <w:rPr>
                <w:rFonts w:ascii="Garamond" w:hAnsi="Garamond"/>
                <w:bCs/>
                <w:sz w:val="20"/>
                <w:szCs w:val="20"/>
              </w:rPr>
              <w:t xml:space="preserve"> </w:t>
            </w:r>
            <w:r w:rsidRPr="00E94CE6">
              <w:rPr>
                <w:rFonts w:ascii="Garamond" w:hAnsi="Garamond"/>
                <w:sz w:val="20"/>
                <w:szCs w:val="20"/>
              </w:rPr>
              <w:t xml:space="preserve">que se calculan </w:t>
            </w:r>
            <w:r w:rsidRPr="00E94CE6">
              <w:rPr>
                <w:rFonts w:ascii="Garamond" w:hAnsi="Garamond"/>
                <w:bCs/>
                <w:sz w:val="20"/>
                <w:szCs w:val="20"/>
              </w:rPr>
              <w:t xml:space="preserve">con información estadística y geográfica del </w:t>
            </w:r>
            <w:proofErr w:type="spellStart"/>
            <w:r w:rsidRPr="00E94CE6">
              <w:rPr>
                <w:rFonts w:ascii="Garamond" w:hAnsi="Garamond"/>
                <w:bCs/>
                <w:smallCaps/>
                <w:sz w:val="20"/>
                <w:szCs w:val="20"/>
              </w:rPr>
              <w:t>inegi</w:t>
            </w:r>
            <w:proofErr w:type="spellEnd"/>
            <w:r w:rsidRPr="00E94CE6">
              <w:rPr>
                <w:rFonts w:ascii="Garamond" w:hAnsi="Garamond"/>
                <w:bCs/>
                <w:sz w:val="20"/>
                <w:szCs w:val="20"/>
              </w:rPr>
              <w:t>.</w:t>
            </w:r>
          </w:p>
        </w:tc>
        <w:tc>
          <w:tcPr>
            <w:tcW w:w="1420" w:type="dxa"/>
            <w:tcBorders>
              <w:left w:val="nil"/>
            </w:tcBorders>
            <w:shd w:val="clear" w:color="auto" w:fill="auto"/>
            <w:vAlign w:val="center"/>
          </w:tcPr>
          <w:p w14:paraId="78E312F1" w14:textId="5BFBBBB6" w:rsidR="00BC7229" w:rsidRPr="00E94CE6" w:rsidRDefault="00BC7229" w:rsidP="00B36FB4">
            <w:pPr>
              <w:spacing w:after="0"/>
              <w:jc w:val="center"/>
              <w:rPr>
                <w:rFonts w:ascii="Garamond" w:hAnsi="Garamond"/>
                <w:bCs/>
                <w:sz w:val="20"/>
                <w:szCs w:val="20"/>
              </w:rPr>
            </w:pPr>
            <w:r w:rsidRPr="00E94CE6">
              <w:rPr>
                <w:rFonts w:ascii="Garamond" w:hAnsi="Garamond"/>
                <w:bCs/>
                <w:sz w:val="20"/>
                <w:szCs w:val="20"/>
              </w:rPr>
              <w:t>7</w:t>
            </w:r>
            <w:r w:rsidR="008E1841">
              <w:rPr>
                <w:rFonts w:ascii="Garamond" w:hAnsi="Garamond"/>
                <w:bCs/>
                <w:sz w:val="20"/>
                <w:szCs w:val="20"/>
              </w:rPr>
              <w:t>5</w:t>
            </w:r>
            <w:r w:rsidRPr="00E94CE6">
              <w:rPr>
                <w:rFonts w:ascii="Garamond" w:hAnsi="Garamond"/>
                <w:bCs/>
                <w:sz w:val="20"/>
                <w:szCs w:val="20"/>
              </w:rPr>
              <w:t>%</w:t>
            </w:r>
          </w:p>
        </w:tc>
      </w:tr>
    </w:tbl>
    <w:p w14:paraId="06C8387D" w14:textId="77D9260B" w:rsidR="00A67E6A" w:rsidRPr="00E94CE6" w:rsidRDefault="00F16F3B" w:rsidP="00C04D6C">
      <w:pPr>
        <w:spacing w:before="240" w:after="60"/>
        <w:jc w:val="both"/>
        <w:rPr>
          <w:rFonts w:ascii="Garamond" w:hAnsi="Garamond"/>
        </w:rPr>
      </w:pPr>
      <w:r>
        <w:rPr>
          <w:rFonts w:ascii="Garamond" w:hAnsi="Garamond"/>
        </w:rPr>
        <w:t xml:space="preserve">Continuando </w:t>
      </w:r>
      <w:r w:rsidR="0006621F">
        <w:rPr>
          <w:rFonts w:ascii="Garamond" w:hAnsi="Garamond"/>
        </w:rPr>
        <w:t xml:space="preserve">con </w:t>
      </w:r>
      <w:r w:rsidR="00FA64A7" w:rsidRPr="00E94CE6">
        <w:rPr>
          <w:rFonts w:ascii="Garamond" w:hAnsi="Garamond"/>
        </w:rPr>
        <w:t>l</w:t>
      </w:r>
      <w:r w:rsidR="006E0D10" w:rsidRPr="00E94CE6">
        <w:rPr>
          <w:rFonts w:ascii="Garamond" w:hAnsi="Garamond"/>
        </w:rPr>
        <w:t xml:space="preserve">os indicadores de </w:t>
      </w:r>
      <w:r w:rsidR="0081502B" w:rsidRPr="00E94CE6">
        <w:rPr>
          <w:rFonts w:ascii="Garamond" w:hAnsi="Garamond"/>
        </w:rPr>
        <w:t>pertinencia</w:t>
      </w:r>
      <w:r w:rsidR="0006621F">
        <w:rPr>
          <w:rFonts w:ascii="Garamond" w:hAnsi="Garamond"/>
        </w:rPr>
        <w:t>, pero</w:t>
      </w:r>
      <w:r w:rsidR="0081502B" w:rsidRPr="00E94CE6">
        <w:rPr>
          <w:rFonts w:ascii="Garamond" w:hAnsi="Garamond"/>
        </w:rPr>
        <w:t xml:space="preserve"> desde </w:t>
      </w:r>
      <w:r w:rsidR="0006621F">
        <w:rPr>
          <w:rFonts w:ascii="Garamond" w:hAnsi="Garamond"/>
        </w:rPr>
        <w:t>la perspectiva</w:t>
      </w:r>
      <w:r w:rsidR="0081502B" w:rsidRPr="00E94CE6">
        <w:rPr>
          <w:rFonts w:ascii="Garamond" w:hAnsi="Garamond"/>
        </w:rPr>
        <w:t xml:space="preserve"> de la efectividad de la producción </w:t>
      </w:r>
      <w:r w:rsidR="001B7CC4" w:rsidRPr="00E94CE6">
        <w:rPr>
          <w:rFonts w:ascii="Garamond" w:hAnsi="Garamond"/>
        </w:rPr>
        <w:t xml:space="preserve">(ver </w:t>
      </w:r>
      <w:r w:rsidR="00863CA4" w:rsidRPr="00E94CE6">
        <w:rPr>
          <w:rFonts w:ascii="Garamond" w:hAnsi="Garamond"/>
        </w:rPr>
        <w:t>Tabla</w:t>
      </w:r>
      <w:r w:rsidR="00F15B4C" w:rsidRPr="00E94CE6">
        <w:rPr>
          <w:rFonts w:ascii="Garamond" w:hAnsi="Garamond"/>
        </w:rPr>
        <w:t xml:space="preserve"> </w:t>
      </w:r>
      <w:r w:rsidR="00863CA4" w:rsidRPr="00E94CE6">
        <w:rPr>
          <w:rFonts w:ascii="Garamond" w:hAnsi="Garamond"/>
        </w:rPr>
        <w:t>2</w:t>
      </w:r>
      <w:r w:rsidR="001B7CC4" w:rsidRPr="00E94CE6">
        <w:rPr>
          <w:rFonts w:ascii="Garamond" w:hAnsi="Garamond"/>
        </w:rPr>
        <w:t>)</w:t>
      </w:r>
      <w:r w:rsidR="006B0C86" w:rsidRPr="00E94CE6">
        <w:rPr>
          <w:rFonts w:ascii="Garamond" w:hAnsi="Garamond"/>
        </w:rPr>
        <w:t>,</w:t>
      </w:r>
      <w:r w:rsidR="00E25D98" w:rsidRPr="00E94CE6">
        <w:rPr>
          <w:rFonts w:ascii="Garamond" w:hAnsi="Garamond"/>
        </w:rPr>
        <w:t xml:space="preserve"> </w:t>
      </w:r>
      <w:r w:rsidR="00902BA5">
        <w:rPr>
          <w:rFonts w:ascii="Garamond" w:hAnsi="Garamond"/>
        </w:rPr>
        <w:t>los tipos de uso</w:t>
      </w:r>
      <w:r w:rsidR="002F16D0">
        <w:rPr>
          <w:rFonts w:ascii="Garamond" w:hAnsi="Garamond"/>
        </w:rPr>
        <w:t xml:space="preserve"> se dividen</w:t>
      </w:r>
      <w:r w:rsidR="007625B1">
        <w:rPr>
          <w:rFonts w:ascii="Garamond" w:hAnsi="Garamond"/>
        </w:rPr>
        <w:t xml:space="preserve"> </w:t>
      </w:r>
      <w:r w:rsidR="00E2786A">
        <w:rPr>
          <w:rFonts w:ascii="Garamond" w:hAnsi="Garamond"/>
        </w:rPr>
        <w:t xml:space="preserve">en </w:t>
      </w:r>
      <w:r w:rsidR="0007678B">
        <w:rPr>
          <w:rFonts w:ascii="Garamond" w:hAnsi="Garamond"/>
        </w:rPr>
        <w:t xml:space="preserve">interno y externo. En el </w:t>
      </w:r>
      <w:r w:rsidR="00FA474B">
        <w:rPr>
          <w:rFonts w:ascii="Garamond" w:hAnsi="Garamond"/>
        </w:rPr>
        <w:t>último</w:t>
      </w:r>
      <w:r w:rsidR="0007678B">
        <w:rPr>
          <w:rFonts w:ascii="Garamond" w:hAnsi="Garamond"/>
        </w:rPr>
        <w:t xml:space="preserve"> caso, </w:t>
      </w:r>
      <w:r w:rsidR="00844164">
        <w:rPr>
          <w:rFonts w:ascii="Garamond" w:hAnsi="Garamond"/>
        </w:rPr>
        <w:t>la efectividad es</w:t>
      </w:r>
      <w:r w:rsidR="0034323A">
        <w:rPr>
          <w:rFonts w:ascii="Garamond" w:hAnsi="Garamond"/>
        </w:rPr>
        <w:t>, en promedio,</w:t>
      </w:r>
      <w:r w:rsidR="00844164">
        <w:rPr>
          <w:rFonts w:ascii="Garamond" w:hAnsi="Garamond"/>
        </w:rPr>
        <w:t xml:space="preserve"> de </w:t>
      </w:r>
      <w:r w:rsidR="00772550">
        <w:rPr>
          <w:rFonts w:ascii="Garamond" w:hAnsi="Garamond"/>
        </w:rPr>
        <w:t>alrededor de 40</w:t>
      </w:r>
      <w:r w:rsidR="00451791">
        <w:rPr>
          <w:rFonts w:ascii="Garamond" w:hAnsi="Garamond"/>
        </w:rPr>
        <w:t xml:space="preserve">% </w:t>
      </w:r>
      <w:r w:rsidR="0034323A">
        <w:rPr>
          <w:rFonts w:ascii="Garamond" w:hAnsi="Garamond"/>
        </w:rPr>
        <w:t xml:space="preserve">tanto </w:t>
      </w:r>
      <w:r w:rsidR="007C0F8C">
        <w:rPr>
          <w:rFonts w:ascii="Garamond" w:hAnsi="Garamond"/>
        </w:rPr>
        <w:t xml:space="preserve">en atención a </w:t>
      </w:r>
      <w:r w:rsidR="00A55903">
        <w:rPr>
          <w:rFonts w:ascii="Garamond" w:hAnsi="Garamond"/>
        </w:rPr>
        <w:t>disposiciones legales</w:t>
      </w:r>
      <w:r w:rsidR="00896ACA">
        <w:rPr>
          <w:rFonts w:ascii="Garamond" w:hAnsi="Garamond"/>
        </w:rPr>
        <w:t xml:space="preserve"> como </w:t>
      </w:r>
      <w:r w:rsidR="0034323A">
        <w:rPr>
          <w:rFonts w:ascii="Garamond" w:hAnsi="Garamond"/>
        </w:rPr>
        <w:t xml:space="preserve">en </w:t>
      </w:r>
      <w:r w:rsidR="007C0F8C">
        <w:rPr>
          <w:rFonts w:ascii="Garamond" w:hAnsi="Garamond"/>
        </w:rPr>
        <w:t>medición del desarrollo nacional</w:t>
      </w:r>
      <w:r w:rsidR="00ED3D43">
        <w:rPr>
          <w:rFonts w:ascii="Garamond" w:hAnsi="Garamond"/>
        </w:rPr>
        <w:t>.</w:t>
      </w:r>
      <w:r w:rsidR="008E3EAD">
        <w:rPr>
          <w:rFonts w:ascii="Garamond" w:hAnsi="Garamond"/>
        </w:rPr>
        <w:t xml:space="preserve"> </w:t>
      </w:r>
      <w:r w:rsidR="00A318AD" w:rsidRPr="00E94CE6">
        <w:rPr>
          <w:rFonts w:ascii="Garamond" w:hAnsi="Garamond"/>
        </w:rPr>
        <w:t xml:space="preserve">Por otro lado, se observa </w:t>
      </w:r>
      <w:r w:rsidR="007D093B">
        <w:rPr>
          <w:rFonts w:ascii="Garamond" w:hAnsi="Garamond"/>
        </w:rPr>
        <w:t xml:space="preserve">un </w:t>
      </w:r>
      <w:r w:rsidR="0015461A">
        <w:rPr>
          <w:rFonts w:ascii="Garamond" w:hAnsi="Garamond"/>
        </w:rPr>
        <w:t xml:space="preserve">porcentaje relativamente </w:t>
      </w:r>
      <w:r w:rsidR="00CA15DC">
        <w:rPr>
          <w:rFonts w:ascii="Garamond" w:hAnsi="Garamond"/>
        </w:rPr>
        <w:t>bajo</w:t>
      </w:r>
      <w:r w:rsidR="00A318AD" w:rsidRPr="00E94CE6">
        <w:rPr>
          <w:rFonts w:ascii="Garamond" w:hAnsi="Garamond"/>
        </w:rPr>
        <w:t xml:space="preserve"> de </w:t>
      </w:r>
      <w:r w:rsidR="00A318AD" w:rsidRPr="00327B4D">
        <w:rPr>
          <w:rFonts w:ascii="Garamond" w:hAnsi="Garamond"/>
        </w:rPr>
        <w:t xml:space="preserve">programas </w:t>
      </w:r>
      <w:r w:rsidR="00D21159" w:rsidRPr="00327B4D">
        <w:rPr>
          <w:rFonts w:ascii="Garamond" w:hAnsi="Garamond"/>
        </w:rPr>
        <w:t>de información</w:t>
      </w:r>
      <w:r w:rsidR="00D21159" w:rsidRPr="00E94CE6">
        <w:rPr>
          <w:rFonts w:ascii="Garamond" w:hAnsi="Garamond"/>
        </w:rPr>
        <w:t xml:space="preserve"> consultados en el laboratorio de microdatos</w:t>
      </w:r>
      <w:r w:rsidR="00A25084" w:rsidRPr="00E94CE6">
        <w:rPr>
          <w:rFonts w:ascii="Garamond" w:hAnsi="Garamond"/>
        </w:rPr>
        <w:t xml:space="preserve">, debido a </w:t>
      </w:r>
      <w:r w:rsidR="004033EE">
        <w:rPr>
          <w:rFonts w:ascii="Garamond" w:hAnsi="Garamond"/>
        </w:rPr>
        <w:t xml:space="preserve">una concentración </w:t>
      </w:r>
      <w:r w:rsidR="003D2FB3">
        <w:rPr>
          <w:rFonts w:ascii="Garamond" w:hAnsi="Garamond"/>
        </w:rPr>
        <w:t xml:space="preserve">de </w:t>
      </w:r>
      <w:r w:rsidR="00F94F0F" w:rsidRPr="00E94CE6">
        <w:rPr>
          <w:rFonts w:ascii="Garamond" w:hAnsi="Garamond"/>
        </w:rPr>
        <w:t>solicitudes</w:t>
      </w:r>
      <w:r w:rsidR="003D2FB3">
        <w:rPr>
          <w:rFonts w:ascii="Garamond" w:hAnsi="Garamond"/>
        </w:rPr>
        <w:t xml:space="preserve"> </w:t>
      </w:r>
      <w:r w:rsidR="00F94F0F" w:rsidRPr="00E94CE6">
        <w:rPr>
          <w:rFonts w:ascii="Garamond" w:hAnsi="Garamond"/>
        </w:rPr>
        <w:t xml:space="preserve">en </w:t>
      </w:r>
      <w:r w:rsidR="003D2FB3">
        <w:rPr>
          <w:rFonts w:ascii="Garamond" w:hAnsi="Garamond"/>
        </w:rPr>
        <w:t xml:space="preserve">el </w:t>
      </w:r>
      <w:r w:rsidR="003D2FB3">
        <w:rPr>
          <w:rFonts w:ascii="Garamond" w:hAnsi="Garamond"/>
        </w:rPr>
        <w:lastRenderedPageBreak/>
        <w:t>último ciclo de los</w:t>
      </w:r>
      <w:r w:rsidR="007F6625" w:rsidRPr="00E94CE6">
        <w:rPr>
          <w:rFonts w:ascii="Garamond" w:hAnsi="Garamond"/>
        </w:rPr>
        <w:t xml:space="preserve"> </w:t>
      </w:r>
      <w:r w:rsidR="006B22C6" w:rsidRPr="00E94CE6">
        <w:rPr>
          <w:rFonts w:ascii="Garamond" w:hAnsi="Garamond"/>
        </w:rPr>
        <w:t>C</w:t>
      </w:r>
      <w:r w:rsidR="007F6625" w:rsidRPr="00E94CE6">
        <w:rPr>
          <w:rFonts w:ascii="Garamond" w:hAnsi="Garamond"/>
        </w:rPr>
        <w:t xml:space="preserve">ensos </w:t>
      </w:r>
      <w:r w:rsidR="006B22C6" w:rsidRPr="00E94CE6">
        <w:rPr>
          <w:rFonts w:ascii="Garamond" w:hAnsi="Garamond"/>
        </w:rPr>
        <w:t>E</w:t>
      </w:r>
      <w:r w:rsidR="007F6625" w:rsidRPr="00E94CE6">
        <w:rPr>
          <w:rFonts w:ascii="Garamond" w:hAnsi="Garamond"/>
        </w:rPr>
        <w:t>conómicos</w:t>
      </w:r>
      <w:r w:rsidR="00D21159" w:rsidRPr="00E94CE6">
        <w:rPr>
          <w:rFonts w:ascii="Garamond" w:hAnsi="Garamond"/>
        </w:rPr>
        <w:t>.</w:t>
      </w:r>
      <w:r w:rsidR="00D63A49">
        <w:rPr>
          <w:rFonts w:ascii="Garamond" w:hAnsi="Garamond"/>
        </w:rPr>
        <w:t xml:space="preserve"> </w:t>
      </w:r>
      <w:r w:rsidR="005D731B">
        <w:rPr>
          <w:rFonts w:ascii="Garamond" w:hAnsi="Garamond"/>
        </w:rPr>
        <w:t>Finalmente, en el caso de l</w:t>
      </w:r>
      <w:r w:rsidR="00B7766F">
        <w:rPr>
          <w:rFonts w:ascii="Garamond" w:hAnsi="Garamond"/>
        </w:rPr>
        <w:t xml:space="preserve">os tipos de uso interno, </w:t>
      </w:r>
      <w:r w:rsidR="00DD216F">
        <w:rPr>
          <w:rFonts w:ascii="Garamond" w:hAnsi="Garamond"/>
        </w:rPr>
        <w:t xml:space="preserve">cabe </w:t>
      </w:r>
      <w:r w:rsidR="00D83C62">
        <w:rPr>
          <w:rFonts w:ascii="Garamond" w:hAnsi="Garamond"/>
        </w:rPr>
        <w:t xml:space="preserve">verificar la pertinencia del indicador sobre uso exclusivo para otros programas de información del </w:t>
      </w:r>
      <w:proofErr w:type="spellStart"/>
      <w:r w:rsidR="00D83C62" w:rsidRPr="00D83C62">
        <w:rPr>
          <w:rFonts w:ascii="Garamond" w:hAnsi="Garamond"/>
          <w:smallCaps/>
        </w:rPr>
        <w:t>inegi</w:t>
      </w:r>
      <w:proofErr w:type="spellEnd"/>
      <w:r w:rsidR="00D83C62">
        <w:rPr>
          <w:rFonts w:ascii="Garamond" w:hAnsi="Garamond"/>
        </w:rPr>
        <w:t>.</w:t>
      </w:r>
    </w:p>
    <w:p w14:paraId="3F7CB4EE" w14:textId="00B4BECC" w:rsidR="007F220A" w:rsidRPr="00E94CE6" w:rsidRDefault="00863CA4" w:rsidP="00A0106C">
      <w:pPr>
        <w:spacing w:before="240" w:after="0"/>
        <w:jc w:val="center"/>
        <w:rPr>
          <w:rFonts w:ascii="Garamond" w:hAnsi="Garamond"/>
          <w:b/>
        </w:rPr>
      </w:pPr>
      <w:r w:rsidRPr="00E94CE6">
        <w:rPr>
          <w:rFonts w:ascii="Garamond" w:hAnsi="Garamond"/>
          <w:b/>
        </w:rPr>
        <w:t>Tabla 2</w:t>
      </w:r>
      <w:r w:rsidR="00BD63C8" w:rsidRPr="00E94CE6">
        <w:rPr>
          <w:rFonts w:ascii="Garamond" w:hAnsi="Garamond"/>
          <w:b/>
        </w:rPr>
        <w:t>.</w:t>
      </w:r>
      <w:r w:rsidR="007F220A" w:rsidRPr="00E94CE6">
        <w:rPr>
          <w:rFonts w:ascii="Garamond" w:hAnsi="Garamond"/>
          <w:b/>
        </w:rPr>
        <w:t xml:space="preserve"> Porcentaje de </w:t>
      </w:r>
      <w:r w:rsidR="00BD63C8" w:rsidRPr="00E94CE6">
        <w:rPr>
          <w:rFonts w:ascii="Garamond" w:hAnsi="Garamond"/>
          <w:b/>
        </w:rPr>
        <w:t>programas</w:t>
      </w:r>
      <w:r w:rsidR="00D21159" w:rsidRPr="00E94CE6">
        <w:rPr>
          <w:rFonts w:ascii="Garamond" w:hAnsi="Garamond"/>
          <w:b/>
        </w:rPr>
        <w:t xml:space="preserve"> de información</w:t>
      </w:r>
      <w:r w:rsidR="00BD63C8" w:rsidRPr="00E94CE6">
        <w:rPr>
          <w:rFonts w:ascii="Garamond" w:hAnsi="Garamond"/>
          <w:b/>
        </w:rPr>
        <w:t xml:space="preserve"> por tipo de uso</w:t>
      </w:r>
      <w:r w:rsidR="007F220A" w:rsidRPr="00E94CE6">
        <w:rPr>
          <w:rFonts w:ascii="Garamond" w:hAnsi="Garamond"/>
          <w:b/>
        </w:rPr>
        <w:t xml:space="preserve"> (</w:t>
      </w:r>
      <w:r w:rsidR="00BD63C8" w:rsidRPr="00E94CE6">
        <w:rPr>
          <w:rFonts w:ascii="Garamond" w:hAnsi="Garamond"/>
          <w:b/>
        </w:rPr>
        <w:t>efectividad de la producción</w:t>
      </w:r>
      <w:r w:rsidR="007F220A" w:rsidRPr="00E94CE6">
        <w:rPr>
          <w:rFonts w:ascii="Garamond" w:hAnsi="Garamond"/>
          <w:b/>
        </w:rPr>
        <w:t>)</w:t>
      </w:r>
      <w:r w:rsidR="00BB4FDF">
        <w:rPr>
          <w:rStyle w:val="Refdenotaalpie"/>
          <w:rFonts w:ascii="Garamond" w:hAnsi="Garamond"/>
          <w:b/>
        </w:rPr>
        <w:footnoteReference w:id="5"/>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21"/>
        <w:gridCol w:w="2126"/>
        <w:gridCol w:w="5386"/>
        <w:gridCol w:w="851"/>
      </w:tblGrid>
      <w:tr w:rsidR="0052391C" w:rsidRPr="00E94CE6" w14:paraId="1FB8558C" w14:textId="77777777" w:rsidTr="00832504">
        <w:trPr>
          <w:trHeight w:val="425"/>
          <w:jc w:val="center"/>
        </w:trPr>
        <w:tc>
          <w:tcPr>
            <w:tcW w:w="7933" w:type="dxa"/>
            <w:gridSpan w:val="3"/>
            <w:tcBorders>
              <w:bottom w:val="nil"/>
              <w:right w:val="nil"/>
            </w:tcBorders>
            <w:shd w:val="clear" w:color="auto" w:fill="002060"/>
            <w:vAlign w:val="center"/>
          </w:tcPr>
          <w:p w14:paraId="6172C67C" w14:textId="77777777" w:rsidR="0052391C" w:rsidRPr="00E94CE6" w:rsidRDefault="0052391C" w:rsidP="00B36FB4">
            <w:pPr>
              <w:jc w:val="center"/>
              <w:rPr>
                <w:rFonts w:ascii="Garamond" w:hAnsi="Garamond"/>
                <w:b/>
                <w:sz w:val="20"/>
                <w:szCs w:val="20"/>
              </w:rPr>
            </w:pPr>
            <w:r w:rsidRPr="00E94CE6">
              <w:rPr>
                <w:rFonts w:ascii="Garamond" w:hAnsi="Garamond"/>
                <w:b/>
                <w:color w:val="FFFFFF" w:themeColor="background1"/>
                <w:sz w:val="20"/>
                <w:szCs w:val="20"/>
              </w:rPr>
              <w:t>Tipo de uso</w:t>
            </w:r>
          </w:p>
        </w:tc>
        <w:tc>
          <w:tcPr>
            <w:tcW w:w="851" w:type="dxa"/>
            <w:tcBorders>
              <w:left w:val="nil"/>
              <w:bottom w:val="nil"/>
            </w:tcBorders>
            <w:shd w:val="clear" w:color="auto" w:fill="002060"/>
            <w:vAlign w:val="center"/>
          </w:tcPr>
          <w:p w14:paraId="6F3D5A26" w14:textId="77777777" w:rsidR="0052391C" w:rsidRPr="00E94CE6" w:rsidRDefault="0052391C" w:rsidP="00B36FB4">
            <w:pPr>
              <w:jc w:val="center"/>
              <w:rPr>
                <w:rFonts w:ascii="Garamond" w:hAnsi="Garamond"/>
                <w:b/>
                <w:color w:val="FFFFFF" w:themeColor="background1"/>
                <w:sz w:val="20"/>
                <w:szCs w:val="20"/>
              </w:rPr>
            </w:pPr>
            <w:r w:rsidRPr="00E94CE6">
              <w:rPr>
                <w:rFonts w:ascii="Garamond" w:hAnsi="Garamond"/>
                <w:b/>
                <w:color w:val="FFFFFF" w:themeColor="background1"/>
                <w:sz w:val="20"/>
                <w:szCs w:val="20"/>
              </w:rPr>
              <w:t>2023</w:t>
            </w:r>
          </w:p>
        </w:tc>
      </w:tr>
      <w:tr w:rsidR="0052391C" w:rsidRPr="00E94CE6" w14:paraId="1A89B068" w14:textId="77777777" w:rsidTr="00EF5F88">
        <w:trPr>
          <w:cantSplit/>
          <w:trHeight w:val="510"/>
          <w:jc w:val="center"/>
        </w:trPr>
        <w:tc>
          <w:tcPr>
            <w:tcW w:w="421" w:type="dxa"/>
            <w:vMerge w:val="restart"/>
            <w:tcBorders>
              <w:top w:val="nil"/>
              <w:left w:val="nil"/>
              <w:right w:val="nil"/>
            </w:tcBorders>
            <w:shd w:val="clear" w:color="auto" w:fill="FFFFFF" w:themeFill="background1"/>
            <w:textDirection w:val="btLr"/>
          </w:tcPr>
          <w:p w14:paraId="7DB6AB81" w14:textId="77777777" w:rsidR="0052391C" w:rsidRPr="00E94CE6" w:rsidRDefault="0052391C" w:rsidP="00B36FB4">
            <w:pPr>
              <w:ind w:left="113" w:right="113"/>
              <w:jc w:val="center"/>
              <w:rPr>
                <w:rFonts w:ascii="Garamond" w:hAnsi="Garamond"/>
                <w:sz w:val="20"/>
                <w:szCs w:val="20"/>
              </w:rPr>
            </w:pPr>
            <w:r w:rsidRPr="00E94CE6">
              <w:rPr>
                <w:rFonts w:ascii="Garamond" w:hAnsi="Garamond"/>
                <w:sz w:val="20"/>
                <w:szCs w:val="20"/>
              </w:rPr>
              <w:t>Interno</w:t>
            </w:r>
          </w:p>
        </w:tc>
        <w:tc>
          <w:tcPr>
            <w:tcW w:w="2126" w:type="dxa"/>
            <w:vMerge w:val="restart"/>
            <w:tcBorders>
              <w:top w:val="nil"/>
              <w:left w:val="nil"/>
              <w:right w:val="nil"/>
            </w:tcBorders>
            <w:shd w:val="clear" w:color="auto" w:fill="FFFFFF" w:themeFill="background1"/>
            <w:vAlign w:val="center"/>
          </w:tcPr>
          <w:p w14:paraId="63DE7749" w14:textId="77777777" w:rsidR="0052391C" w:rsidRPr="00E94CE6" w:rsidRDefault="0052391C" w:rsidP="00B36FB4">
            <w:pPr>
              <w:jc w:val="center"/>
              <w:rPr>
                <w:rFonts w:ascii="Garamond" w:hAnsi="Garamond"/>
                <w:sz w:val="20"/>
                <w:szCs w:val="20"/>
              </w:rPr>
            </w:pPr>
            <w:r w:rsidRPr="00E94CE6">
              <w:rPr>
                <w:rFonts w:ascii="Garamond" w:hAnsi="Garamond"/>
                <w:bCs/>
                <w:sz w:val="20"/>
                <w:szCs w:val="20"/>
              </w:rPr>
              <w:t xml:space="preserve">Insumo de otros programas del </w:t>
            </w:r>
            <w:proofErr w:type="spellStart"/>
            <w:r w:rsidRPr="00E94CE6">
              <w:rPr>
                <w:rFonts w:ascii="Garamond" w:hAnsi="Garamond"/>
                <w:bCs/>
                <w:smallCaps/>
                <w:sz w:val="20"/>
                <w:szCs w:val="20"/>
              </w:rPr>
              <w:t>inegi</w:t>
            </w:r>
            <w:proofErr w:type="spellEnd"/>
          </w:p>
        </w:tc>
        <w:tc>
          <w:tcPr>
            <w:tcW w:w="5386" w:type="dxa"/>
            <w:tcBorders>
              <w:top w:val="nil"/>
              <w:left w:val="nil"/>
              <w:right w:val="nil"/>
            </w:tcBorders>
            <w:shd w:val="clear" w:color="auto" w:fill="FFFFFF" w:themeFill="background1"/>
            <w:vAlign w:val="center"/>
          </w:tcPr>
          <w:p w14:paraId="68931C6F" w14:textId="77777777" w:rsidR="0052391C" w:rsidRPr="00E94CE6" w:rsidRDefault="0052391C" w:rsidP="00EB0685">
            <w:pPr>
              <w:rPr>
                <w:rFonts w:ascii="Garamond" w:hAnsi="Garamond"/>
                <w:sz w:val="20"/>
                <w:szCs w:val="20"/>
              </w:rPr>
            </w:pPr>
            <w:r w:rsidRPr="00E94CE6">
              <w:rPr>
                <w:rFonts w:ascii="Garamond" w:hAnsi="Garamond"/>
                <w:bCs/>
                <w:sz w:val="20"/>
                <w:szCs w:val="20"/>
              </w:rPr>
              <w:t xml:space="preserve">Uso exclusivo para otros programas del </w:t>
            </w:r>
            <w:proofErr w:type="spellStart"/>
            <w:r w:rsidRPr="00E94CE6">
              <w:rPr>
                <w:rFonts w:ascii="Garamond" w:hAnsi="Garamond"/>
                <w:bCs/>
                <w:smallCaps/>
                <w:sz w:val="20"/>
                <w:szCs w:val="20"/>
              </w:rPr>
              <w:t>inegi</w:t>
            </w:r>
            <w:proofErr w:type="spellEnd"/>
          </w:p>
        </w:tc>
        <w:tc>
          <w:tcPr>
            <w:tcW w:w="851" w:type="dxa"/>
            <w:tcBorders>
              <w:top w:val="nil"/>
              <w:left w:val="nil"/>
              <w:right w:val="nil"/>
            </w:tcBorders>
            <w:shd w:val="clear" w:color="auto" w:fill="FFFFFF" w:themeFill="background1"/>
            <w:vAlign w:val="center"/>
          </w:tcPr>
          <w:p w14:paraId="6FE0B4EC"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0%</w:t>
            </w:r>
          </w:p>
        </w:tc>
      </w:tr>
      <w:tr w:rsidR="0052391C" w:rsidRPr="00E94CE6" w14:paraId="42699056" w14:textId="77777777" w:rsidTr="00EF5F88">
        <w:trPr>
          <w:cantSplit/>
          <w:trHeight w:val="510"/>
          <w:jc w:val="center"/>
        </w:trPr>
        <w:tc>
          <w:tcPr>
            <w:tcW w:w="421" w:type="dxa"/>
            <w:vMerge/>
            <w:tcBorders>
              <w:left w:val="nil"/>
              <w:right w:val="nil"/>
            </w:tcBorders>
            <w:shd w:val="clear" w:color="auto" w:fill="FFFFFF" w:themeFill="background1"/>
          </w:tcPr>
          <w:p w14:paraId="2F414433" w14:textId="77777777" w:rsidR="0052391C" w:rsidRPr="00E94CE6" w:rsidRDefault="0052391C" w:rsidP="00B36FB4">
            <w:pPr>
              <w:jc w:val="center"/>
              <w:rPr>
                <w:rFonts w:ascii="Garamond" w:hAnsi="Garamond"/>
                <w:sz w:val="20"/>
                <w:szCs w:val="20"/>
              </w:rPr>
            </w:pPr>
          </w:p>
        </w:tc>
        <w:tc>
          <w:tcPr>
            <w:tcW w:w="2126" w:type="dxa"/>
            <w:vMerge/>
            <w:tcBorders>
              <w:left w:val="nil"/>
              <w:right w:val="nil"/>
            </w:tcBorders>
            <w:shd w:val="clear" w:color="auto" w:fill="FFFFFF" w:themeFill="background1"/>
            <w:vAlign w:val="center"/>
          </w:tcPr>
          <w:p w14:paraId="75E217C4"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FFFFFF" w:themeFill="background1"/>
            <w:vAlign w:val="center"/>
          </w:tcPr>
          <w:p w14:paraId="7DB69FBA" w14:textId="77777777" w:rsidR="0052391C" w:rsidRPr="00E94CE6" w:rsidRDefault="0052391C" w:rsidP="00EB0685">
            <w:pPr>
              <w:rPr>
                <w:rFonts w:ascii="Garamond" w:hAnsi="Garamond"/>
                <w:sz w:val="20"/>
                <w:szCs w:val="20"/>
              </w:rPr>
            </w:pPr>
            <w:r w:rsidRPr="00E94CE6">
              <w:rPr>
                <w:rFonts w:ascii="Garamond" w:hAnsi="Garamond"/>
                <w:bCs/>
                <w:sz w:val="20"/>
                <w:szCs w:val="20"/>
              </w:rPr>
              <w:t>Uso como insumo de otros programas y en algún otro uso</w:t>
            </w:r>
          </w:p>
        </w:tc>
        <w:tc>
          <w:tcPr>
            <w:tcW w:w="851" w:type="dxa"/>
            <w:tcBorders>
              <w:left w:val="nil"/>
              <w:right w:val="nil"/>
            </w:tcBorders>
            <w:shd w:val="clear" w:color="auto" w:fill="FFFFFF" w:themeFill="background1"/>
            <w:vAlign w:val="center"/>
          </w:tcPr>
          <w:p w14:paraId="6841E135"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47%</w:t>
            </w:r>
          </w:p>
        </w:tc>
      </w:tr>
      <w:tr w:rsidR="0052391C" w:rsidRPr="00E94CE6" w14:paraId="02540CEC" w14:textId="77777777" w:rsidTr="00EF5F88">
        <w:trPr>
          <w:cantSplit/>
          <w:trHeight w:val="510"/>
          <w:jc w:val="center"/>
        </w:trPr>
        <w:tc>
          <w:tcPr>
            <w:tcW w:w="421" w:type="dxa"/>
            <w:vMerge w:val="restart"/>
            <w:tcBorders>
              <w:left w:val="nil"/>
              <w:right w:val="nil"/>
            </w:tcBorders>
            <w:shd w:val="clear" w:color="auto" w:fill="auto"/>
            <w:textDirection w:val="btLr"/>
          </w:tcPr>
          <w:p w14:paraId="66D3042A" w14:textId="77777777" w:rsidR="0052391C" w:rsidRPr="00E94CE6" w:rsidRDefault="0052391C" w:rsidP="00B36FB4">
            <w:pPr>
              <w:ind w:left="113" w:right="113"/>
              <w:jc w:val="center"/>
              <w:rPr>
                <w:rFonts w:ascii="Garamond" w:hAnsi="Garamond"/>
                <w:sz w:val="20"/>
                <w:szCs w:val="20"/>
              </w:rPr>
            </w:pPr>
            <w:r w:rsidRPr="00E94CE6">
              <w:rPr>
                <w:rFonts w:ascii="Garamond" w:hAnsi="Garamond"/>
                <w:sz w:val="20"/>
                <w:szCs w:val="20"/>
              </w:rPr>
              <w:t>Externo</w:t>
            </w:r>
          </w:p>
        </w:tc>
        <w:tc>
          <w:tcPr>
            <w:tcW w:w="2126" w:type="dxa"/>
            <w:vMerge w:val="restart"/>
            <w:tcBorders>
              <w:left w:val="nil"/>
              <w:right w:val="nil"/>
            </w:tcBorders>
            <w:shd w:val="clear" w:color="auto" w:fill="auto"/>
            <w:vAlign w:val="center"/>
          </w:tcPr>
          <w:p w14:paraId="48539FB1" w14:textId="77777777" w:rsidR="0052391C" w:rsidRPr="00E94CE6" w:rsidRDefault="0052391C" w:rsidP="00B36FB4">
            <w:pPr>
              <w:jc w:val="center"/>
              <w:rPr>
                <w:rFonts w:ascii="Garamond" w:hAnsi="Garamond"/>
                <w:sz w:val="20"/>
                <w:szCs w:val="20"/>
              </w:rPr>
            </w:pPr>
            <w:r w:rsidRPr="00E94CE6">
              <w:rPr>
                <w:rFonts w:ascii="Garamond" w:hAnsi="Garamond"/>
                <w:sz w:val="20"/>
                <w:szCs w:val="20"/>
              </w:rPr>
              <w:t>Atención a disposiciones legales</w:t>
            </w:r>
          </w:p>
        </w:tc>
        <w:tc>
          <w:tcPr>
            <w:tcW w:w="5386" w:type="dxa"/>
            <w:tcBorders>
              <w:left w:val="nil"/>
              <w:right w:val="nil"/>
            </w:tcBorders>
            <w:shd w:val="clear" w:color="auto" w:fill="auto"/>
            <w:vAlign w:val="center"/>
          </w:tcPr>
          <w:p w14:paraId="4B221A5F" w14:textId="77777777" w:rsidR="0052391C" w:rsidRPr="00E94CE6" w:rsidRDefault="0052391C" w:rsidP="00EB0685">
            <w:pPr>
              <w:rPr>
                <w:rFonts w:ascii="Garamond" w:hAnsi="Garamond"/>
                <w:sz w:val="20"/>
                <w:szCs w:val="20"/>
              </w:rPr>
            </w:pPr>
            <w:r w:rsidRPr="00E94CE6">
              <w:rPr>
                <w:rFonts w:ascii="Garamond" w:hAnsi="Garamond"/>
                <w:sz w:val="20"/>
                <w:szCs w:val="20"/>
              </w:rPr>
              <w:t>Atienden las disposiciones en la Constitución y Leyes Nacionales</w:t>
            </w:r>
          </w:p>
        </w:tc>
        <w:tc>
          <w:tcPr>
            <w:tcW w:w="851" w:type="dxa"/>
            <w:tcBorders>
              <w:left w:val="nil"/>
              <w:right w:val="nil"/>
            </w:tcBorders>
            <w:shd w:val="clear" w:color="auto" w:fill="auto"/>
            <w:vAlign w:val="center"/>
          </w:tcPr>
          <w:p w14:paraId="1E176395"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40%</w:t>
            </w:r>
          </w:p>
        </w:tc>
      </w:tr>
      <w:tr w:rsidR="0052391C" w:rsidRPr="00E94CE6" w14:paraId="146D1708" w14:textId="77777777" w:rsidTr="00EF5F88">
        <w:trPr>
          <w:cantSplit/>
          <w:trHeight w:val="510"/>
          <w:jc w:val="center"/>
        </w:trPr>
        <w:tc>
          <w:tcPr>
            <w:tcW w:w="421" w:type="dxa"/>
            <w:vMerge/>
            <w:tcBorders>
              <w:left w:val="nil"/>
              <w:right w:val="nil"/>
            </w:tcBorders>
            <w:shd w:val="clear" w:color="auto" w:fill="auto"/>
          </w:tcPr>
          <w:p w14:paraId="6D805947" w14:textId="77777777" w:rsidR="0052391C" w:rsidRPr="00E94CE6" w:rsidRDefault="0052391C" w:rsidP="00B36FB4">
            <w:pPr>
              <w:jc w:val="both"/>
              <w:rPr>
                <w:rFonts w:ascii="Garamond" w:hAnsi="Garamond"/>
                <w:sz w:val="20"/>
                <w:szCs w:val="20"/>
              </w:rPr>
            </w:pPr>
          </w:p>
        </w:tc>
        <w:tc>
          <w:tcPr>
            <w:tcW w:w="2126" w:type="dxa"/>
            <w:vMerge/>
            <w:tcBorders>
              <w:left w:val="nil"/>
              <w:right w:val="nil"/>
            </w:tcBorders>
            <w:shd w:val="clear" w:color="auto" w:fill="auto"/>
            <w:vAlign w:val="center"/>
          </w:tcPr>
          <w:p w14:paraId="6FEDE4B1"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auto"/>
            <w:vAlign w:val="center"/>
          </w:tcPr>
          <w:p w14:paraId="146B3A70" w14:textId="77777777" w:rsidR="0052391C" w:rsidRPr="00E94CE6" w:rsidRDefault="0052391C" w:rsidP="00EB0685">
            <w:pPr>
              <w:rPr>
                <w:rFonts w:ascii="Garamond" w:hAnsi="Garamond"/>
                <w:sz w:val="20"/>
                <w:szCs w:val="20"/>
              </w:rPr>
            </w:pPr>
            <w:r w:rsidRPr="00E94CE6">
              <w:rPr>
                <w:rFonts w:ascii="Garamond" w:hAnsi="Garamond"/>
                <w:sz w:val="20"/>
                <w:szCs w:val="20"/>
              </w:rPr>
              <w:t>Atienden las disposiciones en Tratados Internacionales</w:t>
            </w:r>
          </w:p>
        </w:tc>
        <w:tc>
          <w:tcPr>
            <w:tcW w:w="851" w:type="dxa"/>
            <w:tcBorders>
              <w:left w:val="nil"/>
              <w:right w:val="nil"/>
            </w:tcBorders>
            <w:shd w:val="clear" w:color="auto" w:fill="auto"/>
            <w:vAlign w:val="center"/>
          </w:tcPr>
          <w:p w14:paraId="29FE1B61"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43%</w:t>
            </w:r>
          </w:p>
        </w:tc>
      </w:tr>
      <w:tr w:rsidR="0052391C" w:rsidRPr="00E94CE6" w14:paraId="1E3E9BCF" w14:textId="77777777" w:rsidTr="00EF5F88">
        <w:trPr>
          <w:cantSplit/>
          <w:trHeight w:val="510"/>
          <w:jc w:val="center"/>
        </w:trPr>
        <w:tc>
          <w:tcPr>
            <w:tcW w:w="421" w:type="dxa"/>
            <w:vMerge/>
            <w:tcBorders>
              <w:left w:val="nil"/>
              <w:right w:val="nil"/>
            </w:tcBorders>
            <w:shd w:val="clear" w:color="auto" w:fill="auto"/>
          </w:tcPr>
          <w:p w14:paraId="381949A0" w14:textId="77777777" w:rsidR="0052391C" w:rsidRPr="00E94CE6" w:rsidRDefault="0052391C" w:rsidP="00B36FB4">
            <w:pPr>
              <w:jc w:val="both"/>
              <w:rPr>
                <w:rFonts w:ascii="Garamond" w:hAnsi="Garamond"/>
                <w:sz w:val="20"/>
                <w:szCs w:val="20"/>
              </w:rPr>
            </w:pPr>
          </w:p>
        </w:tc>
        <w:tc>
          <w:tcPr>
            <w:tcW w:w="2126" w:type="dxa"/>
            <w:vMerge w:val="restart"/>
            <w:tcBorders>
              <w:left w:val="nil"/>
              <w:right w:val="nil"/>
            </w:tcBorders>
            <w:shd w:val="clear" w:color="auto" w:fill="auto"/>
            <w:vAlign w:val="center"/>
          </w:tcPr>
          <w:p w14:paraId="3D2A500C" w14:textId="77777777" w:rsidR="0052391C" w:rsidRPr="00E94CE6" w:rsidRDefault="0052391C" w:rsidP="00B36FB4">
            <w:pPr>
              <w:jc w:val="center"/>
              <w:rPr>
                <w:rFonts w:ascii="Garamond" w:hAnsi="Garamond"/>
                <w:sz w:val="20"/>
                <w:szCs w:val="20"/>
              </w:rPr>
            </w:pPr>
            <w:r w:rsidRPr="00E94CE6">
              <w:rPr>
                <w:rFonts w:ascii="Garamond" w:hAnsi="Garamond"/>
                <w:sz w:val="20"/>
                <w:szCs w:val="20"/>
              </w:rPr>
              <w:t>Uso en la medición del desarrollo nacional</w:t>
            </w:r>
          </w:p>
        </w:tc>
        <w:tc>
          <w:tcPr>
            <w:tcW w:w="5386" w:type="dxa"/>
            <w:tcBorders>
              <w:left w:val="nil"/>
              <w:right w:val="nil"/>
            </w:tcBorders>
            <w:shd w:val="clear" w:color="auto" w:fill="auto"/>
            <w:vAlign w:val="center"/>
          </w:tcPr>
          <w:p w14:paraId="1B4DBCCB" w14:textId="77777777" w:rsidR="0052391C" w:rsidRPr="00E94CE6" w:rsidRDefault="0052391C" w:rsidP="00EB0685">
            <w:pPr>
              <w:rPr>
                <w:rFonts w:ascii="Garamond" w:hAnsi="Garamond"/>
                <w:sz w:val="20"/>
                <w:szCs w:val="20"/>
              </w:rPr>
            </w:pPr>
            <w:r w:rsidRPr="00E94CE6">
              <w:rPr>
                <w:rFonts w:ascii="Garamond" w:hAnsi="Garamond"/>
                <w:sz w:val="20"/>
                <w:szCs w:val="20"/>
              </w:rPr>
              <w:t xml:space="preserve">Cálculo de </w:t>
            </w:r>
            <w:r>
              <w:rPr>
                <w:rFonts w:ascii="Garamond" w:hAnsi="Garamond"/>
                <w:sz w:val="20"/>
                <w:szCs w:val="20"/>
              </w:rPr>
              <w:t>i</w:t>
            </w:r>
            <w:r w:rsidRPr="00E94CE6">
              <w:rPr>
                <w:rFonts w:ascii="Garamond" w:hAnsi="Garamond"/>
                <w:sz w:val="20"/>
                <w:szCs w:val="20"/>
              </w:rPr>
              <w:t xml:space="preserve">ndicadores de los </w:t>
            </w:r>
            <w:proofErr w:type="spellStart"/>
            <w:r w:rsidRPr="00134D9D">
              <w:rPr>
                <w:rFonts w:ascii="Garamond" w:hAnsi="Garamond"/>
                <w:smallCaps/>
                <w:sz w:val="20"/>
                <w:szCs w:val="20"/>
              </w:rPr>
              <w:t>ods</w:t>
            </w:r>
            <w:proofErr w:type="spellEnd"/>
          </w:p>
        </w:tc>
        <w:tc>
          <w:tcPr>
            <w:tcW w:w="851" w:type="dxa"/>
            <w:tcBorders>
              <w:left w:val="nil"/>
              <w:right w:val="nil"/>
            </w:tcBorders>
            <w:shd w:val="clear" w:color="auto" w:fill="auto"/>
            <w:vAlign w:val="center"/>
          </w:tcPr>
          <w:p w14:paraId="474E3471"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38%</w:t>
            </w:r>
          </w:p>
        </w:tc>
      </w:tr>
      <w:tr w:rsidR="0052391C" w:rsidRPr="00E94CE6" w14:paraId="4878B5A4" w14:textId="77777777" w:rsidTr="00EF5F88">
        <w:trPr>
          <w:cantSplit/>
          <w:trHeight w:val="510"/>
          <w:jc w:val="center"/>
        </w:trPr>
        <w:tc>
          <w:tcPr>
            <w:tcW w:w="421" w:type="dxa"/>
            <w:vMerge/>
            <w:tcBorders>
              <w:left w:val="nil"/>
              <w:right w:val="nil"/>
            </w:tcBorders>
            <w:shd w:val="clear" w:color="auto" w:fill="auto"/>
          </w:tcPr>
          <w:p w14:paraId="62EC15FC" w14:textId="77777777" w:rsidR="0052391C" w:rsidRPr="00E94CE6" w:rsidRDefault="0052391C" w:rsidP="00B36FB4">
            <w:pPr>
              <w:jc w:val="both"/>
              <w:rPr>
                <w:rFonts w:ascii="Garamond" w:hAnsi="Garamond"/>
                <w:sz w:val="20"/>
                <w:szCs w:val="20"/>
              </w:rPr>
            </w:pPr>
          </w:p>
        </w:tc>
        <w:tc>
          <w:tcPr>
            <w:tcW w:w="2126" w:type="dxa"/>
            <w:vMerge/>
            <w:tcBorders>
              <w:left w:val="nil"/>
              <w:right w:val="nil"/>
            </w:tcBorders>
            <w:shd w:val="clear" w:color="auto" w:fill="auto"/>
            <w:vAlign w:val="center"/>
          </w:tcPr>
          <w:p w14:paraId="161450D2"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auto"/>
            <w:vAlign w:val="center"/>
          </w:tcPr>
          <w:p w14:paraId="246D4DD3" w14:textId="77777777" w:rsidR="0052391C" w:rsidRPr="00E94CE6" w:rsidRDefault="0052391C" w:rsidP="00EB0685">
            <w:pPr>
              <w:rPr>
                <w:rFonts w:ascii="Garamond" w:hAnsi="Garamond"/>
                <w:sz w:val="20"/>
                <w:szCs w:val="20"/>
              </w:rPr>
            </w:pPr>
            <w:r w:rsidRPr="00E94CE6">
              <w:rPr>
                <w:rFonts w:ascii="Garamond" w:hAnsi="Garamond"/>
                <w:sz w:val="20"/>
                <w:szCs w:val="20"/>
              </w:rPr>
              <w:t>Cálculo de Indicadores Clav</w:t>
            </w:r>
            <w:r>
              <w:rPr>
                <w:rFonts w:ascii="Garamond" w:hAnsi="Garamond"/>
                <w:sz w:val="20"/>
                <w:szCs w:val="20"/>
              </w:rPr>
              <w:t>e</w:t>
            </w:r>
          </w:p>
        </w:tc>
        <w:tc>
          <w:tcPr>
            <w:tcW w:w="851" w:type="dxa"/>
            <w:tcBorders>
              <w:left w:val="nil"/>
              <w:right w:val="nil"/>
            </w:tcBorders>
            <w:shd w:val="clear" w:color="auto" w:fill="auto"/>
            <w:vAlign w:val="center"/>
          </w:tcPr>
          <w:p w14:paraId="7064074B"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35%</w:t>
            </w:r>
          </w:p>
        </w:tc>
      </w:tr>
      <w:tr w:rsidR="0052391C" w:rsidRPr="00E94CE6" w14:paraId="1DD87003" w14:textId="77777777" w:rsidTr="00EF5F88">
        <w:trPr>
          <w:cantSplit/>
          <w:trHeight w:val="510"/>
          <w:jc w:val="center"/>
        </w:trPr>
        <w:tc>
          <w:tcPr>
            <w:tcW w:w="421" w:type="dxa"/>
            <w:vMerge/>
            <w:tcBorders>
              <w:left w:val="nil"/>
              <w:right w:val="nil"/>
            </w:tcBorders>
            <w:shd w:val="clear" w:color="auto" w:fill="auto"/>
          </w:tcPr>
          <w:p w14:paraId="59DD35E9" w14:textId="77777777" w:rsidR="0052391C" w:rsidRPr="00E94CE6" w:rsidRDefault="0052391C" w:rsidP="00B36FB4">
            <w:pPr>
              <w:jc w:val="both"/>
              <w:rPr>
                <w:rFonts w:ascii="Garamond" w:hAnsi="Garamond"/>
                <w:sz w:val="20"/>
                <w:szCs w:val="20"/>
              </w:rPr>
            </w:pPr>
          </w:p>
        </w:tc>
        <w:tc>
          <w:tcPr>
            <w:tcW w:w="2126" w:type="dxa"/>
            <w:vMerge/>
            <w:tcBorders>
              <w:left w:val="nil"/>
              <w:right w:val="nil"/>
            </w:tcBorders>
            <w:shd w:val="clear" w:color="auto" w:fill="auto"/>
            <w:vAlign w:val="center"/>
          </w:tcPr>
          <w:p w14:paraId="166A039D"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auto"/>
            <w:vAlign w:val="center"/>
          </w:tcPr>
          <w:p w14:paraId="7C195AF3" w14:textId="475D7FDD" w:rsidR="0052391C" w:rsidRPr="00E94CE6" w:rsidRDefault="0052391C" w:rsidP="00EB0685">
            <w:pPr>
              <w:rPr>
                <w:rFonts w:ascii="Garamond" w:hAnsi="Garamond"/>
                <w:sz w:val="20"/>
                <w:szCs w:val="20"/>
              </w:rPr>
            </w:pPr>
            <w:r w:rsidRPr="00E94CE6">
              <w:rPr>
                <w:rFonts w:ascii="Garamond" w:hAnsi="Garamond"/>
                <w:sz w:val="20"/>
                <w:szCs w:val="20"/>
              </w:rPr>
              <w:t xml:space="preserve">Cálculo de indicadores de los Programas que se derivan del </w:t>
            </w:r>
            <w:r w:rsidR="004D5CF9">
              <w:rPr>
                <w:rFonts w:ascii="Garamond" w:hAnsi="Garamond"/>
                <w:sz w:val="20"/>
                <w:szCs w:val="20"/>
              </w:rPr>
              <w:t>Plan Nacional de Desarrollo</w:t>
            </w:r>
            <w:r w:rsidRPr="00E94CE6">
              <w:rPr>
                <w:rFonts w:ascii="Garamond" w:hAnsi="Garamond"/>
                <w:sz w:val="20"/>
                <w:szCs w:val="20"/>
              </w:rPr>
              <w:t xml:space="preserve"> </w:t>
            </w:r>
            <w:r w:rsidR="004D5CF9">
              <w:rPr>
                <w:rFonts w:ascii="Garamond" w:hAnsi="Garamond"/>
                <w:sz w:val="20"/>
                <w:szCs w:val="20"/>
              </w:rPr>
              <w:t>(</w:t>
            </w:r>
            <w:proofErr w:type="spellStart"/>
            <w:r w:rsidRPr="00E94CE6">
              <w:rPr>
                <w:rFonts w:ascii="Garamond" w:hAnsi="Garamond"/>
                <w:smallCaps/>
                <w:sz w:val="20"/>
                <w:szCs w:val="20"/>
              </w:rPr>
              <w:t>pnd</w:t>
            </w:r>
            <w:proofErr w:type="spellEnd"/>
            <w:r w:rsidR="004D5CF9">
              <w:rPr>
                <w:rFonts w:ascii="Garamond" w:hAnsi="Garamond"/>
                <w:smallCaps/>
                <w:sz w:val="20"/>
                <w:szCs w:val="20"/>
              </w:rPr>
              <w:t>)</w:t>
            </w:r>
          </w:p>
        </w:tc>
        <w:tc>
          <w:tcPr>
            <w:tcW w:w="851" w:type="dxa"/>
            <w:tcBorders>
              <w:left w:val="nil"/>
              <w:right w:val="nil"/>
            </w:tcBorders>
            <w:shd w:val="clear" w:color="auto" w:fill="auto"/>
            <w:vAlign w:val="center"/>
          </w:tcPr>
          <w:p w14:paraId="7CE2A4C7"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38%</w:t>
            </w:r>
          </w:p>
        </w:tc>
      </w:tr>
      <w:tr w:rsidR="0052391C" w:rsidRPr="00E94CE6" w14:paraId="5DC2105E" w14:textId="77777777" w:rsidTr="00EF5F88">
        <w:trPr>
          <w:cantSplit/>
          <w:trHeight w:val="510"/>
          <w:jc w:val="center"/>
        </w:trPr>
        <w:tc>
          <w:tcPr>
            <w:tcW w:w="421" w:type="dxa"/>
            <w:vMerge/>
            <w:tcBorders>
              <w:left w:val="nil"/>
              <w:right w:val="nil"/>
            </w:tcBorders>
            <w:shd w:val="clear" w:color="auto" w:fill="auto"/>
          </w:tcPr>
          <w:p w14:paraId="134DF789" w14:textId="77777777" w:rsidR="0052391C" w:rsidRPr="00E94CE6" w:rsidRDefault="0052391C" w:rsidP="00B36FB4">
            <w:pPr>
              <w:jc w:val="both"/>
              <w:rPr>
                <w:rFonts w:ascii="Garamond" w:hAnsi="Garamond"/>
                <w:sz w:val="20"/>
                <w:szCs w:val="20"/>
              </w:rPr>
            </w:pPr>
          </w:p>
        </w:tc>
        <w:tc>
          <w:tcPr>
            <w:tcW w:w="2126" w:type="dxa"/>
            <w:vMerge/>
            <w:tcBorders>
              <w:left w:val="nil"/>
              <w:right w:val="nil"/>
            </w:tcBorders>
            <w:shd w:val="clear" w:color="auto" w:fill="auto"/>
            <w:vAlign w:val="center"/>
          </w:tcPr>
          <w:p w14:paraId="311E1172"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auto"/>
            <w:vAlign w:val="center"/>
          </w:tcPr>
          <w:p w14:paraId="6990119C" w14:textId="77777777" w:rsidR="0052391C" w:rsidRPr="00E94CE6" w:rsidRDefault="0052391C" w:rsidP="00EB0685">
            <w:pPr>
              <w:rPr>
                <w:rFonts w:ascii="Garamond" w:hAnsi="Garamond"/>
                <w:sz w:val="20"/>
                <w:szCs w:val="20"/>
              </w:rPr>
            </w:pPr>
            <w:r w:rsidRPr="00E94CE6">
              <w:rPr>
                <w:rFonts w:ascii="Garamond" w:hAnsi="Garamond"/>
                <w:sz w:val="20"/>
                <w:szCs w:val="20"/>
              </w:rPr>
              <w:t xml:space="preserve">Relacionados con las Metas del </w:t>
            </w:r>
            <w:proofErr w:type="spellStart"/>
            <w:r w:rsidRPr="00E94CE6">
              <w:rPr>
                <w:rFonts w:ascii="Garamond" w:hAnsi="Garamond"/>
                <w:smallCaps/>
                <w:sz w:val="20"/>
                <w:szCs w:val="20"/>
              </w:rPr>
              <w:t>pnd</w:t>
            </w:r>
            <w:proofErr w:type="spellEnd"/>
          </w:p>
        </w:tc>
        <w:tc>
          <w:tcPr>
            <w:tcW w:w="851" w:type="dxa"/>
            <w:tcBorders>
              <w:left w:val="nil"/>
              <w:right w:val="nil"/>
            </w:tcBorders>
            <w:shd w:val="clear" w:color="auto" w:fill="auto"/>
            <w:vAlign w:val="center"/>
          </w:tcPr>
          <w:p w14:paraId="7D4F1413" w14:textId="2F09F490"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5</w:t>
            </w:r>
            <w:r w:rsidR="00E31934">
              <w:rPr>
                <w:rFonts w:ascii="Garamond" w:hAnsi="Garamond" w:cs="Arial"/>
                <w:bCs/>
                <w:kern w:val="24"/>
                <w:sz w:val="20"/>
                <w:szCs w:val="20"/>
              </w:rPr>
              <w:t>8</w:t>
            </w:r>
            <w:r w:rsidRPr="00E94CE6">
              <w:rPr>
                <w:rFonts w:ascii="Garamond" w:hAnsi="Garamond" w:cs="Arial"/>
                <w:bCs/>
                <w:kern w:val="24"/>
                <w:sz w:val="20"/>
                <w:szCs w:val="20"/>
              </w:rPr>
              <w:t>%</w:t>
            </w:r>
          </w:p>
        </w:tc>
      </w:tr>
      <w:tr w:rsidR="0052391C" w:rsidRPr="00E94CE6" w14:paraId="7503D0D8" w14:textId="77777777" w:rsidTr="00EF5F88">
        <w:trPr>
          <w:cantSplit/>
          <w:trHeight w:val="510"/>
          <w:jc w:val="center"/>
        </w:trPr>
        <w:tc>
          <w:tcPr>
            <w:tcW w:w="421" w:type="dxa"/>
            <w:vMerge/>
            <w:tcBorders>
              <w:left w:val="nil"/>
              <w:right w:val="nil"/>
            </w:tcBorders>
            <w:shd w:val="clear" w:color="auto" w:fill="auto"/>
          </w:tcPr>
          <w:p w14:paraId="78FABC8A" w14:textId="77777777" w:rsidR="0052391C" w:rsidRPr="00E94CE6" w:rsidRDefault="0052391C" w:rsidP="00B36FB4">
            <w:pPr>
              <w:jc w:val="both"/>
              <w:rPr>
                <w:rFonts w:ascii="Garamond" w:hAnsi="Garamond"/>
                <w:sz w:val="20"/>
                <w:szCs w:val="20"/>
              </w:rPr>
            </w:pPr>
          </w:p>
        </w:tc>
        <w:tc>
          <w:tcPr>
            <w:tcW w:w="2126" w:type="dxa"/>
            <w:vMerge w:val="restart"/>
            <w:tcBorders>
              <w:left w:val="nil"/>
              <w:right w:val="nil"/>
            </w:tcBorders>
            <w:shd w:val="clear" w:color="auto" w:fill="auto"/>
            <w:vAlign w:val="center"/>
          </w:tcPr>
          <w:p w14:paraId="461FE488" w14:textId="77777777" w:rsidR="0052391C" w:rsidRPr="00E94CE6" w:rsidRDefault="0052391C" w:rsidP="00B36FB4">
            <w:pPr>
              <w:jc w:val="center"/>
              <w:rPr>
                <w:rFonts w:ascii="Garamond" w:hAnsi="Garamond"/>
                <w:sz w:val="20"/>
                <w:szCs w:val="20"/>
              </w:rPr>
            </w:pPr>
            <w:r w:rsidRPr="00E94CE6">
              <w:rPr>
                <w:rFonts w:ascii="Garamond" w:hAnsi="Garamond"/>
                <w:sz w:val="20"/>
                <w:szCs w:val="20"/>
              </w:rPr>
              <w:t>Consultas de usuarios</w:t>
            </w:r>
          </w:p>
        </w:tc>
        <w:tc>
          <w:tcPr>
            <w:tcW w:w="5386" w:type="dxa"/>
            <w:tcBorders>
              <w:left w:val="nil"/>
              <w:right w:val="nil"/>
            </w:tcBorders>
            <w:shd w:val="clear" w:color="auto" w:fill="auto"/>
            <w:vAlign w:val="center"/>
          </w:tcPr>
          <w:p w14:paraId="508F0C8C" w14:textId="77777777" w:rsidR="0052391C" w:rsidRPr="00E94CE6" w:rsidRDefault="0052391C" w:rsidP="00EB0685">
            <w:pPr>
              <w:rPr>
                <w:rFonts w:ascii="Garamond" w:hAnsi="Garamond"/>
                <w:sz w:val="20"/>
                <w:szCs w:val="20"/>
              </w:rPr>
            </w:pPr>
            <w:r w:rsidRPr="00E94CE6">
              <w:rPr>
                <w:rFonts w:ascii="Garamond" w:hAnsi="Garamond"/>
                <w:sz w:val="20"/>
                <w:szCs w:val="20"/>
              </w:rPr>
              <w:t>Consultados a través del laboratorio de microdatos y servicio remoto</w:t>
            </w:r>
          </w:p>
        </w:tc>
        <w:tc>
          <w:tcPr>
            <w:tcW w:w="851" w:type="dxa"/>
            <w:tcBorders>
              <w:left w:val="nil"/>
              <w:right w:val="nil"/>
            </w:tcBorders>
            <w:shd w:val="clear" w:color="auto" w:fill="auto"/>
            <w:vAlign w:val="center"/>
          </w:tcPr>
          <w:p w14:paraId="3B137888"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28%</w:t>
            </w:r>
          </w:p>
        </w:tc>
      </w:tr>
      <w:tr w:rsidR="0052391C" w:rsidRPr="00E94CE6" w14:paraId="06C7DADA" w14:textId="77777777" w:rsidTr="00EF5F88">
        <w:trPr>
          <w:cantSplit/>
          <w:trHeight w:val="510"/>
          <w:jc w:val="center"/>
        </w:trPr>
        <w:tc>
          <w:tcPr>
            <w:tcW w:w="421" w:type="dxa"/>
            <w:vMerge/>
            <w:tcBorders>
              <w:left w:val="nil"/>
              <w:right w:val="nil"/>
            </w:tcBorders>
            <w:shd w:val="clear" w:color="auto" w:fill="auto"/>
          </w:tcPr>
          <w:p w14:paraId="2E6FEDB3" w14:textId="77777777" w:rsidR="0052391C" w:rsidRPr="00E94CE6" w:rsidRDefault="0052391C" w:rsidP="00B36FB4">
            <w:pPr>
              <w:jc w:val="both"/>
              <w:rPr>
                <w:rFonts w:ascii="Garamond" w:hAnsi="Garamond"/>
                <w:sz w:val="20"/>
                <w:szCs w:val="20"/>
              </w:rPr>
            </w:pPr>
          </w:p>
        </w:tc>
        <w:tc>
          <w:tcPr>
            <w:tcW w:w="2126" w:type="dxa"/>
            <w:vMerge/>
            <w:tcBorders>
              <w:left w:val="nil"/>
              <w:right w:val="nil"/>
            </w:tcBorders>
            <w:shd w:val="clear" w:color="auto" w:fill="auto"/>
            <w:vAlign w:val="center"/>
          </w:tcPr>
          <w:p w14:paraId="16FEAFFD" w14:textId="77777777" w:rsidR="0052391C" w:rsidRPr="00E94CE6" w:rsidRDefault="0052391C" w:rsidP="00B36FB4">
            <w:pPr>
              <w:jc w:val="both"/>
              <w:rPr>
                <w:rFonts w:ascii="Garamond" w:hAnsi="Garamond"/>
                <w:sz w:val="20"/>
                <w:szCs w:val="20"/>
              </w:rPr>
            </w:pPr>
          </w:p>
        </w:tc>
        <w:tc>
          <w:tcPr>
            <w:tcW w:w="5386" w:type="dxa"/>
            <w:tcBorders>
              <w:left w:val="nil"/>
              <w:right w:val="nil"/>
            </w:tcBorders>
            <w:shd w:val="clear" w:color="auto" w:fill="auto"/>
            <w:vAlign w:val="center"/>
          </w:tcPr>
          <w:p w14:paraId="43B24D15" w14:textId="77777777" w:rsidR="0052391C" w:rsidRPr="00E94CE6" w:rsidRDefault="0052391C" w:rsidP="00EB0685">
            <w:pPr>
              <w:rPr>
                <w:rFonts w:ascii="Garamond" w:hAnsi="Garamond"/>
                <w:sz w:val="20"/>
                <w:szCs w:val="20"/>
              </w:rPr>
            </w:pPr>
            <w:r w:rsidRPr="00E94CE6">
              <w:rPr>
                <w:rFonts w:ascii="Garamond" w:hAnsi="Garamond"/>
                <w:sz w:val="20"/>
                <w:szCs w:val="20"/>
              </w:rPr>
              <w:t xml:space="preserve">Consultados en la página del </w:t>
            </w:r>
            <w:proofErr w:type="spellStart"/>
            <w:r w:rsidRPr="00E94CE6">
              <w:rPr>
                <w:rFonts w:ascii="Garamond" w:hAnsi="Garamond"/>
                <w:smallCaps/>
                <w:sz w:val="20"/>
                <w:szCs w:val="20"/>
              </w:rPr>
              <w:t>inegi</w:t>
            </w:r>
            <w:proofErr w:type="spellEnd"/>
          </w:p>
        </w:tc>
        <w:tc>
          <w:tcPr>
            <w:tcW w:w="851" w:type="dxa"/>
            <w:tcBorders>
              <w:left w:val="nil"/>
              <w:right w:val="nil"/>
            </w:tcBorders>
            <w:shd w:val="clear" w:color="auto" w:fill="auto"/>
            <w:vAlign w:val="center"/>
          </w:tcPr>
          <w:p w14:paraId="533A8331" w14:textId="77777777" w:rsidR="0052391C" w:rsidRPr="00E94CE6" w:rsidRDefault="0052391C" w:rsidP="00B36FB4">
            <w:pPr>
              <w:jc w:val="center"/>
              <w:rPr>
                <w:rFonts w:ascii="Garamond" w:hAnsi="Garamond"/>
                <w:bCs/>
                <w:sz w:val="20"/>
                <w:szCs w:val="20"/>
              </w:rPr>
            </w:pPr>
            <w:r w:rsidRPr="00E94CE6">
              <w:rPr>
                <w:rFonts w:ascii="Garamond" w:hAnsi="Garamond" w:cs="Arial"/>
                <w:bCs/>
                <w:kern w:val="24"/>
                <w:sz w:val="20"/>
                <w:szCs w:val="20"/>
              </w:rPr>
              <w:t>98%</w:t>
            </w:r>
          </w:p>
        </w:tc>
      </w:tr>
    </w:tbl>
    <w:p w14:paraId="69354023" w14:textId="1BEFB445" w:rsidR="00A63873" w:rsidRPr="00E94CE6" w:rsidRDefault="00867081" w:rsidP="00906AA9">
      <w:pPr>
        <w:spacing w:before="240" w:after="60"/>
        <w:jc w:val="both"/>
        <w:rPr>
          <w:rFonts w:ascii="Garamond" w:hAnsi="Garamond"/>
        </w:rPr>
      </w:pPr>
      <w:r w:rsidRPr="00E94CE6">
        <w:rPr>
          <w:rFonts w:ascii="Garamond" w:hAnsi="Garamond"/>
        </w:rPr>
        <w:t>Dado que</w:t>
      </w:r>
      <w:r w:rsidR="0081502B" w:rsidRPr="00E94CE6">
        <w:rPr>
          <w:rFonts w:ascii="Garamond" w:hAnsi="Garamond"/>
        </w:rPr>
        <w:t xml:space="preserve"> un mismo programa </w:t>
      </w:r>
      <w:r w:rsidRPr="00E94CE6">
        <w:rPr>
          <w:rFonts w:ascii="Garamond" w:hAnsi="Garamond"/>
        </w:rPr>
        <w:t>de información</w:t>
      </w:r>
      <w:r w:rsidR="0081502B" w:rsidRPr="00E94CE6">
        <w:rPr>
          <w:rFonts w:ascii="Garamond" w:hAnsi="Garamond"/>
        </w:rPr>
        <w:t xml:space="preserve"> puede ser insumo para </w:t>
      </w:r>
      <w:r w:rsidR="00401335" w:rsidRPr="00E94CE6">
        <w:rPr>
          <w:rFonts w:ascii="Garamond" w:hAnsi="Garamond"/>
        </w:rPr>
        <w:t xml:space="preserve">más de un </w:t>
      </w:r>
      <w:r w:rsidR="00340D21">
        <w:rPr>
          <w:rFonts w:ascii="Garamond" w:hAnsi="Garamond"/>
        </w:rPr>
        <w:t xml:space="preserve">tipo de </w:t>
      </w:r>
      <w:r w:rsidR="0081502B" w:rsidRPr="00E94CE6">
        <w:rPr>
          <w:rFonts w:ascii="Garamond" w:hAnsi="Garamond"/>
        </w:rPr>
        <w:t xml:space="preserve">uso, </w:t>
      </w:r>
      <w:r w:rsidR="00DD42E9" w:rsidRPr="00E94CE6">
        <w:rPr>
          <w:rFonts w:ascii="Garamond" w:hAnsi="Garamond"/>
        </w:rPr>
        <w:t xml:space="preserve">es </w:t>
      </w:r>
      <w:r w:rsidR="0081502B" w:rsidRPr="00E94CE6">
        <w:rPr>
          <w:rFonts w:ascii="Garamond" w:hAnsi="Garamond"/>
        </w:rPr>
        <w:t xml:space="preserve">útil </w:t>
      </w:r>
      <w:r w:rsidR="00832E5D" w:rsidRPr="00E94CE6">
        <w:rPr>
          <w:rFonts w:ascii="Garamond" w:hAnsi="Garamond"/>
        </w:rPr>
        <w:t>calcular</w:t>
      </w:r>
      <w:r w:rsidR="0081502B" w:rsidRPr="00E94CE6">
        <w:rPr>
          <w:rFonts w:ascii="Garamond" w:hAnsi="Garamond"/>
        </w:rPr>
        <w:t xml:space="preserve"> el porcentaje acumulado</w:t>
      </w:r>
      <w:r w:rsidR="00C65918" w:rsidRPr="00E94CE6">
        <w:rPr>
          <w:rFonts w:ascii="Garamond" w:hAnsi="Garamond"/>
        </w:rPr>
        <w:t xml:space="preserve"> </w:t>
      </w:r>
      <w:r w:rsidR="0081502B" w:rsidRPr="00E94CE6">
        <w:rPr>
          <w:rFonts w:ascii="Garamond" w:hAnsi="Garamond"/>
        </w:rPr>
        <w:t>del uso externo de los programas de información</w:t>
      </w:r>
      <w:r w:rsidR="004B0812" w:rsidRPr="00E94CE6">
        <w:rPr>
          <w:rFonts w:ascii="Garamond" w:hAnsi="Garamond"/>
        </w:rPr>
        <w:t xml:space="preserve"> </w:t>
      </w:r>
      <w:r w:rsidR="009A7B53" w:rsidRPr="00E94CE6">
        <w:rPr>
          <w:rFonts w:ascii="Garamond" w:hAnsi="Garamond"/>
        </w:rPr>
        <w:t>(</w:t>
      </w:r>
      <w:r w:rsidR="003E0F8F">
        <w:rPr>
          <w:rFonts w:ascii="Garamond" w:hAnsi="Garamond"/>
        </w:rPr>
        <w:t xml:space="preserve">evitando </w:t>
      </w:r>
      <w:r w:rsidR="001D4013">
        <w:rPr>
          <w:rFonts w:ascii="Garamond" w:hAnsi="Garamond"/>
        </w:rPr>
        <w:t>doble conteo</w:t>
      </w:r>
      <w:r w:rsidR="009A7B53" w:rsidRPr="00E94CE6">
        <w:rPr>
          <w:rFonts w:ascii="Garamond" w:hAnsi="Garamond"/>
        </w:rPr>
        <w:t>)</w:t>
      </w:r>
      <w:r w:rsidR="00194A4A" w:rsidRPr="00E94CE6">
        <w:rPr>
          <w:rFonts w:ascii="Garamond" w:hAnsi="Garamond"/>
        </w:rPr>
        <w:t>.</w:t>
      </w:r>
      <w:r w:rsidR="004F5F29">
        <w:rPr>
          <w:rFonts w:ascii="Garamond" w:hAnsi="Garamond"/>
        </w:rPr>
        <w:t xml:space="preserve"> Por ejemplo, </w:t>
      </w:r>
      <w:r w:rsidR="00225C66">
        <w:rPr>
          <w:rFonts w:ascii="Garamond" w:hAnsi="Garamond"/>
        </w:rPr>
        <w:t xml:space="preserve">el </w:t>
      </w:r>
      <w:r w:rsidR="007E4BBB">
        <w:rPr>
          <w:rFonts w:ascii="Garamond" w:hAnsi="Garamond"/>
        </w:rPr>
        <w:t>45</w:t>
      </w:r>
      <w:r w:rsidR="00353275">
        <w:rPr>
          <w:rFonts w:ascii="Garamond" w:hAnsi="Garamond"/>
        </w:rPr>
        <w:t xml:space="preserve">% de los programas de información </w:t>
      </w:r>
      <w:r w:rsidR="000C6528">
        <w:rPr>
          <w:rFonts w:ascii="Garamond" w:hAnsi="Garamond"/>
        </w:rPr>
        <w:t>son usados para dar atención a disposic</w:t>
      </w:r>
      <w:r w:rsidR="007C131F">
        <w:rPr>
          <w:rFonts w:ascii="Garamond" w:hAnsi="Garamond"/>
        </w:rPr>
        <w:t>iones legales.</w:t>
      </w:r>
      <w:r w:rsidR="00CF2C7D">
        <w:rPr>
          <w:rFonts w:ascii="Garamond" w:hAnsi="Garamond"/>
        </w:rPr>
        <w:t xml:space="preserve"> </w:t>
      </w:r>
      <w:r w:rsidR="00250043">
        <w:rPr>
          <w:rFonts w:ascii="Garamond" w:hAnsi="Garamond"/>
        </w:rPr>
        <w:t>Sin embargo, c</w:t>
      </w:r>
      <w:r w:rsidR="005A6FD3">
        <w:rPr>
          <w:rFonts w:ascii="Garamond" w:hAnsi="Garamond"/>
        </w:rPr>
        <w:t>onsiderando todos los tipos de uso,</w:t>
      </w:r>
      <w:r w:rsidR="00250043">
        <w:rPr>
          <w:rFonts w:ascii="Garamond" w:hAnsi="Garamond"/>
        </w:rPr>
        <w:t xml:space="preserve"> es posible constatar que</w:t>
      </w:r>
      <w:r w:rsidR="007C131F">
        <w:rPr>
          <w:rFonts w:ascii="Garamond" w:hAnsi="Garamond"/>
        </w:rPr>
        <w:t xml:space="preserve"> la </w:t>
      </w:r>
      <w:r w:rsidR="005A6FD3">
        <w:rPr>
          <w:rFonts w:ascii="Garamond" w:hAnsi="Garamond"/>
        </w:rPr>
        <w:t>totalidad de programas de información son utilizado</w:t>
      </w:r>
      <w:r w:rsidR="00B117EA">
        <w:rPr>
          <w:rFonts w:ascii="Garamond" w:hAnsi="Garamond"/>
        </w:rPr>
        <w:t>s (ver Tabla 3)</w:t>
      </w:r>
      <w:r w:rsidR="007E4BBB">
        <w:rPr>
          <w:rFonts w:ascii="Garamond" w:hAnsi="Garamond"/>
        </w:rPr>
        <w:t>.</w:t>
      </w:r>
    </w:p>
    <w:p w14:paraId="3AEA7148" w14:textId="63E4D5A2" w:rsidR="005C2104" w:rsidRPr="00E94CE6" w:rsidRDefault="00194A4A" w:rsidP="00A0106C">
      <w:pPr>
        <w:spacing w:before="240" w:after="0"/>
        <w:jc w:val="center"/>
        <w:rPr>
          <w:rFonts w:ascii="Garamond" w:hAnsi="Garamond"/>
        </w:rPr>
      </w:pPr>
      <w:r w:rsidRPr="00E94CE6">
        <w:rPr>
          <w:rFonts w:ascii="Garamond" w:hAnsi="Garamond"/>
          <w:b/>
        </w:rPr>
        <w:t>Tabla 3</w:t>
      </w:r>
      <w:r w:rsidR="000F019A" w:rsidRPr="00E94CE6">
        <w:rPr>
          <w:rFonts w:ascii="Garamond" w:hAnsi="Garamond"/>
          <w:b/>
        </w:rPr>
        <w:t xml:space="preserve">. </w:t>
      </w:r>
      <w:r w:rsidR="007A4F36" w:rsidRPr="00E94CE6">
        <w:rPr>
          <w:rFonts w:ascii="Garamond" w:hAnsi="Garamond"/>
          <w:b/>
        </w:rPr>
        <w:t xml:space="preserve">Porcentaje </w:t>
      </w:r>
      <w:r w:rsidR="00D3122B">
        <w:rPr>
          <w:rFonts w:ascii="Garamond" w:hAnsi="Garamond"/>
          <w:b/>
        </w:rPr>
        <w:t>acumulado</w:t>
      </w:r>
      <w:r w:rsidR="00AF656D">
        <w:rPr>
          <w:rFonts w:ascii="Garamond" w:hAnsi="Garamond"/>
          <w:b/>
        </w:rPr>
        <w:t xml:space="preserve"> </w:t>
      </w:r>
      <w:r w:rsidR="007A4F36" w:rsidRPr="00E94CE6">
        <w:rPr>
          <w:rFonts w:ascii="Garamond" w:hAnsi="Garamond"/>
          <w:b/>
        </w:rPr>
        <w:t>de p</w:t>
      </w:r>
      <w:r w:rsidR="005C2104" w:rsidRPr="00E94CE6">
        <w:rPr>
          <w:rFonts w:ascii="Garamond" w:hAnsi="Garamond"/>
          <w:b/>
        </w:rPr>
        <w:t xml:space="preserve">rogramas </w:t>
      </w:r>
      <w:r w:rsidR="00AF656D">
        <w:rPr>
          <w:rFonts w:ascii="Garamond" w:hAnsi="Garamond"/>
          <w:b/>
        </w:rPr>
        <w:t>de información</w:t>
      </w:r>
      <w:r w:rsidR="00300BFE">
        <w:rPr>
          <w:rFonts w:ascii="Garamond" w:hAnsi="Garamond"/>
          <w:b/>
        </w:rPr>
        <w:t>, según tipo de</w:t>
      </w:r>
      <w:r w:rsidR="005C2104" w:rsidRPr="00E94CE6">
        <w:rPr>
          <w:rFonts w:ascii="Garamond" w:hAnsi="Garamond"/>
          <w:b/>
        </w:rPr>
        <w:t xml:space="preserve"> uso externo</w:t>
      </w:r>
      <w:r w:rsidR="00A52E25">
        <w:rPr>
          <w:rStyle w:val="Refdenotaalpie"/>
          <w:rFonts w:ascii="Garamond" w:hAnsi="Garamond"/>
          <w:b/>
        </w:rPr>
        <w:footnoteReference w:id="6"/>
      </w:r>
    </w:p>
    <w:tbl>
      <w:tblPr>
        <w:tblW w:w="9534" w:type="dxa"/>
        <w:jc w:val="center"/>
        <w:tblCellMar>
          <w:left w:w="70" w:type="dxa"/>
          <w:right w:w="70" w:type="dxa"/>
        </w:tblCellMar>
        <w:tblLook w:val="04A0" w:firstRow="1" w:lastRow="0" w:firstColumn="1" w:lastColumn="0" w:noHBand="0" w:noVBand="1"/>
      </w:tblPr>
      <w:tblGrid>
        <w:gridCol w:w="1975"/>
        <w:gridCol w:w="3376"/>
        <w:gridCol w:w="514"/>
        <w:gridCol w:w="510"/>
        <w:gridCol w:w="510"/>
        <w:gridCol w:w="510"/>
        <w:gridCol w:w="510"/>
        <w:gridCol w:w="510"/>
        <w:gridCol w:w="510"/>
        <w:gridCol w:w="609"/>
      </w:tblGrid>
      <w:tr w:rsidR="00617D97" w:rsidRPr="00414254" w14:paraId="698B6F81" w14:textId="77777777" w:rsidTr="00696B1E">
        <w:trPr>
          <w:trHeight w:val="340"/>
          <w:jc w:val="center"/>
        </w:trPr>
        <w:tc>
          <w:tcPr>
            <w:tcW w:w="5351" w:type="dxa"/>
            <w:gridSpan w:val="2"/>
            <w:tcBorders>
              <w:left w:val="single" w:sz="8" w:space="0" w:color="FFFFFF"/>
            </w:tcBorders>
            <w:shd w:val="clear" w:color="auto" w:fill="002060"/>
            <w:vAlign w:val="center"/>
            <w:hideMark/>
          </w:tcPr>
          <w:p w14:paraId="7053428C" w14:textId="77777777" w:rsidR="00617D97" w:rsidRPr="00414254" w:rsidRDefault="00617D97" w:rsidP="00A455C6">
            <w:pPr>
              <w:spacing w:after="0" w:line="240" w:lineRule="auto"/>
              <w:jc w:val="center"/>
              <w:rPr>
                <w:rFonts w:ascii="Garamond" w:eastAsia="Times New Roman" w:hAnsi="Garamond" w:cs="Arial"/>
                <w:b/>
                <w:bCs/>
                <w:color w:val="FFFFFF"/>
                <w:sz w:val="20"/>
                <w:szCs w:val="20"/>
                <w:lang w:eastAsia="es-MX"/>
              </w:rPr>
            </w:pPr>
            <w:r w:rsidRPr="00414254">
              <w:rPr>
                <w:rFonts w:ascii="Garamond" w:eastAsia="Times New Roman" w:hAnsi="Garamond" w:cs="Arial"/>
                <w:b/>
                <w:bCs/>
                <w:color w:val="FFFFFF"/>
                <w:sz w:val="20"/>
                <w:szCs w:val="20"/>
                <w:lang w:eastAsia="es-MX"/>
              </w:rPr>
              <w:t>Tipo de uso</w:t>
            </w:r>
          </w:p>
        </w:tc>
        <w:tc>
          <w:tcPr>
            <w:tcW w:w="4183" w:type="dxa"/>
            <w:gridSpan w:val="8"/>
            <w:tcBorders>
              <w:left w:val="nil"/>
              <w:right w:val="single" w:sz="4" w:space="0" w:color="BFBFBF" w:themeColor="background1" w:themeShade="BF"/>
            </w:tcBorders>
            <w:shd w:val="clear" w:color="auto" w:fill="002060"/>
            <w:vAlign w:val="center"/>
            <w:hideMark/>
          </w:tcPr>
          <w:p w14:paraId="452CFA4F" w14:textId="613F10FC" w:rsidR="00617D97" w:rsidRPr="00414254" w:rsidRDefault="00617D97" w:rsidP="00A455C6">
            <w:pPr>
              <w:spacing w:after="0" w:line="240" w:lineRule="auto"/>
              <w:jc w:val="center"/>
              <w:rPr>
                <w:rFonts w:ascii="Garamond" w:eastAsia="Times New Roman" w:hAnsi="Garamond" w:cs="Arial"/>
                <w:b/>
                <w:bCs/>
                <w:color w:val="FFFFFF"/>
                <w:sz w:val="20"/>
                <w:szCs w:val="20"/>
                <w:lang w:eastAsia="es-MX"/>
              </w:rPr>
            </w:pPr>
            <w:r w:rsidRPr="00414254">
              <w:rPr>
                <w:rFonts w:ascii="Garamond" w:eastAsia="Times New Roman" w:hAnsi="Garamond" w:cs="Arial"/>
                <w:b/>
                <w:bCs/>
                <w:color w:val="FFFFFF"/>
                <w:sz w:val="20"/>
                <w:szCs w:val="20"/>
                <w:lang w:eastAsia="es-MX"/>
              </w:rPr>
              <w:t>Porcentaje acumulado</w:t>
            </w:r>
          </w:p>
        </w:tc>
      </w:tr>
      <w:tr w:rsidR="00617D97" w:rsidRPr="00414254" w14:paraId="7780920A" w14:textId="77777777" w:rsidTr="001054A2">
        <w:trPr>
          <w:trHeight w:val="397"/>
          <w:jc w:val="center"/>
        </w:trPr>
        <w:tc>
          <w:tcPr>
            <w:tcW w:w="1975" w:type="dxa"/>
            <w:vMerge w:val="restart"/>
            <w:tcBorders>
              <w:left w:val="single" w:sz="8" w:space="0" w:color="FFFFFF"/>
              <w:bottom w:val="single" w:sz="4" w:space="0" w:color="BFBFBF" w:themeColor="background1" w:themeShade="BF"/>
              <w:right w:val="nil"/>
            </w:tcBorders>
            <w:shd w:val="clear" w:color="auto" w:fill="auto"/>
            <w:vAlign w:val="center"/>
            <w:hideMark/>
          </w:tcPr>
          <w:p w14:paraId="25419AA8" w14:textId="77777777" w:rsidR="00617D97" w:rsidRPr="00414254" w:rsidRDefault="00617D97" w:rsidP="00A455C6">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Atención a disposiciones legales</w:t>
            </w:r>
          </w:p>
        </w:tc>
        <w:tc>
          <w:tcPr>
            <w:tcW w:w="3376" w:type="dxa"/>
            <w:tcBorders>
              <w:left w:val="nil"/>
              <w:bottom w:val="single" w:sz="4" w:space="0" w:color="BFBFBF" w:themeColor="background1" w:themeShade="BF"/>
            </w:tcBorders>
            <w:shd w:val="clear" w:color="auto" w:fill="auto"/>
            <w:noWrap/>
            <w:vAlign w:val="center"/>
            <w:hideMark/>
          </w:tcPr>
          <w:p w14:paraId="60D6DCF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Constitución y leyes</w:t>
            </w:r>
          </w:p>
        </w:tc>
        <w:tc>
          <w:tcPr>
            <w:tcW w:w="514" w:type="dxa"/>
            <w:tcBorders>
              <w:left w:val="nil"/>
              <w:bottom w:val="single" w:sz="4" w:space="0" w:color="BFBFBF" w:themeColor="background1" w:themeShade="BF"/>
              <w:right w:val="single" w:sz="4" w:space="0" w:color="BFBFBF" w:themeColor="background1" w:themeShade="BF"/>
            </w:tcBorders>
            <w:shd w:val="clear" w:color="auto" w:fill="auto"/>
            <w:noWrap/>
            <w:vAlign w:val="center"/>
            <w:hideMark/>
          </w:tcPr>
          <w:p w14:paraId="2DE904CB" w14:textId="0BA3DBD8"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40%</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F69B7A3" w14:textId="2B4CC285"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45%</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B6C486" w14:textId="4C5E4C4C"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58%</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F9E407D" w14:textId="1123F9BE"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59%</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51CE654" w14:textId="704F04F4"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65%</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0BD2C82" w14:textId="24E550B3"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80%</w:t>
            </w:r>
          </w:p>
        </w:tc>
        <w:tc>
          <w:tcPr>
            <w:tcW w:w="510" w:type="dxa"/>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4616B25" w14:textId="17A71804"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81%</w:t>
            </w:r>
          </w:p>
        </w:tc>
        <w:tc>
          <w:tcPr>
            <w:tcW w:w="609" w:type="dxa"/>
            <w:vMerge w:val="restart"/>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14:paraId="48581DEB" w14:textId="534BEF0E" w:rsidR="00617D97" w:rsidRPr="00414254" w:rsidRDefault="00617D97" w:rsidP="003B46A1">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100%</w:t>
            </w:r>
          </w:p>
        </w:tc>
      </w:tr>
      <w:tr w:rsidR="00617D97" w:rsidRPr="00414254" w14:paraId="1D039BC1" w14:textId="77777777" w:rsidTr="001054A2">
        <w:trPr>
          <w:trHeight w:val="397"/>
          <w:jc w:val="center"/>
        </w:trPr>
        <w:tc>
          <w:tcPr>
            <w:tcW w:w="1975" w:type="dxa"/>
            <w:vMerge/>
            <w:tcBorders>
              <w:top w:val="single" w:sz="8" w:space="0" w:color="FFFFFF"/>
              <w:left w:val="single" w:sz="8" w:space="0" w:color="FFFFFF"/>
              <w:bottom w:val="single" w:sz="4" w:space="0" w:color="BFBFBF" w:themeColor="background1" w:themeShade="BF"/>
              <w:right w:val="nil"/>
            </w:tcBorders>
            <w:shd w:val="clear" w:color="auto" w:fill="auto"/>
            <w:vAlign w:val="center"/>
            <w:hideMark/>
          </w:tcPr>
          <w:p w14:paraId="1A6F8963"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337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3F66944"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Tratados Internacionales</w:t>
            </w:r>
          </w:p>
        </w:tc>
        <w:tc>
          <w:tcPr>
            <w:tcW w:w="514"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F31286C" w14:textId="77777777" w:rsidR="00617D97" w:rsidRPr="00414254" w:rsidRDefault="00617D97" w:rsidP="00642D38">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single" w:sz="8" w:space="0" w:color="FFFFFF"/>
              <w:left w:val="nil"/>
              <w:bottom w:val="single" w:sz="4" w:space="0" w:color="BFBFBF" w:themeColor="background1" w:themeShade="BF"/>
              <w:right w:val="single" w:sz="4" w:space="0" w:color="BFBFBF" w:themeColor="background1" w:themeShade="BF"/>
            </w:tcBorders>
            <w:shd w:val="clear" w:color="auto" w:fill="auto"/>
            <w:vAlign w:val="center"/>
            <w:hideMark/>
          </w:tcPr>
          <w:p w14:paraId="7BE8A573"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7203466"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986FE34"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D2DFDD"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6E30C5C"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F5DEEA1"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11985BBA"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617D97" w:rsidRPr="00414254" w14:paraId="1CD4E045" w14:textId="77777777" w:rsidTr="001054A2">
        <w:trPr>
          <w:trHeight w:val="397"/>
          <w:jc w:val="center"/>
        </w:trPr>
        <w:tc>
          <w:tcPr>
            <w:tcW w:w="1975" w:type="dxa"/>
            <w:vMerge w:val="restart"/>
            <w:tcBorders>
              <w:top w:val="single" w:sz="4" w:space="0" w:color="BFBFBF" w:themeColor="background1" w:themeShade="BF"/>
              <w:left w:val="single" w:sz="8" w:space="0" w:color="FFFFFF"/>
              <w:bottom w:val="single" w:sz="4" w:space="0" w:color="BFBFBF" w:themeColor="background1" w:themeShade="BF"/>
              <w:right w:val="nil"/>
            </w:tcBorders>
            <w:shd w:val="clear" w:color="auto" w:fill="auto"/>
            <w:vAlign w:val="center"/>
            <w:hideMark/>
          </w:tcPr>
          <w:p w14:paraId="2E7B02E5" w14:textId="77777777" w:rsidR="00617D97" w:rsidRPr="00414254" w:rsidRDefault="00617D97" w:rsidP="00A455C6">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Uso en la medición del desarrollo nacional</w:t>
            </w:r>
          </w:p>
        </w:tc>
        <w:tc>
          <w:tcPr>
            <w:tcW w:w="3890" w:type="dxa"/>
            <w:gridSpan w:val="2"/>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02AE57B" w14:textId="41572B8F"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xml:space="preserve">Indicadores de programas derivados del </w:t>
            </w:r>
            <w:proofErr w:type="spellStart"/>
            <w:r w:rsidRPr="00414254">
              <w:rPr>
                <w:rFonts w:ascii="Garamond" w:eastAsia="Times New Roman" w:hAnsi="Garamond" w:cs="Arial"/>
                <w:smallCaps/>
                <w:color w:val="000000"/>
                <w:sz w:val="20"/>
                <w:szCs w:val="20"/>
                <w:lang w:eastAsia="es-MX"/>
              </w:rPr>
              <w:t>pnd</w:t>
            </w:r>
            <w:proofErr w:type="spellEnd"/>
          </w:p>
        </w:tc>
        <w:tc>
          <w:tcPr>
            <w:tcW w:w="510"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8B274CD"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0137C381"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353D5F9"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2448E72"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B197A51"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B76332C"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5095C5D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B31E0A" w:rsidRPr="00414254" w14:paraId="6130F42C" w14:textId="77777777" w:rsidTr="001054A2">
        <w:trPr>
          <w:trHeight w:val="397"/>
          <w:jc w:val="center"/>
        </w:trPr>
        <w:tc>
          <w:tcPr>
            <w:tcW w:w="1975" w:type="dxa"/>
            <w:vMerge/>
            <w:tcBorders>
              <w:top w:val="single" w:sz="8" w:space="0" w:color="FFFFFF"/>
              <w:left w:val="single" w:sz="8" w:space="0" w:color="FFFFFF"/>
              <w:bottom w:val="single" w:sz="4" w:space="0" w:color="BFBFBF" w:themeColor="background1" w:themeShade="BF"/>
              <w:right w:val="nil"/>
            </w:tcBorders>
            <w:shd w:val="clear" w:color="auto" w:fill="auto"/>
            <w:vAlign w:val="center"/>
            <w:hideMark/>
          </w:tcPr>
          <w:p w14:paraId="2DAC6BE4"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337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AB3E5D7"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Indicadores Clave</w:t>
            </w:r>
          </w:p>
        </w:tc>
        <w:tc>
          <w:tcPr>
            <w:tcW w:w="51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285450A" w14:textId="77777777" w:rsidR="00617D97" w:rsidRPr="00414254" w:rsidRDefault="00617D97" w:rsidP="00642D38">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DB68BF6"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F245BF8"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10E91FD3"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769640"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26F02B9"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7C83525"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66ABA049"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617D97" w:rsidRPr="00414254" w14:paraId="42F1736A" w14:textId="77777777" w:rsidTr="001054A2">
        <w:trPr>
          <w:trHeight w:val="397"/>
          <w:jc w:val="center"/>
        </w:trPr>
        <w:tc>
          <w:tcPr>
            <w:tcW w:w="1975" w:type="dxa"/>
            <w:vMerge/>
            <w:tcBorders>
              <w:top w:val="single" w:sz="8" w:space="0" w:color="FFFFFF"/>
              <w:left w:val="single" w:sz="8" w:space="0" w:color="FFFFFF"/>
              <w:bottom w:val="single" w:sz="4" w:space="0" w:color="BFBFBF" w:themeColor="background1" w:themeShade="BF"/>
              <w:right w:val="nil"/>
            </w:tcBorders>
            <w:shd w:val="clear" w:color="auto" w:fill="auto"/>
            <w:vAlign w:val="center"/>
            <w:hideMark/>
          </w:tcPr>
          <w:p w14:paraId="2E142C27"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337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6EEAAC9" w14:textId="7F04752C"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xml:space="preserve">Indicadores de los </w:t>
            </w:r>
            <w:proofErr w:type="spellStart"/>
            <w:r w:rsidRPr="00414254">
              <w:rPr>
                <w:rFonts w:ascii="Garamond" w:eastAsia="Times New Roman" w:hAnsi="Garamond" w:cs="Arial"/>
                <w:smallCaps/>
                <w:color w:val="000000"/>
                <w:sz w:val="20"/>
                <w:szCs w:val="20"/>
                <w:lang w:eastAsia="es-MX"/>
              </w:rPr>
              <w:t>ods</w:t>
            </w:r>
            <w:proofErr w:type="spellEnd"/>
          </w:p>
        </w:tc>
        <w:tc>
          <w:tcPr>
            <w:tcW w:w="51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D1AB9F6" w14:textId="77777777" w:rsidR="00617D97" w:rsidRPr="00414254" w:rsidRDefault="00617D97" w:rsidP="00642D38">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55CDD26"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69CB8EB"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56EFF76"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E4B47E1"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9115FD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A97E5B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1055B445"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9D32DC" w:rsidRPr="00414254" w14:paraId="3D61D695" w14:textId="77777777" w:rsidTr="001054A2">
        <w:trPr>
          <w:trHeight w:val="397"/>
          <w:jc w:val="center"/>
        </w:trPr>
        <w:tc>
          <w:tcPr>
            <w:tcW w:w="1975" w:type="dxa"/>
            <w:vMerge/>
            <w:tcBorders>
              <w:top w:val="single" w:sz="8" w:space="0" w:color="FFFFFF"/>
              <w:left w:val="single" w:sz="8" w:space="0" w:color="FFFFFF"/>
              <w:bottom w:val="single" w:sz="4" w:space="0" w:color="BFBFBF" w:themeColor="background1" w:themeShade="BF"/>
              <w:right w:val="nil"/>
            </w:tcBorders>
            <w:shd w:val="clear" w:color="auto" w:fill="auto"/>
            <w:vAlign w:val="center"/>
            <w:hideMark/>
          </w:tcPr>
          <w:p w14:paraId="43E573C3"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3376"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496D9E7" w14:textId="6942133E"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xml:space="preserve">Metas genéricas del </w:t>
            </w:r>
            <w:proofErr w:type="spellStart"/>
            <w:r w:rsidRPr="00414254">
              <w:rPr>
                <w:rFonts w:ascii="Garamond" w:eastAsia="Times New Roman" w:hAnsi="Garamond" w:cs="Arial"/>
                <w:smallCaps/>
                <w:color w:val="000000"/>
                <w:sz w:val="20"/>
                <w:szCs w:val="20"/>
                <w:lang w:eastAsia="es-MX"/>
              </w:rPr>
              <w:t>pnd</w:t>
            </w:r>
            <w:proofErr w:type="spellEnd"/>
          </w:p>
        </w:tc>
        <w:tc>
          <w:tcPr>
            <w:tcW w:w="51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A32597F" w14:textId="566C685A" w:rsidR="00617D97" w:rsidRPr="00414254" w:rsidRDefault="00617D97" w:rsidP="00642D38">
            <w:pPr>
              <w:spacing w:after="0" w:line="240" w:lineRule="auto"/>
              <w:rPr>
                <w:rFonts w:ascii="Garamond" w:eastAsia="Times New Roman" w:hAnsi="Garamond" w:cs="Arial"/>
                <w:color w:val="000000"/>
                <w:sz w:val="20"/>
                <w:szCs w:val="20"/>
                <w:lang w:eastAsia="es-MX"/>
              </w:rPr>
            </w:pP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8A02A2A"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37E5C9B"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1B38DDC"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0560BF5"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3015AA72"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510"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A389561"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77C78C64"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617D97" w:rsidRPr="00414254" w14:paraId="51482C28" w14:textId="77777777" w:rsidTr="001054A2">
        <w:trPr>
          <w:trHeight w:val="397"/>
          <w:jc w:val="center"/>
        </w:trPr>
        <w:tc>
          <w:tcPr>
            <w:tcW w:w="1975" w:type="dxa"/>
            <w:vMerge w:val="restart"/>
            <w:tcBorders>
              <w:top w:val="single" w:sz="4" w:space="0" w:color="BFBFBF" w:themeColor="background1" w:themeShade="BF"/>
              <w:left w:val="single" w:sz="8" w:space="0" w:color="FFFFFF"/>
              <w:bottom w:val="single" w:sz="4" w:space="0" w:color="BFBFBF" w:themeColor="background1" w:themeShade="BF"/>
              <w:right w:val="nil"/>
            </w:tcBorders>
            <w:shd w:val="clear" w:color="auto" w:fill="auto"/>
            <w:vAlign w:val="center"/>
            <w:hideMark/>
          </w:tcPr>
          <w:p w14:paraId="6D71EE83" w14:textId="77777777" w:rsidR="00617D97" w:rsidRPr="00414254" w:rsidRDefault="00617D97" w:rsidP="00A455C6">
            <w:pPr>
              <w:spacing w:after="0" w:line="240" w:lineRule="auto"/>
              <w:jc w:val="center"/>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Consultas de usuarios</w:t>
            </w:r>
          </w:p>
        </w:tc>
        <w:tc>
          <w:tcPr>
            <w:tcW w:w="5930" w:type="dxa"/>
            <w:gridSpan w:val="6"/>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6D8165E"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Laboratorio de microdatos (principalmente para investigación)</w:t>
            </w:r>
          </w:p>
        </w:tc>
        <w:tc>
          <w:tcPr>
            <w:tcW w:w="510"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ADEFAD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vMerge/>
            <w:tcBorders>
              <w:top w:val="nil"/>
              <w:left w:val="nil"/>
              <w:bottom w:val="single" w:sz="4" w:space="0" w:color="BFBFBF" w:themeColor="background1" w:themeShade="BF"/>
              <w:right w:val="single" w:sz="4" w:space="0" w:color="BFBFBF" w:themeColor="background1" w:themeShade="BF"/>
            </w:tcBorders>
            <w:shd w:val="clear" w:color="auto" w:fill="auto"/>
            <w:vAlign w:val="center"/>
            <w:hideMark/>
          </w:tcPr>
          <w:p w14:paraId="074B3E57"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609" w:type="dxa"/>
            <w:vMerge/>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6CA356DC"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r w:rsidR="00617D97" w:rsidRPr="00414254" w14:paraId="359F2069" w14:textId="77777777" w:rsidTr="001054A2">
        <w:trPr>
          <w:trHeight w:val="397"/>
          <w:jc w:val="center"/>
        </w:trPr>
        <w:tc>
          <w:tcPr>
            <w:tcW w:w="1975" w:type="dxa"/>
            <w:vMerge/>
            <w:tcBorders>
              <w:top w:val="single" w:sz="8" w:space="0" w:color="FFFFFF"/>
              <w:left w:val="single" w:sz="8" w:space="0" w:color="FFFFFF"/>
              <w:bottom w:val="single" w:sz="8" w:space="0" w:color="D9D9D9" w:themeColor="background1" w:themeShade="D9"/>
              <w:right w:val="nil"/>
            </w:tcBorders>
            <w:shd w:val="clear" w:color="auto" w:fill="auto"/>
            <w:vAlign w:val="center"/>
            <w:hideMark/>
          </w:tcPr>
          <w:p w14:paraId="58D2ECA5"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c>
          <w:tcPr>
            <w:tcW w:w="3890" w:type="dxa"/>
            <w:gridSpan w:val="2"/>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2ECD6849" w14:textId="5A983D28"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xml:space="preserve">Usuarios de la página del </w:t>
            </w:r>
            <w:proofErr w:type="spellStart"/>
            <w:r w:rsidRPr="00414254">
              <w:rPr>
                <w:rFonts w:ascii="Garamond" w:eastAsia="Times New Roman" w:hAnsi="Garamond" w:cs="Arial"/>
                <w:smallCaps/>
                <w:color w:val="000000"/>
                <w:sz w:val="20"/>
                <w:szCs w:val="20"/>
                <w:lang w:eastAsia="es-MX"/>
              </w:rPr>
              <w:t>inegi</w:t>
            </w:r>
            <w:proofErr w:type="spellEnd"/>
          </w:p>
        </w:tc>
        <w:tc>
          <w:tcPr>
            <w:tcW w:w="510" w:type="dxa"/>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1926730B"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73181B26"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7ED67CCF"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057F02B8"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8" w:space="0" w:color="D9D9D9" w:themeColor="background1" w:themeShade="D9"/>
              <w:right w:val="nil"/>
            </w:tcBorders>
            <w:shd w:val="clear" w:color="auto" w:fill="auto"/>
            <w:noWrap/>
            <w:vAlign w:val="center"/>
            <w:hideMark/>
          </w:tcPr>
          <w:p w14:paraId="74980782"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510" w:type="dxa"/>
            <w:tcBorders>
              <w:top w:val="single" w:sz="4" w:space="0" w:color="BFBFBF" w:themeColor="background1" w:themeShade="BF"/>
              <w:left w:val="nil"/>
              <w:bottom w:val="single" w:sz="8" w:space="0" w:color="D9D9D9" w:themeColor="background1" w:themeShade="D9"/>
            </w:tcBorders>
            <w:shd w:val="clear" w:color="auto" w:fill="auto"/>
            <w:noWrap/>
            <w:vAlign w:val="center"/>
            <w:hideMark/>
          </w:tcPr>
          <w:p w14:paraId="07650F0D"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r w:rsidRPr="00414254">
              <w:rPr>
                <w:rFonts w:ascii="Garamond" w:eastAsia="Times New Roman" w:hAnsi="Garamond" w:cs="Arial"/>
                <w:color w:val="000000"/>
                <w:sz w:val="20"/>
                <w:szCs w:val="20"/>
                <w:lang w:eastAsia="es-MX"/>
              </w:rPr>
              <w:t> </w:t>
            </w:r>
          </w:p>
        </w:tc>
        <w:tc>
          <w:tcPr>
            <w:tcW w:w="609" w:type="dxa"/>
            <w:vMerge/>
            <w:tcBorders>
              <w:top w:val="nil"/>
              <w:left w:val="nil"/>
              <w:bottom w:val="single" w:sz="8" w:space="0" w:color="D9D9D9" w:themeColor="background1" w:themeShade="D9"/>
              <w:right w:val="single" w:sz="4" w:space="0" w:color="BFBFBF" w:themeColor="background1" w:themeShade="BF"/>
            </w:tcBorders>
            <w:shd w:val="clear" w:color="auto" w:fill="auto"/>
            <w:vAlign w:val="center"/>
            <w:hideMark/>
          </w:tcPr>
          <w:p w14:paraId="4AFF0CE9" w14:textId="77777777" w:rsidR="00617D97" w:rsidRPr="00414254" w:rsidRDefault="00617D97" w:rsidP="00A455C6">
            <w:pPr>
              <w:spacing w:after="0" w:line="240" w:lineRule="auto"/>
              <w:rPr>
                <w:rFonts w:ascii="Garamond" w:eastAsia="Times New Roman" w:hAnsi="Garamond" w:cs="Arial"/>
                <w:color w:val="000000"/>
                <w:sz w:val="20"/>
                <w:szCs w:val="20"/>
                <w:lang w:eastAsia="es-MX"/>
              </w:rPr>
            </w:pPr>
          </w:p>
        </w:tc>
      </w:tr>
    </w:tbl>
    <w:p w14:paraId="375D5C66" w14:textId="3EAAA20A" w:rsidR="00B10749" w:rsidRPr="00414254" w:rsidRDefault="00A76D4A" w:rsidP="00C04D6C">
      <w:pPr>
        <w:pStyle w:val="Ttulo2"/>
        <w:spacing w:before="240"/>
        <w:rPr>
          <w:rFonts w:ascii="Garamond" w:eastAsiaTheme="minorHAnsi" w:hAnsi="Garamond" w:cstheme="minorBidi"/>
          <w:bCs/>
          <w:color w:val="0079BF"/>
          <w:sz w:val="22"/>
          <w:szCs w:val="22"/>
        </w:rPr>
      </w:pPr>
      <w:bookmarkStart w:id="3" w:name="_Toc164684568"/>
      <w:r w:rsidRPr="00414254">
        <w:rPr>
          <w:rFonts w:ascii="Garamond" w:eastAsiaTheme="minorHAnsi" w:hAnsi="Garamond" w:cstheme="minorBidi"/>
          <w:bCs/>
          <w:color w:val="0079BF"/>
          <w:sz w:val="22"/>
          <w:szCs w:val="22"/>
        </w:rPr>
        <w:lastRenderedPageBreak/>
        <w:t xml:space="preserve">II.2. </w:t>
      </w:r>
      <w:r w:rsidR="00EF32C1" w:rsidRPr="00414254">
        <w:rPr>
          <w:rFonts w:ascii="Garamond" w:eastAsiaTheme="minorHAnsi" w:hAnsi="Garamond" w:cstheme="minorBidi"/>
          <w:bCs/>
          <w:color w:val="0079BF"/>
          <w:sz w:val="22"/>
          <w:szCs w:val="22"/>
        </w:rPr>
        <w:t>OPORTUNIDAD</w:t>
      </w:r>
      <w:bookmarkEnd w:id="3"/>
    </w:p>
    <w:p w14:paraId="5A14E79C" w14:textId="4552C2B6" w:rsidR="00236335" w:rsidRDefault="00E97516" w:rsidP="00C04D6C">
      <w:pPr>
        <w:spacing w:before="120" w:after="60"/>
        <w:jc w:val="both"/>
        <w:rPr>
          <w:rFonts w:ascii="Garamond" w:hAnsi="Garamond"/>
        </w:rPr>
      </w:pPr>
      <w:r>
        <w:rPr>
          <w:rFonts w:ascii="Garamond" w:hAnsi="Garamond"/>
        </w:rPr>
        <w:t>L</w:t>
      </w:r>
      <w:r w:rsidR="0066047C" w:rsidRPr="00414254">
        <w:rPr>
          <w:rFonts w:ascii="Garamond" w:hAnsi="Garamond"/>
        </w:rPr>
        <w:t xml:space="preserve">a oportunidad </w:t>
      </w:r>
      <w:r w:rsidR="00D5220F">
        <w:rPr>
          <w:rFonts w:ascii="Garamond" w:hAnsi="Garamond"/>
        </w:rPr>
        <w:t>mide</w:t>
      </w:r>
      <w:r w:rsidR="0066047C" w:rsidRPr="00414254">
        <w:rPr>
          <w:rFonts w:ascii="Garamond" w:hAnsi="Garamond"/>
        </w:rPr>
        <w:t xml:space="preserve"> el tiempo transcurrido entre que la información está disponible </w:t>
      </w:r>
      <w:r w:rsidR="00DE358E">
        <w:rPr>
          <w:rFonts w:ascii="Garamond" w:hAnsi="Garamond"/>
        </w:rPr>
        <w:t>para las personas usuarias</w:t>
      </w:r>
      <w:r w:rsidR="0066047C" w:rsidRPr="00414254">
        <w:rPr>
          <w:rFonts w:ascii="Garamond" w:hAnsi="Garamond"/>
        </w:rPr>
        <w:t xml:space="preserve"> y </w:t>
      </w:r>
      <w:r w:rsidR="009C30F0" w:rsidRPr="00414254">
        <w:rPr>
          <w:rFonts w:ascii="Garamond" w:hAnsi="Garamond"/>
        </w:rPr>
        <w:t xml:space="preserve">la ocurrencia del </w:t>
      </w:r>
      <w:r w:rsidR="0066047C" w:rsidRPr="00414254">
        <w:rPr>
          <w:rFonts w:ascii="Garamond" w:hAnsi="Garamond"/>
        </w:rPr>
        <w:t>hecho o fenómeno que describe (período de referencia)</w:t>
      </w:r>
      <w:r w:rsidR="00EB5243">
        <w:rPr>
          <w:rStyle w:val="Refdenotaalpie"/>
          <w:rFonts w:ascii="Garamond" w:hAnsi="Garamond"/>
        </w:rPr>
        <w:footnoteReference w:id="7"/>
      </w:r>
      <w:r w:rsidR="0066047C" w:rsidRPr="00414254">
        <w:rPr>
          <w:rFonts w:ascii="Garamond" w:hAnsi="Garamond"/>
        </w:rPr>
        <w:t>.</w:t>
      </w:r>
      <w:r w:rsidR="00311656">
        <w:rPr>
          <w:rFonts w:ascii="Garamond" w:hAnsi="Garamond"/>
        </w:rPr>
        <w:t xml:space="preserve"> El indicador de oportunidad </w:t>
      </w:r>
      <w:r w:rsidR="007C370F">
        <w:rPr>
          <w:rFonts w:ascii="Garamond" w:hAnsi="Garamond"/>
        </w:rPr>
        <w:t>e</w:t>
      </w:r>
      <w:r w:rsidR="007C370F" w:rsidRPr="007C370F">
        <w:rPr>
          <w:rFonts w:ascii="Garamond" w:hAnsi="Garamond"/>
        </w:rPr>
        <w:t xml:space="preserve">s la diferencia </w:t>
      </w:r>
      <w:r w:rsidR="00070335">
        <w:rPr>
          <w:rFonts w:ascii="Garamond" w:hAnsi="Garamond"/>
        </w:rPr>
        <w:t>relativa</w:t>
      </w:r>
      <w:r w:rsidR="007C370F" w:rsidRPr="007C370F">
        <w:rPr>
          <w:rFonts w:ascii="Garamond" w:hAnsi="Garamond"/>
        </w:rPr>
        <w:t xml:space="preserve"> entre un parámetro de oportunidad</w:t>
      </w:r>
      <w:r w:rsidR="007C370F">
        <w:rPr>
          <w:rFonts w:ascii="Garamond" w:hAnsi="Garamond"/>
        </w:rPr>
        <w:t xml:space="preserve"> </w:t>
      </w:r>
      <w:r w:rsidR="007C370F" w:rsidRPr="007C370F">
        <w:rPr>
          <w:rFonts w:ascii="Garamond" w:hAnsi="Garamond"/>
        </w:rPr>
        <w:t>de referencia</w:t>
      </w:r>
      <w:r w:rsidR="00D228CC">
        <w:rPr>
          <w:rFonts w:ascii="Garamond" w:hAnsi="Garamond"/>
        </w:rPr>
        <w:t>, medido en días,</w:t>
      </w:r>
      <w:r w:rsidR="00EE3566">
        <w:rPr>
          <w:rFonts w:ascii="Garamond" w:hAnsi="Garamond"/>
        </w:rPr>
        <w:t xml:space="preserve"> </w:t>
      </w:r>
      <w:r w:rsidR="007C370F" w:rsidRPr="007C370F">
        <w:rPr>
          <w:rFonts w:ascii="Garamond" w:hAnsi="Garamond"/>
        </w:rPr>
        <w:t xml:space="preserve">y el número de días en que el Instituto da a conocer la información en cuestión. Este indicador se calcula para cada una de las publicaciones comprometidas en el </w:t>
      </w:r>
      <w:r w:rsidR="00CE428B" w:rsidRPr="00EE2200">
        <w:rPr>
          <w:rFonts w:ascii="Garamond" w:hAnsi="Garamond"/>
          <w:i/>
        </w:rPr>
        <w:t>C</w:t>
      </w:r>
      <w:r w:rsidR="007C370F" w:rsidRPr="00EE2200">
        <w:rPr>
          <w:rFonts w:ascii="Garamond" w:hAnsi="Garamond"/>
          <w:i/>
        </w:rPr>
        <w:t>alendario de difusión</w:t>
      </w:r>
      <w:r w:rsidR="00FA4EFF" w:rsidRPr="00EE2200">
        <w:rPr>
          <w:i/>
          <w:iCs/>
        </w:rPr>
        <w:t xml:space="preserve"> </w:t>
      </w:r>
      <w:r w:rsidR="00FA4EFF" w:rsidRPr="00EE2200">
        <w:rPr>
          <w:rFonts w:ascii="Garamond" w:hAnsi="Garamond"/>
          <w:i/>
          <w:iCs/>
        </w:rPr>
        <w:t>de información estadística y geográfica y de Interés Nacional</w:t>
      </w:r>
      <w:r w:rsidR="005352B6" w:rsidRPr="00EE2200">
        <w:rPr>
          <w:rFonts w:ascii="Garamond" w:hAnsi="Garamond"/>
          <w:i/>
          <w:iCs/>
        </w:rPr>
        <w:t xml:space="preserve"> del </w:t>
      </w:r>
      <w:proofErr w:type="spellStart"/>
      <w:r w:rsidR="005352B6" w:rsidRPr="00EE2200">
        <w:rPr>
          <w:rFonts w:ascii="Garamond" w:hAnsi="Garamond"/>
          <w:i/>
          <w:iCs/>
          <w:smallCaps/>
        </w:rPr>
        <w:t>inegi</w:t>
      </w:r>
      <w:proofErr w:type="spellEnd"/>
      <w:r w:rsidR="005352B6">
        <w:rPr>
          <w:rFonts w:ascii="Garamond" w:hAnsi="Garamond"/>
        </w:rPr>
        <w:t xml:space="preserve"> (Calendario de difusión)</w:t>
      </w:r>
      <w:r w:rsidR="00D5220F">
        <w:rPr>
          <w:rStyle w:val="Refdenotaalpie"/>
          <w:rFonts w:ascii="Garamond" w:hAnsi="Garamond"/>
        </w:rPr>
        <w:footnoteReference w:id="8"/>
      </w:r>
      <w:r w:rsidR="00537B88">
        <w:rPr>
          <w:rFonts w:ascii="Garamond" w:hAnsi="Garamond"/>
        </w:rPr>
        <w:t xml:space="preserve">, por lo que </w:t>
      </w:r>
      <w:r w:rsidR="00100964">
        <w:rPr>
          <w:rFonts w:ascii="Garamond" w:hAnsi="Garamond"/>
        </w:rPr>
        <w:t xml:space="preserve">el parámetro está en función </w:t>
      </w:r>
      <w:r w:rsidR="008B0F52">
        <w:rPr>
          <w:rFonts w:ascii="Garamond" w:hAnsi="Garamond"/>
        </w:rPr>
        <w:t xml:space="preserve">de los </w:t>
      </w:r>
      <w:r w:rsidR="003751B2">
        <w:rPr>
          <w:rFonts w:ascii="Garamond" w:hAnsi="Garamond"/>
        </w:rPr>
        <w:t>productos</w:t>
      </w:r>
      <w:r w:rsidR="00C05F53">
        <w:rPr>
          <w:rFonts w:ascii="Garamond" w:hAnsi="Garamond"/>
        </w:rPr>
        <w:t xml:space="preserve"> </w:t>
      </w:r>
      <w:r w:rsidR="006742EA">
        <w:rPr>
          <w:rFonts w:ascii="Garamond" w:hAnsi="Garamond"/>
        </w:rPr>
        <w:t xml:space="preserve">y </w:t>
      </w:r>
      <w:r w:rsidR="009255EC">
        <w:rPr>
          <w:rFonts w:ascii="Garamond" w:hAnsi="Garamond"/>
        </w:rPr>
        <w:t xml:space="preserve">se priorizan </w:t>
      </w:r>
      <w:r w:rsidR="007412F1">
        <w:rPr>
          <w:rFonts w:ascii="Garamond" w:hAnsi="Garamond"/>
        </w:rPr>
        <w:t xml:space="preserve">las recomendaciones internacionales </w:t>
      </w:r>
      <w:r w:rsidR="00880CD1">
        <w:rPr>
          <w:rFonts w:ascii="Garamond" w:hAnsi="Garamond"/>
        </w:rPr>
        <w:t>en</w:t>
      </w:r>
      <w:r w:rsidR="00C05F53">
        <w:rPr>
          <w:rFonts w:ascii="Garamond" w:hAnsi="Garamond"/>
        </w:rPr>
        <w:t xml:space="preserve"> su definición</w:t>
      </w:r>
      <w:r w:rsidR="008A69C1">
        <w:rPr>
          <w:rFonts w:ascii="Garamond" w:hAnsi="Garamond"/>
        </w:rPr>
        <w:t>.</w:t>
      </w:r>
    </w:p>
    <w:p w14:paraId="19DE5546" w14:textId="5EE93E73" w:rsidR="00F0323F" w:rsidRPr="00414254" w:rsidRDefault="00194A4A" w:rsidP="003F486F">
      <w:pPr>
        <w:spacing w:before="240" w:after="0"/>
        <w:jc w:val="center"/>
        <w:rPr>
          <w:rFonts w:ascii="Garamond" w:hAnsi="Garamond"/>
          <w:b/>
        </w:rPr>
      </w:pPr>
      <w:r w:rsidRPr="00414254">
        <w:rPr>
          <w:rFonts w:ascii="Garamond" w:hAnsi="Garamond"/>
          <w:b/>
        </w:rPr>
        <w:t>Tabla 4</w:t>
      </w:r>
      <w:r w:rsidR="00F0323F" w:rsidRPr="00414254">
        <w:rPr>
          <w:rFonts w:ascii="Garamond" w:hAnsi="Garamond"/>
          <w:b/>
        </w:rPr>
        <w:t xml:space="preserve">. Porcentaje de </w:t>
      </w:r>
      <w:r w:rsidR="00747EF1" w:rsidRPr="00414254">
        <w:rPr>
          <w:rFonts w:ascii="Garamond" w:hAnsi="Garamond"/>
          <w:b/>
        </w:rPr>
        <w:t>publicaciones</w:t>
      </w:r>
      <w:r w:rsidR="00F0323F" w:rsidRPr="00414254">
        <w:rPr>
          <w:rFonts w:ascii="Garamond" w:hAnsi="Garamond"/>
          <w:b/>
        </w:rPr>
        <w:t xml:space="preserve"> que cumple</w:t>
      </w:r>
      <w:r w:rsidR="005B235F">
        <w:rPr>
          <w:rFonts w:ascii="Garamond" w:hAnsi="Garamond"/>
          <w:b/>
        </w:rPr>
        <w:t>n</w:t>
      </w:r>
      <w:r w:rsidR="00F0323F" w:rsidRPr="00414254">
        <w:rPr>
          <w:rFonts w:ascii="Garamond" w:hAnsi="Garamond"/>
          <w:b/>
        </w:rPr>
        <w:t xml:space="preserve"> los parámetros de oportunidad</w:t>
      </w:r>
      <w:r w:rsidR="00747EF1" w:rsidRPr="00414254">
        <w:rPr>
          <w:rFonts w:ascii="Garamond" w:hAnsi="Garamond"/>
          <w:b/>
        </w:rPr>
        <w:t>, por método de generación</w:t>
      </w:r>
      <w:r w:rsidR="001234BA">
        <w:rPr>
          <w:rStyle w:val="Refdenotaalpie"/>
          <w:rFonts w:ascii="Garamond" w:hAnsi="Garamond"/>
          <w:b/>
        </w:rPr>
        <w:footnoteReference w:id="9"/>
      </w:r>
    </w:p>
    <w:tbl>
      <w:tblPr>
        <w:tblW w:w="7945"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400"/>
        <w:gridCol w:w="709"/>
        <w:gridCol w:w="709"/>
        <w:gridCol w:w="709"/>
        <w:gridCol w:w="709"/>
        <w:gridCol w:w="709"/>
      </w:tblGrid>
      <w:tr w:rsidR="00594D79" w:rsidRPr="00414254" w14:paraId="49BC17F9" w14:textId="73BB8BEB" w:rsidTr="004E3C3C">
        <w:trPr>
          <w:trHeight w:val="397"/>
          <w:jc w:val="center"/>
        </w:trPr>
        <w:tc>
          <w:tcPr>
            <w:tcW w:w="4400" w:type="dxa"/>
            <w:tcBorders>
              <w:left w:val="single" w:sz="4" w:space="0" w:color="BFBFBF" w:themeColor="background1" w:themeShade="BF"/>
              <w:bottom w:val="nil"/>
              <w:right w:val="nil"/>
            </w:tcBorders>
            <w:shd w:val="clear" w:color="auto" w:fill="002060"/>
            <w:noWrap/>
            <w:vAlign w:val="center"/>
            <w:hideMark/>
          </w:tcPr>
          <w:p w14:paraId="2116A483" w14:textId="5977EA36"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Fonts w:ascii="Garamond" w:eastAsia="Times New Roman" w:hAnsi="Garamond" w:cs="Calibri"/>
                <w:b/>
                <w:bCs/>
                <w:color w:val="FFFFFF" w:themeColor="background1"/>
                <w:sz w:val="20"/>
                <w:szCs w:val="20"/>
                <w:lang w:eastAsia="es-MX"/>
              </w:rPr>
              <w:t xml:space="preserve">Método de </w:t>
            </w:r>
            <w:r w:rsidR="003B1B8C" w:rsidRPr="00414254">
              <w:rPr>
                <w:rFonts w:ascii="Garamond" w:eastAsia="Times New Roman" w:hAnsi="Garamond" w:cs="Calibri"/>
                <w:b/>
                <w:bCs/>
                <w:color w:val="FFFFFF" w:themeColor="background1"/>
                <w:sz w:val="20"/>
                <w:szCs w:val="20"/>
                <w:lang w:eastAsia="es-MX"/>
              </w:rPr>
              <w:t>g</w:t>
            </w:r>
            <w:r w:rsidRPr="00414254">
              <w:rPr>
                <w:rFonts w:ascii="Garamond" w:eastAsia="Times New Roman" w:hAnsi="Garamond" w:cs="Calibri"/>
                <w:b/>
                <w:bCs/>
                <w:color w:val="FFFFFF" w:themeColor="background1"/>
                <w:sz w:val="20"/>
                <w:szCs w:val="20"/>
                <w:lang w:eastAsia="es-MX"/>
              </w:rPr>
              <w:t>eneración</w:t>
            </w:r>
          </w:p>
        </w:tc>
        <w:tc>
          <w:tcPr>
            <w:tcW w:w="709" w:type="dxa"/>
            <w:tcBorders>
              <w:left w:val="nil"/>
              <w:bottom w:val="nil"/>
              <w:right w:val="nil"/>
            </w:tcBorders>
            <w:shd w:val="clear" w:color="auto" w:fill="002060"/>
            <w:noWrap/>
            <w:vAlign w:val="center"/>
            <w:hideMark/>
          </w:tcPr>
          <w:p w14:paraId="50FEFA92" w14:textId="77777777"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Fonts w:ascii="Garamond" w:eastAsia="Times New Roman" w:hAnsi="Garamond" w:cs="Calibri"/>
                <w:b/>
                <w:bCs/>
                <w:color w:val="FFFFFF" w:themeColor="background1"/>
                <w:sz w:val="20"/>
                <w:szCs w:val="20"/>
                <w:lang w:eastAsia="es-MX"/>
              </w:rPr>
              <w:t>2019</w:t>
            </w:r>
          </w:p>
        </w:tc>
        <w:tc>
          <w:tcPr>
            <w:tcW w:w="709" w:type="dxa"/>
            <w:tcBorders>
              <w:left w:val="nil"/>
              <w:bottom w:val="nil"/>
              <w:right w:val="nil"/>
            </w:tcBorders>
            <w:shd w:val="clear" w:color="auto" w:fill="002060"/>
            <w:noWrap/>
            <w:vAlign w:val="center"/>
            <w:hideMark/>
          </w:tcPr>
          <w:p w14:paraId="60DF915F" w14:textId="77777777"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Fonts w:ascii="Garamond" w:eastAsia="Times New Roman" w:hAnsi="Garamond" w:cs="Calibri"/>
                <w:b/>
                <w:bCs/>
                <w:color w:val="FFFFFF" w:themeColor="background1"/>
                <w:sz w:val="20"/>
                <w:szCs w:val="20"/>
                <w:lang w:eastAsia="es-MX"/>
              </w:rPr>
              <w:t>2020</w:t>
            </w:r>
          </w:p>
        </w:tc>
        <w:tc>
          <w:tcPr>
            <w:tcW w:w="709" w:type="dxa"/>
            <w:tcBorders>
              <w:left w:val="nil"/>
              <w:bottom w:val="nil"/>
              <w:right w:val="nil"/>
            </w:tcBorders>
            <w:shd w:val="clear" w:color="auto" w:fill="002060"/>
            <w:noWrap/>
            <w:vAlign w:val="center"/>
            <w:hideMark/>
          </w:tcPr>
          <w:p w14:paraId="7BD8DDA6" w14:textId="77777777"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Fonts w:ascii="Garamond" w:eastAsia="Times New Roman" w:hAnsi="Garamond" w:cs="Calibri"/>
                <w:b/>
                <w:bCs/>
                <w:color w:val="FFFFFF" w:themeColor="background1"/>
                <w:sz w:val="20"/>
                <w:szCs w:val="20"/>
                <w:lang w:eastAsia="es-MX"/>
              </w:rPr>
              <w:t>2021</w:t>
            </w:r>
          </w:p>
        </w:tc>
        <w:tc>
          <w:tcPr>
            <w:tcW w:w="709" w:type="dxa"/>
            <w:tcBorders>
              <w:left w:val="nil"/>
              <w:bottom w:val="nil"/>
              <w:right w:val="nil"/>
            </w:tcBorders>
            <w:shd w:val="clear" w:color="auto" w:fill="002060"/>
            <w:vAlign w:val="center"/>
          </w:tcPr>
          <w:p w14:paraId="5746CF90" w14:textId="1655D8D2"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Fonts w:ascii="Garamond" w:eastAsia="Times New Roman" w:hAnsi="Garamond" w:cs="Calibri"/>
                <w:b/>
                <w:bCs/>
                <w:color w:val="FFFFFF" w:themeColor="background1"/>
                <w:sz w:val="20"/>
                <w:szCs w:val="20"/>
                <w:lang w:eastAsia="es-MX"/>
              </w:rPr>
              <w:t>2022</w:t>
            </w:r>
          </w:p>
        </w:tc>
        <w:tc>
          <w:tcPr>
            <w:tcW w:w="709" w:type="dxa"/>
            <w:tcBorders>
              <w:left w:val="nil"/>
              <w:bottom w:val="nil"/>
              <w:right w:val="single" w:sz="4" w:space="0" w:color="BFBFBF" w:themeColor="background1" w:themeShade="BF"/>
            </w:tcBorders>
            <w:shd w:val="clear" w:color="auto" w:fill="002060"/>
            <w:vAlign w:val="center"/>
          </w:tcPr>
          <w:p w14:paraId="7CF39933" w14:textId="1C1A0988" w:rsidR="00594D79" w:rsidRPr="00414254" w:rsidRDefault="00594D79" w:rsidP="00594D79">
            <w:pPr>
              <w:spacing w:after="0" w:line="240" w:lineRule="auto"/>
              <w:jc w:val="center"/>
              <w:rPr>
                <w:rFonts w:ascii="Garamond" w:eastAsia="Times New Roman" w:hAnsi="Garamond" w:cs="Calibri"/>
                <w:b/>
                <w:bCs/>
                <w:color w:val="FFFFFF" w:themeColor="background1"/>
                <w:sz w:val="20"/>
                <w:szCs w:val="20"/>
                <w:lang w:eastAsia="es-MX"/>
              </w:rPr>
            </w:pPr>
            <w:r w:rsidRPr="00414254">
              <w:rPr>
                <w:rStyle w:val="normaltextrun"/>
                <w:rFonts w:ascii="Garamond" w:hAnsi="Garamond" w:cs="Segoe UI"/>
                <w:b/>
                <w:bCs/>
                <w:color w:val="FFFFFF"/>
                <w:sz w:val="20"/>
                <w:szCs w:val="20"/>
              </w:rPr>
              <w:t>2023</w:t>
            </w:r>
            <w:r w:rsidRPr="00414254">
              <w:rPr>
                <w:rStyle w:val="eop"/>
                <w:rFonts w:ascii="Garamond" w:hAnsi="Garamond" w:cs="Segoe UI"/>
                <w:color w:val="FFFFFF"/>
                <w:sz w:val="20"/>
                <w:szCs w:val="20"/>
              </w:rPr>
              <w:t> </w:t>
            </w:r>
          </w:p>
        </w:tc>
      </w:tr>
      <w:tr w:rsidR="00DD1BBB" w:rsidRPr="00414254" w14:paraId="30EB1472" w14:textId="6E2A1EBF" w:rsidTr="004E3C3C">
        <w:trPr>
          <w:trHeight w:val="397"/>
          <w:jc w:val="center"/>
        </w:trPr>
        <w:tc>
          <w:tcPr>
            <w:tcW w:w="4400" w:type="dxa"/>
            <w:tcBorders>
              <w:top w:val="nil"/>
              <w:right w:val="nil"/>
            </w:tcBorders>
            <w:shd w:val="clear" w:color="auto" w:fill="auto"/>
            <w:noWrap/>
            <w:vAlign w:val="center"/>
            <w:hideMark/>
          </w:tcPr>
          <w:p w14:paraId="4FF0903C"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Actualización cartográfica</w:t>
            </w:r>
          </w:p>
        </w:tc>
        <w:tc>
          <w:tcPr>
            <w:tcW w:w="709" w:type="dxa"/>
            <w:tcBorders>
              <w:top w:val="nil"/>
              <w:left w:val="nil"/>
              <w:right w:val="nil"/>
            </w:tcBorders>
            <w:shd w:val="clear" w:color="auto" w:fill="auto"/>
            <w:noWrap/>
            <w:vAlign w:val="center"/>
            <w:hideMark/>
          </w:tcPr>
          <w:p w14:paraId="7FF2B594" w14:textId="25115A23" w:rsidR="00DD1BBB" w:rsidRPr="00C241D0" w:rsidRDefault="00C241D0" w:rsidP="00DD1BBB">
            <w:pPr>
              <w:spacing w:after="0" w:line="240" w:lineRule="auto"/>
              <w:jc w:val="center"/>
              <w:rPr>
                <w:rFonts w:ascii="Garamond" w:eastAsia="Times New Roman" w:hAnsi="Garamond" w:cs="Times New Roman"/>
                <w:smallCaps/>
                <w:sz w:val="20"/>
                <w:szCs w:val="20"/>
                <w:lang w:eastAsia="es-MX"/>
              </w:rPr>
            </w:pPr>
            <w:proofErr w:type="spellStart"/>
            <w:r w:rsidRPr="00C241D0">
              <w:rPr>
                <w:rFonts w:ascii="Garamond" w:eastAsia="Times New Roman" w:hAnsi="Garamond" w:cs="Times New Roman"/>
                <w:smallCaps/>
                <w:sz w:val="20"/>
                <w:szCs w:val="20"/>
                <w:lang w:eastAsia="es-MX"/>
              </w:rPr>
              <w:t>na</w:t>
            </w:r>
            <w:proofErr w:type="spellEnd"/>
          </w:p>
        </w:tc>
        <w:tc>
          <w:tcPr>
            <w:tcW w:w="709" w:type="dxa"/>
            <w:tcBorders>
              <w:top w:val="nil"/>
              <w:left w:val="nil"/>
              <w:right w:val="nil"/>
            </w:tcBorders>
            <w:shd w:val="clear" w:color="auto" w:fill="auto"/>
            <w:noWrap/>
            <w:vAlign w:val="center"/>
            <w:hideMark/>
          </w:tcPr>
          <w:p w14:paraId="1D2CF3B1"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33%</w:t>
            </w:r>
          </w:p>
        </w:tc>
        <w:tc>
          <w:tcPr>
            <w:tcW w:w="709" w:type="dxa"/>
            <w:tcBorders>
              <w:top w:val="nil"/>
              <w:left w:val="nil"/>
              <w:right w:val="nil"/>
            </w:tcBorders>
            <w:shd w:val="clear" w:color="auto" w:fill="auto"/>
            <w:noWrap/>
            <w:vAlign w:val="center"/>
            <w:hideMark/>
          </w:tcPr>
          <w:p w14:paraId="608D89C4"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100%</w:t>
            </w:r>
          </w:p>
        </w:tc>
        <w:tc>
          <w:tcPr>
            <w:tcW w:w="709" w:type="dxa"/>
            <w:tcBorders>
              <w:top w:val="nil"/>
              <w:left w:val="nil"/>
              <w:right w:val="nil"/>
            </w:tcBorders>
            <w:shd w:val="clear" w:color="auto" w:fill="auto"/>
            <w:vAlign w:val="center"/>
          </w:tcPr>
          <w:p w14:paraId="55423993" w14:textId="2573AF06"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100%</w:t>
            </w:r>
          </w:p>
        </w:tc>
        <w:tc>
          <w:tcPr>
            <w:tcW w:w="709" w:type="dxa"/>
            <w:tcBorders>
              <w:top w:val="nil"/>
              <w:left w:val="nil"/>
            </w:tcBorders>
            <w:shd w:val="clear" w:color="auto" w:fill="auto"/>
            <w:vAlign w:val="center"/>
          </w:tcPr>
          <w:p w14:paraId="60EA7328" w14:textId="5727B544" w:rsidR="00DD1BBB" w:rsidRPr="00414254" w:rsidRDefault="00DD1BBB" w:rsidP="00DD1BBB">
            <w:pPr>
              <w:spacing w:after="0" w:line="240" w:lineRule="auto"/>
              <w:jc w:val="center"/>
              <w:rPr>
                <w:rFonts w:ascii="Garamond" w:hAnsi="Garamond" w:cs="Calibri"/>
                <w:sz w:val="20"/>
                <w:szCs w:val="20"/>
              </w:rPr>
            </w:pPr>
            <w:r w:rsidRPr="00414254">
              <w:rPr>
                <w:rFonts w:ascii="Garamond" w:hAnsi="Garamond" w:cs="Calibri"/>
                <w:sz w:val="20"/>
                <w:szCs w:val="20"/>
              </w:rPr>
              <w:t>100%</w:t>
            </w:r>
          </w:p>
        </w:tc>
      </w:tr>
      <w:tr w:rsidR="00DD1BBB" w:rsidRPr="00414254" w14:paraId="62223580" w14:textId="6586278F" w:rsidTr="004E3C3C">
        <w:trPr>
          <w:trHeight w:val="397"/>
          <w:jc w:val="center"/>
        </w:trPr>
        <w:tc>
          <w:tcPr>
            <w:tcW w:w="4400" w:type="dxa"/>
            <w:tcBorders>
              <w:right w:val="nil"/>
            </w:tcBorders>
            <w:shd w:val="clear" w:color="auto" w:fill="auto"/>
            <w:noWrap/>
            <w:vAlign w:val="center"/>
            <w:hideMark/>
          </w:tcPr>
          <w:p w14:paraId="457C3700"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Censo</w:t>
            </w:r>
          </w:p>
        </w:tc>
        <w:tc>
          <w:tcPr>
            <w:tcW w:w="709" w:type="dxa"/>
            <w:tcBorders>
              <w:left w:val="nil"/>
              <w:right w:val="nil"/>
            </w:tcBorders>
            <w:shd w:val="clear" w:color="auto" w:fill="auto"/>
            <w:noWrap/>
            <w:vAlign w:val="center"/>
            <w:hideMark/>
          </w:tcPr>
          <w:p w14:paraId="226F7672"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100%</w:t>
            </w:r>
          </w:p>
        </w:tc>
        <w:tc>
          <w:tcPr>
            <w:tcW w:w="709" w:type="dxa"/>
            <w:tcBorders>
              <w:left w:val="nil"/>
              <w:right w:val="nil"/>
            </w:tcBorders>
            <w:shd w:val="clear" w:color="auto" w:fill="auto"/>
            <w:noWrap/>
            <w:vAlign w:val="center"/>
            <w:hideMark/>
          </w:tcPr>
          <w:p w14:paraId="291FAE02"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78%</w:t>
            </w:r>
          </w:p>
        </w:tc>
        <w:tc>
          <w:tcPr>
            <w:tcW w:w="709" w:type="dxa"/>
            <w:tcBorders>
              <w:left w:val="nil"/>
              <w:right w:val="nil"/>
            </w:tcBorders>
            <w:shd w:val="clear" w:color="auto" w:fill="auto"/>
            <w:noWrap/>
            <w:vAlign w:val="center"/>
            <w:hideMark/>
          </w:tcPr>
          <w:p w14:paraId="3F635E37"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70%</w:t>
            </w:r>
          </w:p>
        </w:tc>
        <w:tc>
          <w:tcPr>
            <w:tcW w:w="709" w:type="dxa"/>
            <w:tcBorders>
              <w:left w:val="nil"/>
              <w:right w:val="nil"/>
            </w:tcBorders>
            <w:shd w:val="clear" w:color="auto" w:fill="auto"/>
            <w:vAlign w:val="center"/>
          </w:tcPr>
          <w:p w14:paraId="027A8056" w14:textId="620E51F8"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100%</w:t>
            </w:r>
          </w:p>
        </w:tc>
        <w:tc>
          <w:tcPr>
            <w:tcW w:w="709" w:type="dxa"/>
            <w:tcBorders>
              <w:left w:val="nil"/>
            </w:tcBorders>
            <w:shd w:val="clear" w:color="auto" w:fill="auto"/>
            <w:vAlign w:val="center"/>
          </w:tcPr>
          <w:p w14:paraId="66A87B67" w14:textId="29D2ADC3" w:rsidR="00DD1BBB" w:rsidRPr="00414254" w:rsidRDefault="00DD1BBB" w:rsidP="00DD1BBB">
            <w:pPr>
              <w:spacing w:after="0" w:line="240" w:lineRule="auto"/>
              <w:jc w:val="center"/>
              <w:rPr>
                <w:rFonts w:ascii="Garamond" w:hAnsi="Garamond" w:cs="Calibri"/>
                <w:sz w:val="20"/>
                <w:szCs w:val="20"/>
              </w:rPr>
            </w:pPr>
            <w:r w:rsidRPr="00414254">
              <w:rPr>
                <w:rFonts w:ascii="Garamond" w:hAnsi="Garamond" w:cs="Calibri"/>
                <w:sz w:val="20"/>
                <w:szCs w:val="20"/>
              </w:rPr>
              <w:t>82%</w:t>
            </w:r>
          </w:p>
        </w:tc>
      </w:tr>
      <w:tr w:rsidR="00DD1BBB" w:rsidRPr="00414254" w14:paraId="2B8060AF" w14:textId="00EB50DE" w:rsidTr="004E3C3C">
        <w:trPr>
          <w:trHeight w:val="397"/>
          <w:jc w:val="center"/>
        </w:trPr>
        <w:tc>
          <w:tcPr>
            <w:tcW w:w="4400" w:type="dxa"/>
            <w:tcBorders>
              <w:right w:val="nil"/>
            </w:tcBorders>
            <w:shd w:val="clear" w:color="auto" w:fill="auto"/>
            <w:noWrap/>
            <w:vAlign w:val="center"/>
            <w:hideMark/>
          </w:tcPr>
          <w:p w14:paraId="556B6151"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Encuesta por muestreo mixto</w:t>
            </w:r>
          </w:p>
        </w:tc>
        <w:tc>
          <w:tcPr>
            <w:tcW w:w="709" w:type="dxa"/>
            <w:tcBorders>
              <w:left w:val="nil"/>
              <w:right w:val="nil"/>
            </w:tcBorders>
            <w:shd w:val="clear" w:color="auto" w:fill="auto"/>
            <w:noWrap/>
            <w:vAlign w:val="center"/>
            <w:hideMark/>
          </w:tcPr>
          <w:p w14:paraId="5F23BA31"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67%</w:t>
            </w:r>
          </w:p>
        </w:tc>
        <w:tc>
          <w:tcPr>
            <w:tcW w:w="709" w:type="dxa"/>
            <w:tcBorders>
              <w:left w:val="nil"/>
              <w:right w:val="nil"/>
            </w:tcBorders>
            <w:shd w:val="clear" w:color="auto" w:fill="auto"/>
            <w:noWrap/>
            <w:vAlign w:val="center"/>
            <w:hideMark/>
          </w:tcPr>
          <w:p w14:paraId="78AAE32E"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56%</w:t>
            </w:r>
          </w:p>
        </w:tc>
        <w:tc>
          <w:tcPr>
            <w:tcW w:w="709" w:type="dxa"/>
            <w:tcBorders>
              <w:left w:val="nil"/>
              <w:right w:val="nil"/>
            </w:tcBorders>
            <w:shd w:val="clear" w:color="auto" w:fill="auto"/>
            <w:noWrap/>
            <w:vAlign w:val="center"/>
            <w:hideMark/>
          </w:tcPr>
          <w:p w14:paraId="4EDA65CE"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43%</w:t>
            </w:r>
          </w:p>
        </w:tc>
        <w:tc>
          <w:tcPr>
            <w:tcW w:w="709" w:type="dxa"/>
            <w:tcBorders>
              <w:left w:val="nil"/>
              <w:right w:val="nil"/>
            </w:tcBorders>
            <w:shd w:val="clear" w:color="auto" w:fill="auto"/>
            <w:vAlign w:val="center"/>
          </w:tcPr>
          <w:p w14:paraId="1F8C435E" w14:textId="5A6B7A4C"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67%</w:t>
            </w:r>
          </w:p>
        </w:tc>
        <w:tc>
          <w:tcPr>
            <w:tcW w:w="709" w:type="dxa"/>
            <w:tcBorders>
              <w:left w:val="nil"/>
            </w:tcBorders>
            <w:shd w:val="clear" w:color="auto" w:fill="auto"/>
            <w:vAlign w:val="center"/>
          </w:tcPr>
          <w:p w14:paraId="5E8A0B1F" w14:textId="5EB13849" w:rsidR="00DD1BBB" w:rsidRPr="00414254" w:rsidRDefault="00041145" w:rsidP="00DD1BBB">
            <w:pPr>
              <w:spacing w:after="0" w:line="240" w:lineRule="auto"/>
              <w:jc w:val="center"/>
              <w:rPr>
                <w:rFonts w:ascii="Garamond" w:hAnsi="Garamond" w:cs="Calibri"/>
                <w:sz w:val="20"/>
                <w:szCs w:val="20"/>
              </w:rPr>
            </w:pPr>
            <w:r>
              <w:rPr>
                <w:rFonts w:ascii="Garamond" w:hAnsi="Garamond" w:cs="Calibri"/>
                <w:sz w:val="20"/>
                <w:szCs w:val="20"/>
              </w:rPr>
              <w:t>71</w:t>
            </w:r>
            <w:r w:rsidR="00DD1BBB" w:rsidRPr="00414254">
              <w:rPr>
                <w:rFonts w:ascii="Garamond" w:hAnsi="Garamond" w:cs="Calibri"/>
                <w:sz w:val="20"/>
                <w:szCs w:val="20"/>
              </w:rPr>
              <w:t>%</w:t>
            </w:r>
          </w:p>
        </w:tc>
      </w:tr>
      <w:tr w:rsidR="00DD1BBB" w:rsidRPr="00414254" w14:paraId="55AD27E2" w14:textId="3D3CB8B3" w:rsidTr="004E3C3C">
        <w:trPr>
          <w:trHeight w:val="397"/>
          <w:jc w:val="center"/>
        </w:trPr>
        <w:tc>
          <w:tcPr>
            <w:tcW w:w="4400" w:type="dxa"/>
            <w:tcBorders>
              <w:right w:val="nil"/>
            </w:tcBorders>
            <w:shd w:val="clear" w:color="auto" w:fill="auto"/>
            <w:noWrap/>
            <w:vAlign w:val="center"/>
            <w:hideMark/>
          </w:tcPr>
          <w:p w14:paraId="7709F309"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Encuesta probabilística</w:t>
            </w:r>
          </w:p>
        </w:tc>
        <w:tc>
          <w:tcPr>
            <w:tcW w:w="709" w:type="dxa"/>
            <w:tcBorders>
              <w:left w:val="nil"/>
              <w:right w:val="nil"/>
            </w:tcBorders>
            <w:shd w:val="clear" w:color="auto" w:fill="auto"/>
            <w:noWrap/>
            <w:vAlign w:val="center"/>
            <w:hideMark/>
          </w:tcPr>
          <w:p w14:paraId="2C0FDBB9"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64%</w:t>
            </w:r>
          </w:p>
        </w:tc>
        <w:tc>
          <w:tcPr>
            <w:tcW w:w="709" w:type="dxa"/>
            <w:tcBorders>
              <w:left w:val="nil"/>
              <w:right w:val="nil"/>
            </w:tcBorders>
            <w:shd w:val="clear" w:color="auto" w:fill="auto"/>
            <w:noWrap/>
            <w:vAlign w:val="center"/>
            <w:hideMark/>
          </w:tcPr>
          <w:p w14:paraId="776D1B86"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33%</w:t>
            </w:r>
          </w:p>
        </w:tc>
        <w:tc>
          <w:tcPr>
            <w:tcW w:w="709" w:type="dxa"/>
            <w:tcBorders>
              <w:left w:val="nil"/>
              <w:right w:val="nil"/>
            </w:tcBorders>
            <w:shd w:val="clear" w:color="auto" w:fill="auto"/>
            <w:noWrap/>
            <w:vAlign w:val="center"/>
            <w:hideMark/>
          </w:tcPr>
          <w:p w14:paraId="2FC5E349"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46%</w:t>
            </w:r>
          </w:p>
        </w:tc>
        <w:tc>
          <w:tcPr>
            <w:tcW w:w="709" w:type="dxa"/>
            <w:tcBorders>
              <w:left w:val="nil"/>
              <w:right w:val="nil"/>
            </w:tcBorders>
            <w:shd w:val="clear" w:color="auto" w:fill="auto"/>
            <w:vAlign w:val="center"/>
          </w:tcPr>
          <w:p w14:paraId="425251FD" w14:textId="683FA254"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42%</w:t>
            </w:r>
          </w:p>
        </w:tc>
        <w:tc>
          <w:tcPr>
            <w:tcW w:w="709" w:type="dxa"/>
            <w:tcBorders>
              <w:left w:val="nil"/>
            </w:tcBorders>
            <w:shd w:val="clear" w:color="auto" w:fill="auto"/>
            <w:vAlign w:val="center"/>
          </w:tcPr>
          <w:p w14:paraId="5D868098" w14:textId="4D9168DB" w:rsidR="00DD1BBB" w:rsidRPr="00414254" w:rsidRDefault="00CE1483" w:rsidP="00DD1BBB">
            <w:pPr>
              <w:spacing w:after="0" w:line="240" w:lineRule="auto"/>
              <w:jc w:val="center"/>
              <w:rPr>
                <w:rFonts w:ascii="Garamond" w:hAnsi="Garamond" w:cs="Calibri"/>
                <w:sz w:val="20"/>
                <w:szCs w:val="20"/>
              </w:rPr>
            </w:pPr>
            <w:r>
              <w:rPr>
                <w:rFonts w:ascii="Garamond" w:hAnsi="Garamond" w:cs="Calibri"/>
                <w:sz w:val="20"/>
                <w:szCs w:val="20"/>
              </w:rPr>
              <w:t>58</w:t>
            </w:r>
            <w:r w:rsidR="00DD1BBB" w:rsidRPr="00414254">
              <w:rPr>
                <w:rFonts w:ascii="Garamond" w:hAnsi="Garamond" w:cs="Calibri"/>
                <w:sz w:val="20"/>
                <w:szCs w:val="20"/>
              </w:rPr>
              <w:t>%</w:t>
            </w:r>
          </w:p>
        </w:tc>
      </w:tr>
      <w:tr w:rsidR="00DD1BBB" w:rsidRPr="00414254" w14:paraId="1F6245FF" w14:textId="70976860" w:rsidTr="004E3C3C">
        <w:trPr>
          <w:trHeight w:val="397"/>
          <w:jc w:val="center"/>
        </w:trPr>
        <w:tc>
          <w:tcPr>
            <w:tcW w:w="4400" w:type="dxa"/>
            <w:tcBorders>
              <w:right w:val="nil"/>
            </w:tcBorders>
            <w:shd w:val="clear" w:color="auto" w:fill="auto"/>
            <w:noWrap/>
            <w:vAlign w:val="center"/>
            <w:hideMark/>
          </w:tcPr>
          <w:p w14:paraId="6EDFE410"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Estadística derivada</w:t>
            </w:r>
          </w:p>
        </w:tc>
        <w:tc>
          <w:tcPr>
            <w:tcW w:w="709" w:type="dxa"/>
            <w:tcBorders>
              <w:left w:val="nil"/>
              <w:right w:val="nil"/>
            </w:tcBorders>
            <w:shd w:val="clear" w:color="auto" w:fill="auto"/>
            <w:noWrap/>
            <w:vAlign w:val="center"/>
            <w:hideMark/>
          </w:tcPr>
          <w:p w14:paraId="2B18DD88"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73%</w:t>
            </w:r>
          </w:p>
        </w:tc>
        <w:tc>
          <w:tcPr>
            <w:tcW w:w="709" w:type="dxa"/>
            <w:tcBorders>
              <w:left w:val="nil"/>
              <w:right w:val="nil"/>
            </w:tcBorders>
            <w:shd w:val="clear" w:color="auto" w:fill="auto"/>
            <w:noWrap/>
            <w:vAlign w:val="center"/>
            <w:hideMark/>
          </w:tcPr>
          <w:p w14:paraId="73F78537"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76%</w:t>
            </w:r>
          </w:p>
        </w:tc>
        <w:tc>
          <w:tcPr>
            <w:tcW w:w="709" w:type="dxa"/>
            <w:tcBorders>
              <w:left w:val="nil"/>
              <w:right w:val="nil"/>
            </w:tcBorders>
            <w:shd w:val="clear" w:color="auto" w:fill="auto"/>
            <w:noWrap/>
            <w:vAlign w:val="center"/>
            <w:hideMark/>
          </w:tcPr>
          <w:p w14:paraId="79BE94E0"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88%</w:t>
            </w:r>
          </w:p>
        </w:tc>
        <w:tc>
          <w:tcPr>
            <w:tcW w:w="709" w:type="dxa"/>
            <w:tcBorders>
              <w:left w:val="nil"/>
              <w:right w:val="nil"/>
            </w:tcBorders>
            <w:shd w:val="clear" w:color="auto" w:fill="auto"/>
            <w:vAlign w:val="center"/>
          </w:tcPr>
          <w:p w14:paraId="4CCFE95C" w14:textId="6C435FDB"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81%</w:t>
            </w:r>
          </w:p>
        </w:tc>
        <w:tc>
          <w:tcPr>
            <w:tcW w:w="709" w:type="dxa"/>
            <w:tcBorders>
              <w:left w:val="nil"/>
            </w:tcBorders>
            <w:shd w:val="clear" w:color="auto" w:fill="auto"/>
            <w:vAlign w:val="center"/>
          </w:tcPr>
          <w:p w14:paraId="7B8C25FB" w14:textId="28583A0C" w:rsidR="00DD1BBB" w:rsidRPr="00414254" w:rsidRDefault="00BF2C1E" w:rsidP="00DD1BBB">
            <w:pPr>
              <w:spacing w:after="0" w:line="240" w:lineRule="auto"/>
              <w:jc w:val="center"/>
              <w:rPr>
                <w:rFonts w:ascii="Garamond" w:hAnsi="Garamond" w:cs="Calibri"/>
                <w:sz w:val="20"/>
                <w:szCs w:val="20"/>
              </w:rPr>
            </w:pPr>
            <w:r>
              <w:rPr>
                <w:rFonts w:ascii="Garamond" w:hAnsi="Garamond" w:cs="Calibri"/>
                <w:sz w:val="20"/>
                <w:szCs w:val="20"/>
              </w:rPr>
              <w:t>78</w:t>
            </w:r>
            <w:r w:rsidR="00DD1BBB" w:rsidRPr="00414254">
              <w:rPr>
                <w:rFonts w:ascii="Garamond" w:hAnsi="Garamond" w:cs="Calibri"/>
                <w:sz w:val="20"/>
                <w:szCs w:val="20"/>
              </w:rPr>
              <w:t>%</w:t>
            </w:r>
          </w:p>
        </w:tc>
      </w:tr>
      <w:tr w:rsidR="00DD1BBB" w:rsidRPr="00414254" w14:paraId="4F63C67A" w14:textId="4111AEF7" w:rsidTr="004E3C3C">
        <w:trPr>
          <w:trHeight w:val="397"/>
          <w:jc w:val="center"/>
        </w:trPr>
        <w:tc>
          <w:tcPr>
            <w:tcW w:w="4400" w:type="dxa"/>
            <w:tcBorders>
              <w:right w:val="nil"/>
            </w:tcBorders>
            <w:shd w:val="clear" w:color="auto" w:fill="auto"/>
            <w:noWrap/>
            <w:vAlign w:val="center"/>
            <w:hideMark/>
          </w:tcPr>
          <w:p w14:paraId="1823FB6A"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Estructuración e integración de redes geométricas</w:t>
            </w:r>
          </w:p>
        </w:tc>
        <w:tc>
          <w:tcPr>
            <w:tcW w:w="709" w:type="dxa"/>
            <w:tcBorders>
              <w:left w:val="nil"/>
              <w:right w:val="nil"/>
            </w:tcBorders>
            <w:shd w:val="clear" w:color="auto" w:fill="auto"/>
            <w:noWrap/>
            <w:vAlign w:val="center"/>
            <w:hideMark/>
          </w:tcPr>
          <w:p w14:paraId="7F35C734" w14:textId="370DC600" w:rsidR="00DD1BBB" w:rsidRPr="00C241D0" w:rsidRDefault="00C241D0" w:rsidP="00DD1BBB">
            <w:pPr>
              <w:spacing w:after="0" w:line="240" w:lineRule="auto"/>
              <w:jc w:val="center"/>
              <w:rPr>
                <w:rFonts w:ascii="Garamond" w:eastAsia="Times New Roman" w:hAnsi="Garamond" w:cs="Times New Roman"/>
                <w:smallCaps/>
                <w:sz w:val="20"/>
                <w:szCs w:val="20"/>
                <w:lang w:eastAsia="es-MX"/>
              </w:rPr>
            </w:pPr>
            <w:proofErr w:type="spellStart"/>
            <w:r w:rsidRPr="00C241D0">
              <w:rPr>
                <w:rFonts w:ascii="Garamond" w:eastAsia="Times New Roman" w:hAnsi="Garamond" w:cs="Times New Roman"/>
                <w:smallCaps/>
                <w:sz w:val="20"/>
                <w:szCs w:val="20"/>
                <w:lang w:eastAsia="es-MX"/>
              </w:rPr>
              <w:t>na</w:t>
            </w:r>
            <w:proofErr w:type="spellEnd"/>
          </w:p>
        </w:tc>
        <w:tc>
          <w:tcPr>
            <w:tcW w:w="709" w:type="dxa"/>
            <w:tcBorders>
              <w:left w:val="nil"/>
              <w:right w:val="nil"/>
            </w:tcBorders>
            <w:shd w:val="clear" w:color="auto" w:fill="auto"/>
            <w:noWrap/>
            <w:vAlign w:val="center"/>
            <w:hideMark/>
          </w:tcPr>
          <w:p w14:paraId="4D280BFA"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100%</w:t>
            </w:r>
          </w:p>
        </w:tc>
        <w:tc>
          <w:tcPr>
            <w:tcW w:w="709" w:type="dxa"/>
            <w:tcBorders>
              <w:left w:val="nil"/>
              <w:right w:val="nil"/>
            </w:tcBorders>
            <w:shd w:val="clear" w:color="auto" w:fill="auto"/>
            <w:noWrap/>
            <w:vAlign w:val="center"/>
            <w:hideMark/>
          </w:tcPr>
          <w:p w14:paraId="146059DA" w14:textId="2A7EE404" w:rsidR="00DD1BBB" w:rsidRPr="00C241D0" w:rsidRDefault="00C241D0" w:rsidP="00DD1BBB">
            <w:pPr>
              <w:spacing w:after="0" w:line="240" w:lineRule="auto"/>
              <w:jc w:val="center"/>
              <w:rPr>
                <w:rFonts w:ascii="Garamond" w:eastAsia="Times New Roman" w:hAnsi="Garamond" w:cs="Calibri"/>
                <w:smallCaps/>
                <w:sz w:val="20"/>
                <w:szCs w:val="20"/>
                <w:lang w:eastAsia="es-MX"/>
              </w:rPr>
            </w:pPr>
            <w:proofErr w:type="spellStart"/>
            <w:r w:rsidRPr="00C241D0">
              <w:rPr>
                <w:rFonts w:ascii="Garamond" w:eastAsia="Times New Roman" w:hAnsi="Garamond" w:cs="Calibri"/>
                <w:smallCaps/>
                <w:sz w:val="20"/>
                <w:szCs w:val="20"/>
                <w:lang w:eastAsia="es-MX"/>
              </w:rPr>
              <w:t>na</w:t>
            </w:r>
            <w:proofErr w:type="spellEnd"/>
          </w:p>
        </w:tc>
        <w:tc>
          <w:tcPr>
            <w:tcW w:w="709" w:type="dxa"/>
            <w:tcBorders>
              <w:left w:val="nil"/>
              <w:right w:val="nil"/>
            </w:tcBorders>
            <w:shd w:val="clear" w:color="auto" w:fill="auto"/>
            <w:vAlign w:val="center"/>
          </w:tcPr>
          <w:p w14:paraId="10AE5C2F" w14:textId="6FC1519C"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eastAsia="Times New Roman" w:hAnsi="Garamond" w:cs="Calibri"/>
                <w:sz w:val="20"/>
                <w:szCs w:val="20"/>
                <w:lang w:eastAsia="es-MX"/>
              </w:rPr>
              <w:t>100%</w:t>
            </w:r>
          </w:p>
        </w:tc>
        <w:tc>
          <w:tcPr>
            <w:tcW w:w="709" w:type="dxa"/>
            <w:tcBorders>
              <w:left w:val="nil"/>
            </w:tcBorders>
            <w:shd w:val="clear" w:color="auto" w:fill="auto"/>
            <w:vAlign w:val="center"/>
          </w:tcPr>
          <w:p w14:paraId="5E720B07" w14:textId="2859D199"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eastAsia="Times New Roman" w:hAnsi="Garamond" w:cs="Calibri"/>
                <w:sz w:val="20"/>
                <w:szCs w:val="20"/>
                <w:lang w:eastAsia="es-MX"/>
              </w:rPr>
              <w:t>100%</w:t>
            </w:r>
          </w:p>
        </w:tc>
      </w:tr>
      <w:tr w:rsidR="00DD1BBB" w:rsidRPr="00414254" w14:paraId="043FBAE4" w14:textId="4F0BF656" w:rsidTr="004E3C3C">
        <w:trPr>
          <w:trHeight w:val="397"/>
          <w:jc w:val="center"/>
        </w:trPr>
        <w:tc>
          <w:tcPr>
            <w:tcW w:w="4400" w:type="dxa"/>
            <w:tcBorders>
              <w:right w:val="nil"/>
            </w:tcBorders>
            <w:shd w:val="clear" w:color="auto" w:fill="auto"/>
            <w:noWrap/>
            <w:vAlign w:val="center"/>
            <w:hideMark/>
          </w:tcPr>
          <w:p w14:paraId="41C21EB2" w14:textId="77777777" w:rsidR="00DD1BBB" w:rsidRPr="00414254" w:rsidRDefault="00DD1BBB" w:rsidP="00DD1BBB">
            <w:pPr>
              <w:spacing w:after="0" w:line="240" w:lineRule="auto"/>
              <w:rPr>
                <w:rFonts w:ascii="Garamond" w:eastAsia="Times New Roman" w:hAnsi="Garamond" w:cs="Calibri"/>
                <w:color w:val="000000"/>
                <w:sz w:val="20"/>
                <w:szCs w:val="20"/>
                <w:lang w:eastAsia="es-MX"/>
              </w:rPr>
            </w:pPr>
            <w:r w:rsidRPr="00414254">
              <w:rPr>
                <w:rFonts w:ascii="Garamond" w:eastAsia="Times New Roman" w:hAnsi="Garamond" w:cs="Calibri"/>
                <w:color w:val="000000"/>
                <w:sz w:val="20"/>
                <w:szCs w:val="20"/>
                <w:lang w:eastAsia="es-MX"/>
              </w:rPr>
              <w:t>Proceso de generación de información topográfica</w:t>
            </w:r>
          </w:p>
        </w:tc>
        <w:tc>
          <w:tcPr>
            <w:tcW w:w="709" w:type="dxa"/>
            <w:tcBorders>
              <w:left w:val="nil"/>
              <w:right w:val="nil"/>
            </w:tcBorders>
            <w:shd w:val="clear" w:color="auto" w:fill="auto"/>
            <w:noWrap/>
            <w:vAlign w:val="center"/>
            <w:hideMark/>
          </w:tcPr>
          <w:p w14:paraId="2A14C0DB"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0%</w:t>
            </w:r>
          </w:p>
        </w:tc>
        <w:tc>
          <w:tcPr>
            <w:tcW w:w="709" w:type="dxa"/>
            <w:tcBorders>
              <w:left w:val="nil"/>
              <w:right w:val="nil"/>
            </w:tcBorders>
            <w:shd w:val="clear" w:color="auto" w:fill="auto"/>
            <w:noWrap/>
            <w:vAlign w:val="center"/>
            <w:hideMark/>
          </w:tcPr>
          <w:p w14:paraId="79375BBC"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0%</w:t>
            </w:r>
          </w:p>
        </w:tc>
        <w:tc>
          <w:tcPr>
            <w:tcW w:w="709" w:type="dxa"/>
            <w:tcBorders>
              <w:left w:val="nil"/>
              <w:right w:val="nil"/>
            </w:tcBorders>
            <w:shd w:val="clear" w:color="auto" w:fill="auto"/>
            <w:noWrap/>
            <w:vAlign w:val="center"/>
            <w:hideMark/>
          </w:tcPr>
          <w:p w14:paraId="5BC734C1"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0%</w:t>
            </w:r>
          </w:p>
        </w:tc>
        <w:tc>
          <w:tcPr>
            <w:tcW w:w="709" w:type="dxa"/>
            <w:tcBorders>
              <w:left w:val="nil"/>
              <w:right w:val="nil"/>
            </w:tcBorders>
            <w:shd w:val="clear" w:color="auto" w:fill="auto"/>
            <w:vAlign w:val="center"/>
          </w:tcPr>
          <w:p w14:paraId="55C47B5C" w14:textId="6664D404"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50%</w:t>
            </w:r>
          </w:p>
        </w:tc>
        <w:tc>
          <w:tcPr>
            <w:tcW w:w="709" w:type="dxa"/>
            <w:tcBorders>
              <w:left w:val="nil"/>
            </w:tcBorders>
            <w:shd w:val="clear" w:color="auto" w:fill="auto"/>
            <w:vAlign w:val="center"/>
          </w:tcPr>
          <w:p w14:paraId="18F61ED5" w14:textId="314D9DDE" w:rsidR="00DD1BBB" w:rsidRPr="00414254" w:rsidRDefault="00DD1BBB" w:rsidP="00DD1BBB">
            <w:pPr>
              <w:spacing w:after="0" w:line="240" w:lineRule="auto"/>
              <w:jc w:val="center"/>
              <w:rPr>
                <w:rFonts w:ascii="Garamond" w:hAnsi="Garamond" w:cs="Calibri"/>
                <w:sz w:val="20"/>
                <w:szCs w:val="20"/>
              </w:rPr>
            </w:pPr>
            <w:r w:rsidRPr="00414254">
              <w:rPr>
                <w:rFonts w:ascii="Garamond" w:hAnsi="Garamond" w:cs="Calibri"/>
                <w:sz w:val="20"/>
                <w:szCs w:val="20"/>
              </w:rPr>
              <w:t>50%</w:t>
            </w:r>
          </w:p>
        </w:tc>
      </w:tr>
      <w:tr w:rsidR="00DD1BBB" w:rsidRPr="00414254" w14:paraId="343683FB" w14:textId="0B5AD527" w:rsidTr="004E3C3C">
        <w:trPr>
          <w:trHeight w:val="397"/>
          <w:jc w:val="center"/>
        </w:trPr>
        <w:tc>
          <w:tcPr>
            <w:tcW w:w="4400" w:type="dxa"/>
            <w:tcBorders>
              <w:right w:val="nil"/>
            </w:tcBorders>
            <w:shd w:val="clear" w:color="auto" w:fill="auto"/>
            <w:noWrap/>
            <w:vAlign w:val="center"/>
            <w:hideMark/>
          </w:tcPr>
          <w:p w14:paraId="1BF16A16" w14:textId="38522893" w:rsidR="00DD1BBB" w:rsidRPr="00414254" w:rsidRDefault="004E3C3C" w:rsidP="00DD1BBB">
            <w:pPr>
              <w:spacing w:after="0" w:line="240" w:lineRule="auto"/>
              <w:rPr>
                <w:rFonts w:ascii="Garamond" w:eastAsia="Times New Roman" w:hAnsi="Garamond" w:cs="Calibri"/>
                <w:color w:val="000000"/>
                <w:sz w:val="20"/>
                <w:szCs w:val="20"/>
                <w:lang w:eastAsia="es-MX"/>
              </w:rPr>
            </w:pPr>
            <w:r>
              <w:rPr>
                <w:rFonts w:ascii="Garamond" w:eastAsia="Times New Roman" w:hAnsi="Garamond" w:cs="Calibri"/>
                <w:color w:val="000000"/>
                <w:sz w:val="20"/>
                <w:szCs w:val="20"/>
                <w:lang w:eastAsia="es-MX"/>
              </w:rPr>
              <w:t>Aprovechamiento de registros administrativos</w:t>
            </w:r>
          </w:p>
        </w:tc>
        <w:tc>
          <w:tcPr>
            <w:tcW w:w="709" w:type="dxa"/>
            <w:tcBorders>
              <w:left w:val="nil"/>
              <w:right w:val="nil"/>
            </w:tcBorders>
            <w:shd w:val="clear" w:color="auto" w:fill="auto"/>
            <w:noWrap/>
            <w:vAlign w:val="center"/>
            <w:hideMark/>
          </w:tcPr>
          <w:p w14:paraId="15ACFB32"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76%</w:t>
            </w:r>
          </w:p>
        </w:tc>
        <w:tc>
          <w:tcPr>
            <w:tcW w:w="709" w:type="dxa"/>
            <w:tcBorders>
              <w:left w:val="nil"/>
              <w:right w:val="nil"/>
            </w:tcBorders>
            <w:shd w:val="clear" w:color="auto" w:fill="auto"/>
            <w:noWrap/>
            <w:vAlign w:val="center"/>
            <w:hideMark/>
          </w:tcPr>
          <w:p w14:paraId="282D5C4C"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61%</w:t>
            </w:r>
          </w:p>
        </w:tc>
        <w:tc>
          <w:tcPr>
            <w:tcW w:w="709" w:type="dxa"/>
            <w:tcBorders>
              <w:left w:val="nil"/>
              <w:right w:val="nil"/>
            </w:tcBorders>
            <w:shd w:val="clear" w:color="auto" w:fill="auto"/>
            <w:noWrap/>
            <w:vAlign w:val="center"/>
            <w:hideMark/>
          </w:tcPr>
          <w:p w14:paraId="6F3A8CC0" w14:textId="77777777"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69%</w:t>
            </w:r>
          </w:p>
        </w:tc>
        <w:tc>
          <w:tcPr>
            <w:tcW w:w="709" w:type="dxa"/>
            <w:tcBorders>
              <w:left w:val="nil"/>
              <w:right w:val="nil"/>
            </w:tcBorders>
            <w:shd w:val="clear" w:color="auto" w:fill="auto"/>
            <w:vAlign w:val="center"/>
          </w:tcPr>
          <w:p w14:paraId="151A8E38" w14:textId="45269184" w:rsidR="00DD1BBB" w:rsidRPr="00414254" w:rsidRDefault="00DD1BBB" w:rsidP="00DD1BBB">
            <w:pPr>
              <w:spacing w:after="0" w:line="240" w:lineRule="auto"/>
              <w:jc w:val="center"/>
              <w:rPr>
                <w:rFonts w:ascii="Garamond" w:eastAsia="Times New Roman" w:hAnsi="Garamond" w:cs="Calibri"/>
                <w:sz w:val="20"/>
                <w:szCs w:val="20"/>
                <w:lang w:eastAsia="es-MX"/>
              </w:rPr>
            </w:pPr>
            <w:r w:rsidRPr="00414254">
              <w:rPr>
                <w:rFonts w:ascii="Garamond" w:hAnsi="Garamond" w:cs="Calibri"/>
                <w:sz w:val="20"/>
                <w:szCs w:val="20"/>
              </w:rPr>
              <w:t>83%</w:t>
            </w:r>
          </w:p>
        </w:tc>
        <w:tc>
          <w:tcPr>
            <w:tcW w:w="709" w:type="dxa"/>
            <w:tcBorders>
              <w:left w:val="nil"/>
            </w:tcBorders>
            <w:shd w:val="clear" w:color="auto" w:fill="auto"/>
            <w:vAlign w:val="center"/>
          </w:tcPr>
          <w:p w14:paraId="36AFEE4B" w14:textId="7792AA93" w:rsidR="00DD1BBB" w:rsidRPr="00414254" w:rsidRDefault="00DD1BBB" w:rsidP="00DD1BBB">
            <w:pPr>
              <w:spacing w:after="0" w:line="240" w:lineRule="auto"/>
              <w:jc w:val="center"/>
              <w:rPr>
                <w:rFonts w:ascii="Garamond" w:hAnsi="Garamond" w:cs="Calibri"/>
                <w:sz w:val="20"/>
                <w:szCs w:val="20"/>
              </w:rPr>
            </w:pPr>
            <w:r w:rsidRPr="00414254">
              <w:rPr>
                <w:rFonts w:ascii="Garamond" w:hAnsi="Garamond" w:cs="Calibri"/>
                <w:sz w:val="20"/>
                <w:szCs w:val="20"/>
              </w:rPr>
              <w:t>73%</w:t>
            </w:r>
          </w:p>
        </w:tc>
      </w:tr>
      <w:tr w:rsidR="00DD1BBB" w:rsidRPr="00414254" w14:paraId="22C38817" w14:textId="690BA748" w:rsidTr="004E3C3C">
        <w:trPr>
          <w:trHeight w:val="397"/>
          <w:jc w:val="center"/>
        </w:trPr>
        <w:tc>
          <w:tcPr>
            <w:tcW w:w="4400" w:type="dxa"/>
            <w:tcBorders>
              <w:right w:val="nil"/>
            </w:tcBorders>
            <w:shd w:val="clear" w:color="auto" w:fill="002060"/>
            <w:noWrap/>
            <w:vAlign w:val="center"/>
            <w:hideMark/>
          </w:tcPr>
          <w:p w14:paraId="2A72131F" w14:textId="4D81C0BA" w:rsidR="00DD1BBB" w:rsidRPr="00414254" w:rsidRDefault="00DD1BBB" w:rsidP="00DD1BBB">
            <w:pPr>
              <w:spacing w:after="0" w:line="240" w:lineRule="auto"/>
              <w:jc w:val="center"/>
              <w:rPr>
                <w:rFonts w:ascii="Garamond" w:eastAsia="Times New Roman" w:hAnsi="Garamond" w:cs="Calibri"/>
                <w:b/>
                <w:color w:val="FFFFFF" w:themeColor="background1"/>
                <w:sz w:val="20"/>
                <w:szCs w:val="20"/>
                <w:lang w:eastAsia="es-MX"/>
              </w:rPr>
            </w:pPr>
            <w:r w:rsidRPr="00414254">
              <w:rPr>
                <w:rFonts w:ascii="Garamond" w:eastAsia="Times New Roman" w:hAnsi="Garamond" w:cs="Calibri"/>
                <w:b/>
                <w:color w:val="FFFFFF" w:themeColor="background1"/>
                <w:sz w:val="20"/>
                <w:szCs w:val="20"/>
                <w:lang w:eastAsia="es-MX"/>
              </w:rPr>
              <w:t>Total</w:t>
            </w:r>
          </w:p>
        </w:tc>
        <w:tc>
          <w:tcPr>
            <w:tcW w:w="709" w:type="dxa"/>
            <w:tcBorders>
              <w:left w:val="nil"/>
              <w:right w:val="nil"/>
            </w:tcBorders>
            <w:shd w:val="clear" w:color="auto" w:fill="002060"/>
            <w:noWrap/>
            <w:vAlign w:val="center"/>
            <w:hideMark/>
          </w:tcPr>
          <w:p w14:paraId="3CEA1E26" w14:textId="77777777" w:rsidR="00DD1BBB" w:rsidRPr="00414254" w:rsidRDefault="00DD1BBB" w:rsidP="00DD1BBB">
            <w:pPr>
              <w:spacing w:after="0" w:line="240" w:lineRule="auto"/>
              <w:jc w:val="center"/>
              <w:rPr>
                <w:rFonts w:ascii="Garamond" w:eastAsia="Times New Roman" w:hAnsi="Garamond" w:cs="Calibri"/>
                <w:b/>
                <w:color w:val="FFFFFF" w:themeColor="background1"/>
                <w:sz w:val="20"/>
                <w:szCs w:val="20"/>
                <w:lang w:eastAsia="es-MX"/>
              </w:rPr>
            </w:pPr>
            <w:r w:rsidRPr="00414254">
              <w:rPr>
                <w:rFonts w:ascii="Garamond" w:hAnsi="Garamond" w:cs="Calibri"/>
                <w:b/>
                <w:color w:val="FFFFFF" w:themeColor="background1"/>
                <w:sz w:val="20"/>
                <w:szCs w:val="20"/>
              </w:rPr>
              <w:t>71%</w:t>
            </w:r>
          </w:p>
        </w:tc>
        <w:tc>
          <w:tcPr>
            <w:tcW w:w="709" w:type="dxa"/>
            <w:tcBorders>
              <w:left w:val="nil"/>
              <w:right w:val="nil"/>
            </w:tcBorders>
            <w:shd w:val="clear" w:color="auto" w:fill="002060"/>
            <w:noWrap/>
            <w:vAlign w:val="center"/>
            <w:hideMark/>
          </w:tcPr>
          <w:p w14:paraId="7C937F94" w14:textId="77777777" w:rsidR="00DD1BBB" w:rsidRPr="00414254" w:rsidRDefault="00DD1BBB" w:rsidP="00DD1BBB">
            <w:pPr>
              <w:spacing w:after="0" w:line="240" w:lineRule="auto"/>
              <w:jc w:val="center"/>
              <w:rPr>
                <w:rFonts w:ascii="Garamond" w:eastAsia="Times New Roman" w:hAnsi="Garamond" w:cs="Calibri"/>
                <w:b/>
                <w:color w:val="FFFFFF" w:themeColor="background1"/>
                <w:sz w:val="20"/>
                <w:szCs w:val="20"/>
                <w:lang w:eastAsia="es-MX"/>
              </w:rPr>
            </w:pPr>
            <w:r w:rsidRPr="00414254">
              <w:rPr>
                <w:rFonts w:ascii="Garamond" w:hAnsi="Garamond" w:cs="Calibri"/>
                <w:b/>
                <w:color w:val="FFFFFF" w:themeColor="background1"/>
                <w:sz w:val="20"/>
                <w:szCs w:val="20"/>
              </w:rPr>
              <w:t>62%</w:t>
            </w:r>
          </w:p>
        </w:tc>
        <w:tc>
          <w:tcPr>
            <w:tcW w:w="709" w:type="dxa"/>
            <w:tcBorders>
              <w:left w:val="nil"/>
              <w:right w:val="nil"/>
            </w:tcBorders>
            <w:shd w:val="clear" w:color="auto" w:fill="002060"/>
            <w:noWrap/>
            <w:vAlign w:val="center"/>
            <w:hideMark/>
          </w:tcPr>
          <w:p w14:paraId="4192408F" w14:textId="77777777" w:rsidR="00DD1BBB" w:rsidRPr="00414254" w:rsidRDefault="00DD1BBB" w:rsidP="00DD1BBB">
            <w:pPr>
              <w:spacing w:after="0" w:line="240" w:lineRule="auto"/>
              <w:jc w:val="center"/>
              <w:rPr>
                <w:rFonts w:ascii="Garamond" w:eastAsia="Times New Roman" w:hAnsi="Garamond" w:cs="Calibri"/>
                <w:b/>
                <w:color w:val="FFFFFF" w:themeColor="background1"/>
                <w:sz w:val="20"/>
                <w:szCs w:val="20"/>
                <w:lang w:eastAsia="es-MX"/>
              </w:rPr>
            </w:pPr>
            <w:r w:rsidRPr="00414254">
              <w:rPr>
                <w:rFonts w:ascii="Garamond" w:hAnsi="Garamond" w:cs="Calibri"/>
                <w:b/>
                <w:color w:val="FFFFFF" w:themeColor="background1"/>
                <w:sz w:val="20"/>
                <w:szCs w:val="20"/>
              </w:rPr>
              <w:t>68%</w:t>
            </w:r>
          </w:p>
        </w:tc>
        <w:tc>
          <w:tcPr>
            <w:tcW w:w="709" w:type="dxa"/>
            <w:tcBorders>
              <w:left w:val="nil"/>
              <w:right w:val="nil"/>
            </w:tcBorders>
            <w:shd w:val="clear" w:color="auto" w:fill="002060"/>
            <w:vAlign w:val="center"/>
          </w:tcPr>
          <w:p w14:paraId="333C93F6" w14:textId="2BEAC997" w:rsidR="00DD1BBB" w:rsidRPr="00414254" w:rsidRDefault="00DD1BBB" w:rsidP="00DD1BBB">
            <w:pPr>
              <w:spacing w:after="0" w:line="240" w:lineRule="auto"/>
              <w:jc w:val="center"/>
              <w:rPr>
                <w:rFonts w:ascii="Garamond" w:eastAsia="Times New Roman" w:hAnsi="Garamond" w:cs="Calibri"/>
                <w:b/>
                <w:color w:val="FFFFFF" w:themeColor="background1"/>
                <w:sz w:val="20"/>
                <w:szCs w:val="20"/>
                <w:lang w:eastAsia="es-MX"/>
              </w:rPr>
            </w:pPr>
            <w:r w:rsidRPr="00414254">
              <w:rPr>
                <w:rFonts w:ascii="Garamond" w:hAnsi="Garamond" w:cs="Calibri"/>
                <w:b/>
                <w:color w:val="FFFFFF" w:themeColor="background1"/>
                <w:sz w:val="20"/>
                <w:szCs w:val="20"/>
              </w:rPr>
              <w:t>76%</w:t>
            </w:r>
          </w:p>
        </w:tc>
        <w:tc>
          <w:tcPr>
            <w:tcW w:w="709" w:type="dxa"/>
            <w:tcBorders>
              <w:left w:val="nil"/>
            </w:tcBorders>
            <w:shd w:val="clear" w:color="auto" w:fill="002060"/>
            <w:vAlign w:val="center"/>
          </w:tcPr>
          <w:p w14:paraId="7F1D6685" w14:textId="571575BF" w:rsidR="00DD1BBB" w:rsidRPr="00414254" w:rsidRDefault="00DD1BBB" w:rsidP="00DD1BBB">
            <w:pPr>
              <w:spacing w:after="0" w:line="240" w:lineRule="auto"/>
              <w:jc w:val="center"/>
              <w:rPr>
                <w:rFonts w:ascii="Garamond" w:hAnsi="Garamond" w:cs="Calibri"/>
                <w:b/>
                <w:color w:val="FFFFFF" w:themeColor="background1"/>
                <w:sz w:val="20"/>
                <w:szCs w:val="20"/>
              </w:rPr>
            </w:pPr>
            <w:r w:rsidRPr="00414254">
              <w:rPr>
                <w:rFonts w:ascii="Garamond" w:hAnsi="Garamond" w:cs="Calibri"/>
                <w:b/>
                <w:color w:val="FFFFFF" w:themeColor="background1"/>
                <w:sz w:val="20"/>
                <w:szCs w:val="20"/>
              </w:rPr>
              <w:t>7</w:t>
            </w:r>
            <w:r w:rsidR="00C3505D">
              <w:rPr>
                <w:rFonts w:ascii="Garamond" w:hAnsi="Garamond" w:cs="Calibri"/>
                <w:b/>
                <w:color w:val="FFFFFF" w:themeColor="background1"/>
                <w:sz w:val="20"/>
                <w:szCs w:val="20"/>
              </w:rPr>
              <w:t>4</w:t>
            </w:r>
            <w:r w:rsidRPr="00414254">
              <w:rPr>
                <w:rFonts w:ascii="Garamond" w:hAnsi="Garamond" w:cs="Calibri"/>
                <w:b/>
                <w:color w:val="FFFFFF" w:themeColor="background1"/>
                <w:sz w:val="20"/>
                <w:szCs w:val="20"/>
              </w:rPr>
              <w:t>%</w:t>
            </w:r>
          </w:p>
        </w:tc>
      </w:tr>
    </w:tbl>
    <w:p w14:paraId="5D87DB29" w14:textId="29C7F0BF" w:rsidR="0039763F" w:rsidRPr="00BE6E89" w:rsidRDefault="005B4713" w:rsidP="004E3C3C">
      <w:pPr>
        <w:ind w:left="1418"/>
        <w:jc w:val="both"/>
        <w:rPr>
          <w:rFonts w:ascii="Garamond" w:hAnsi="Garamond"/>
          <w:sz w:val="18"/>
          <w:szCs w:val="18"/>
        </w:rPr>
      </w:pPr>
      <w:proofErr w:type="spellStart"/>
      <w:r w:rsidRPr="00BE6E89">
        <w:rPr>
          <w:rFonts w:ascii="Garamond" w:hAnsi="Garamond"/>
          <w:smallCaps/>
          <w:sz w:val="18"/>
          <w:szCs w:val="18"/>
        </w:rPr>
        <w:t>na</w:t>
      </w:r>
      <w:proofErr w:type="spellEnd"/>
      <w:r w:rsidR="0039763F" w:rsidRPr="00BE6E89">
        <w:rPr>
          <w:rFonts w:ascii="Garamond" w:hAnsi="Garamond"/>
          <w:sz w:val="18"/>
          <w:szCs w:val="18"/>
        </w:rPr>
        <w:t xml:space="preserve">: </w:t>
      </w:r>
      <w:r w:rsidR="00C67299">
        <w:rPr>
          <w:rFonts w:ascii="Garamond" w:hAnsi="Garamond"/>
          <w:sz w:val="18"/>
          <w:szCs w:val="18"/>
        </w:rPr>
        <w:t>N</w:t>
      </w:r>
      <w:r w:rsidR="0039763F" w:rsidRPr="00BE6E89">
        <w:rPr>
          <w:rFonts w:ascii="Garamond" w:hAnsi="Garamond"/>
          <w:sz w:val="18"/>
          <w:szCs w:val="18"/>
        </w:rPr>
        <w:t>o aplica.</w:t>
      </w:r>
    </w:p>
    <w:p w14:paraId="1E1B285B" w14:textId="3E0D604F" w:rsidR="00EC5B9F" w:rsidRDefault="009B4AF3" w:rsidP="23DEAE4B">
      <w:pPr>
        <w:spacing w:before="240"/>
        <w:jc w:val="both"/>
        <w:rPr>
          <w:rFonts w:ascii="Garamond" w:hAnsi="Garamond"/>
        </w:rPr>
      </w:pPr>
      <w:r>
        <w:rPr>
          <w:rFonts w:ascii="Garamond" w:hAnsi="Garamond"/>
        </w:rPr>
        <w:t>La Tabla 4</w:t>
      </w:r>
      <w:r w:rsidR="001253B9">
        <w:rPr>
          <w:rFonts w:ascii="Garamond" w:hAnsi="Garamond"/>
        </w:rPr>
        <w:t xml:space="preserve"> muestra los porcentajes de publicaciones</w:t>
      </w:r>
      <w:r w:rsidR="00D95900">
        <w:rPr>
          <w:rFonts w:ascii="Garamond" w:hAnsi="Garamond"/>
        </w:rPr>
        <w:t xml:space="preserve"> que cumplieron los respectivos parámetros de oportunidad</w:t>
      </w:r>
      <w:r w:rsidR="003C0BEC">
        <w:rPr>
          <w:rFonts w:ascii="Garamond" w:hAnsi="Garamond"/>
        </w:rPr>
        <w:t>, según método de generación</w:t>
      </w:r>
      <w:r w:rsidR="00DC61FB">
        <w:rPr>
          <w:rFonts w:ascii="Garamond" w:hAnsi="Garamond"/>
        </w:rPr>
        <w:t>; esto</w:t>
      </w:r>
      <w:r w:rsidR="00D10D33">
        <w:rPr>
          <w:rFonts w:ascii="Garamond" w:hAnsi="Garamond"/>
        </w:rPr>
        <w:t>s</w:t>
      </w:r>
      <w:r w:rsidR="00DC61FB">
        <w:rPr>
          <w:rFonts w:ascii="Garamond" w:hAnsi="Garamond"/>
        </w:rPr>
        <w:t xml:space="preserve"> </w:t>
      </w:r>
      <w:r w:rsidR="00A321DE">
        <w:rPr>
          <w:rFonts w:ascii="Garamond" w:hAnsi="Garamond"/>
        </w:rPr>
        <w:t xml:space="preserve">son los casos en los que </w:t>
      </w:r>
      <w:r w:rsidR="00D32F23">
        <w:rPr>
          <w:rFonts w:ascii="Garamond" w:hAnsi="Garamond"/>
        </w:rPr>
        <w:t>el número de días real</w:t>
      </w:r>
      <w:r w:rsidR="00A321DE">
        <w:rPr>
          <w:rFonts w:ascii="Garamond" w:hAnsi="Garamond"/>
        </w:rPr>
        <w:t xml:space="preserve"> </w:t>
      </w:r>
      <w:r w:rsidR="006D0EA9">
        <w:rPr>
          <w:rFonts w:ascii="Garamond" w:hAnsi="Garamond"/>
        </w:rPr>
        <w:t xml:space="preserve">fue igual o menor al parámetro de referencia. </w:t>
      </w:r>
      <w:r w:rsidR="00DA0E35">
        <w:rPr>
          <w:rFonts w:ascii="Garamond" w:hAnsi="Garamond"/>
        </w:rPr>
        <w:t xml:space="preserve">Destaca que, en promedio, </w:t>
      </w:r>
      <w:r w:rsidR="00DB50AF">
        <w:rPr>
          <w:rFonts w:ascii="Garamond" w:hAnsi="Garamond"/>
        </w:rPr>
        <w:t xml:space="preserve">la oportunidad </w:t>
      </w:r>
      <w:r w:rsidR="00A41DE1">
        <w:rPr>
          <w:rFonts w:ascii="Garamond" w:hAnsi="Garamond"/>
        </w:rPr>
        <w:t xml:space="preserve">se vio afectada </w:t>
      </w:r>
      <w:r w:rsidR="00FC170A">
        <w:rPr>
          <w:rFonts w:ascii="Garamond" w:hAnsi="Garamond"/>
        </w:rPr>
        <w:t xml:space="preserve">durante 2020 y 2021 por la pandemia de </w:t>
      </w:r>
      <w:r w:rsidR="008B0406" w:rsidRPr="008B0406">
        <w:rPr>
          <w:rFonts w:ascii="Garamond" w:hAnsi="Garamond"/>
          <w:smallCaps/>
        </w:rPr>
        <w:t>covid</w:t>
      </w:r>
      <w:r w:rsidR="00FC170A">
        <w:rPr>
          <w:rFonts w:ascii="Garamond" w:hAnsi="Garamond"/>
        </w:rPr>
        <w:t xml:space="preserve">-19, </w:t>
      </w:r>
      <w:r w:rsidR="004B4836">
        <w:rPr>
          <w:rFonts w:ascii="Garamond" w:hAnsi="Garamond"/>
        </w:rPr>
        <w:t xml:space="preserve">y se recuperó en 2022. </w:t>
      </w:r>
      <w:r w:rsidR="008F2242">
        <w:rPr>
          <w:rFonts w:ascii="Garamond" w:hAnsi="Garamond"/>
        </w:rPr>
        <w:t xml:space="preserve">La tendencia ascendente se </w:t>
      </w:r>
      <w:r w:rsidR="00A33A7D">
        <w:rPr>
          <w:rFonts w:ascii="Garamond" w:hAnsi="Garamond"/>
        </w:rPr>
        <w:t>revi</w:t>
      </w:r>
      <w:r w:rsidR="0019579C">
        <w:rPr>
          <w:rFonts w:ascii="Garamond" w:hAnsi="Garamond"/>
        </w:rPr>
        <w:t>rtió ligeramente</w:t>
      </w:r>
      <w:r w:rsidR="008F2242">
        <w:rPr>
          <w:rFonts w:ascii="Garamond" w:hAnsi="Garamond"/>
        </w:rPr>
        <w:t xml:space="preserve"> en 2023</w:t>
      </w:r>
      <w:r w:rsidR="009A1D79">
        <w:rPr>
          <w:rFonts w:ascii="Garamond" w:hAnsi="Garamond"/>
        </w:rPr>
        <w:t xml:space="preserve">, </w:t>
      </w:r>
      <w:r w:rsidR="0019579C">
        <w:rPr>
          <w:rFonts w:ascii="Garamond" w:hAnsi="Garamond"/>
        </w:rPr>
        <w:t xml:space="preserve">debido a </w:t>
      </w:r>
      <w:r w:rsidR="00A1726D">
        <w:rPr>
          <w:rFonts w:ascii="Garamond" w:hAnsi="Garamond"/>
        </w:rPr>
        <w:t>censos</w:t>
      </w:r>
      <w:r w:rsidR="00D70C38">
        <w:rPr>
          <w:rFonts w:ascii="Garamond" w:hAnsi="Garamond"/>
        </w:rPr>
        <w:t>, estadística derivada</w:t>
      </w:r>
      <w:r w:rsidR="00A1726D">
        <w:rPr>
          <w:rFonts w:ascii="Garamond" w:hAnsi="Garamond"/>
        </w:rPr>
        <w:t xml:space="preserve"> </w:t>
      </w:r>
      <w:r w:rsidR="00F50A51">
        <w:rPr>
          <w:rFonts w:ascii="Garamond" w:hAnsi="Garamond"/>
        </w:rPr>
        <w:t xml:space="preserve">y </w:t>
      </w:r>
      <w:r w:rsidR="007979B7">
        <w:rPr>
          <w:rFonts w:ascii="Garamond" w:hAnsi="Garamond"/>
        </w:rPr>
        <w:t>aprovechamiento de registros administrativos</w:t>
      </w:r>
      <w:r w:rsidR="005F72E4">
        <w:rPr>
          <w:rFonts w:ascii="Garamond" w:hAnsi="Garamond"/>
        </w:rPr>
        <w:t>.</w:t>
      </w:r>
    </w:p>
    <w:p w14:paraId="081DE4E1" w14:textId="4FE905D2" w:rsidR="000376C9" w:rsidRDefault="00DC78FE" w:rsidP="002930C5">
      <w:pPr>
        <w:spacing w:before="240"/>
        <w:jc w:val="both"/>
        <w:rPr>
          <w:rFonts w:ascii="Garamond" w:hAnsi="Garamond"/>
        </w:rPr>
      </w:pPr>
      <w:r>
        <w:rPr>
          <w:rFonts w:ascii="Garamond" w:hAnsi="Garamond"/>
        </w:rPr>
        <w:t xml:space="preserve">La oportunidad </w:t>
      </w:r>
      <w:r w:rsidR="0094258D">
        <w:rPr>
          <w:rFonts w:ascii="Garamond" w:hAnsi="Garamond"/>
        </w:rPr>
        <w:t xml:space="preserve">es un principio que invita a </w:t>
      </w:r>
      <w:r w:rsidR="00334702">
        <w:rPr>
          <w:rFonts w:ascii="Garamond" w:hAnsi="Garamond"/>
        </w:rPr>
        <w:t>reflexionar sobre posibles maneras de optimizar la ejecución de los procesos de producción</w:t>
      </w:r>
      <w:r w:rsidR="00F23EC5">
        <w:rPr>
          <w:rFonts w:ascii="Garamond" w:hAnsi="Garamond"/>
        </w:rPr>
        <w:t xml:space="preserve"> </w:t>
      </w:r>
      <w:r w:rsidR="007031F3">
        <w:rPr>
          <w:rFonts w:ascii="Garamond" w:hAnsi="Garamond"/>
        </w:rPr>
        <w:t xml:space="preserve">con la finalidad de </w:t>
      </w:r>
      <w:r w:rsidR="00FF2270">
        <w:rPr>
          <w:rFonts w:ascii="Garamond" w:hAnsi="Garamond"/>
        </w:rPr>
        <w:t>cumplir l</w:t>
      </w:r>
      <w:r w:rsidR="00101CB7">
        <w:rPr>
          <w:rFonts w:ascii="Garamond" w:hAnsi="Garamond"/>
        </w:rPr>
        <w:t>a</w:t>
      </w:r>
      <w:r w:rsidR="00FF2270">
        <w:rPr>
          <w:rFonts w:ascii="Garamond" w:hAnsi="Garamond"/>
        </w:rPr>
        <w:t xml:space="preserve">s </w:t>
      </w:r>
      <w:r w:rsidR="00101CB7">
        <w:rPr>
          <w:rFonts w:ascii="Garamond" w:hAnsi="Garamond"/>
        </w:rPr>
        <w:t>expectativas de las personas usuarias</w:t>
      </w:r>
      <w:r w:rsidR="00504495">
        <w:rPr>
          <w:rFonts w:ascii="Garamond" w:hAnsi="Garamond"/>
        </w:rPr>
        <w:t xml:space="preserve">, sin poner el riesgo otros principios de calidad, como puede ser la precisión o </w:t>
      </w:r>
      <w:r w:rsidR="00FD556D">
        <w:rPr>
          <w:rFonts w:ascii="Garamond" w:hAnsi="Garamond"/>
        </w:rPr>
        <w:t xml:space="preserve">la </w:t>
      </w:r>
      <w:r w:rsidR="00504495">
        <w:rPr>
          <w:rFonts w:ascii="Garamond" w:hAnsi="Garamond"/>
        </w:rPr>
        <w:t>pertinencia</w:t>
      </w:r>
      <w:r w:rsidR="00FF2270">
        <w:rPr>
          <w:rFonts w:ascii="Garamond" w:hAnsi="Garamond"/>
        </w:rPr>
        <w:t>.</w:t>
      </w:r>
    </w:p>
    <w:p w14:paraId="34C1F70E" w14:textId="57B45DBD" w:rsidR="00BC5436" w:rsidRDefault="007E6D79" w:rsidP="002930C5">
      <w:pPr>
        <w:spacing w:before="240"/>
        <w:jc w:val="both"/>
        <w:rPr>
          <w:rFonts w:ascii="Garamond" w:hAnsi="Garamond"/>
        </w:rPr>
      </w:pPr>
      <w:r>
        <w:rPr>
          <w:rFonts w:ascii="Garamond" w:hAnsi="Garamond"/>
        </w:rPr>
        <w:t>L</w:t>
      </w:r>
      <w:r w:rsidR="000376C9">
        <w:rPr>
          <w:rFonts w:ascii="Garamond" w:hAnsi="Garamond"/>
        </w:rPr>
        <w:t xml:space="preserve">a </w:t>
      </w:r>
      <w:r w:rsidR="00194A4A" w:rsidRPr="00BE6E89">
        <w:rPr>
          <w:rFonts w:ascii="Garamond" w:hAnsi="Garamond"/>
        </w:rPr>
        <w:t>Figura</w:t>
      </w:r>
      <w:r w:rsidR="00DE030E" w:rsidRPr="00BE6E89">
        <w:rPr>
          <w:rFonts w:ascii="Garamond" w:hAnsi="Garamond"/>
        </w:rPr>
        <w:t xml:space="preserve"> </w:t>
      </w:r>
      <w:r w:rsidR="00341A81">
        <w:rPr>
          <w:rFonts w:ascii="Garamond" w:hAnsi="Garamond"/>
        </w:rPr>
        <w:t>5</w:t>
      </w:r>
      <w:r>
        <w:rPr>
          <w:rFonts w:ascii="Garamond" w:hAnsi="Garamond"/>
        </w:rPr>
        <w:t xml:space="preserve"> ilustra los indicadores de oportunidad correspondientes a cada una de las publicaciones</w:t>
      </w:r>
      <w:r w:rsidR="005718FA">
        <w:rPr>
          <w:rFonts w:ascii="Garamond" w:hAnsi="Garamond"/>
        </w:rPr>
        <w:t xml:space="preserve"> comprometidas en el Calendario de difusión</w:t>
      </w:r>
      <w:r w:rsidR="00014440">
        <w:rPr>
          <w:rFonts w:ascii="Garamond" w:hAnsi="Garamond"/>
        </w:rPr>
        <w:t xml:space="preserve"> (ver línea </w:t>
      </w:r>
      <w:r w:rsidR="00F36A08">
        <w:rPr>
          <w:rFonts w:ascii="Garamond" w:hAnsi="Garamond"/>
        </w:rPr>
        <w:t>continua)</w:t>
      </w:r>
      <w:r w:rsidR="005718FA">
        <w:rPr>
          <w:rFonts w:ascii="Garamond" w:hAnsi="Garamond"/>
        </w:rPr>
        <w:t xml:space="preserve">. </w:t>
      </w:r>
      <w:r w:rsidR="00385CBB">
        <w:rPr>
          <w:rFonts w:ascii="Garamond" w:hAnsi="Garamond"/>
        </w:rPr>
        <w:t>L</w:t>
      </w:r>
      <w:r w:rsidR="005718FA">
        <w:rPr>
          <w:rFonts w:ascii="Garamond" w:hAnsi="Garamond"/>
        </w:rPr>
        <w:t>os valores positivos</w:t>
      </w:r>
      <w:r w:rsidR="00C0007B">
        <w:rPr>
          <w:rFonts w:ascii="Garamond" w:hAnsi="Garamond"/>
        </w:rPr>
        <w:t xml:space="preserve"> o iguales a cero</w:t>
      </w:r>
      <w:r w:rsidR="005718FA">
        <w:rPr>
          <w:rFonts w:ascii="Garamond" w:hAnsi="Garamond"/>
        </w:rPr>
        <w:t xml:space="preserve"> de</w:t>
      </w:r>
      <w:r w:rsidR="005B712F">
        <w:rPr>
          <w:rFonts w:ascii="Garamond" w:hAnsi="Garamond"/>
        </w:rPr>
        <w:t xml:space="preserve">l indicador de oportunidad implican que el número de días real fue </w:t>
      </w:r>
      <w:r w:rsidR="00883C39">
        <w:rPr>
          <w:rFonts w:ascii="Garamond" w:hAnsi="Garamond"/>
        </w:rPr>
        <w:t>inferior</w:t>
      </w:r>
      <w:r w:rsidR="00C0007B">
        <w:rPr>
          <w:rFonts w:ascii="Garamond" w:hAnsi="Garamond"/>
        </w:rPr>
        <w:t xml:space="preserve"> o igual</w:t>
      </w:r>
      <w:r w:rsidR="006B76AF">
        <w:rPr>
          <w:rFonts w:ascii="Garamond" w:hAnsi="Garamond"/>
        </w:rPr>
        <w:t>, respectivamente,</w:t>
      </w:r>
      <w:r w:rsidR="00883C39">
        <w:rPr>
          <w:rFonts w:ascii="Garamond" w:hAnsi="Garamond"/>
        </w:rPr>
        <w:t xml:space="preserve"> al número de días asociado al respectivo parámetro de oportunidad. </w:t>
      </w:r>
      <w:r w:rsidR="00C34B08">
        <w:rPr>
          <w:rFonts w:ascii="Garamond" w:hAnsi="Garamond"/>
        </w:rPr>
        <w:t>V</w:t>
      </w:r>
      <w:r w:rsidR="00A97B04">
        <w:rPr>
          <w:rFonts w:ascii="Garamond" w:hAnsi="Garamond"/>
        </w:rPr>
        <w:t xml:space="preserve">alores </w:t>
      </w:r>
      <w:r w:rsidR="00385CBB">
        <w:rPr>
          <w:rFonts w:ascii="Garamond" w:hAnsi="Garamond"/>
        </w:rPr>
        <w:t xml:space="preserve">negativos </w:t>
      </w:r>
      <w:r w:rsidR="00437077">
        <w:rPr>
          <w:rFonts w:ascii="Garamond" w:hAnsi="Garamond"/>
        </w:rPr>
        <w:t>significan lo opuesto</w:t>
      </w:r>
      <w:r w:rsidR="00A97B04">
        <w:rPr>
          <w:rFonts w:ascii="Garamond" w:hAnsi="Garamond"/>
        </w:rPr>
        <w:t xml:space="preserve">. </w:t>
      </w:r>
      <w:r w:rsidR="004A0FF2">
        <w:rPr>
          <w:rFonts w:ascii="Garamond" w:hAnsi="Garamond"/>
        </w:rPr>
        <w:t>Las líneas punteadas de l</w:t>
      </w:r>
      <w:r w:rsidR="00B25193">
        <w:rPr>
          <w:rFonts w:ascii="Garamond" w:hAnsi="Garamond"/>
        </w:rPr>
        <w:t xml:space="preserve">a Figura </w:t>
      </w:r>
      <w:r w:rsidR="00341A81">
        <w:rPr>
          <w:rFonts w:ascii="Garamond" w:hAnsi="Garamond"/>
        </w:rPr>
        <w:t>5</w:t>
      </w:r>
      <w:r w:rsidR="00B25193">
        <w:rPr>
          <w:rFonts w:ascii="Garamond" w:hAnsi="Garamond"/>
        </w:rPr>
        <w:t xml:space="preserve"> </w:t>
      </w:r>
      <w:r w:rsidR="004A0FF2">
        <w:rPr>
          <w:rFonts w:ascii="Garamond" w:hAnsi="Garamond"/>
        </w:rPr>
        <w:t>muestran</w:t>
      </w:r>
      <w:r w:rsidR="00B25193">
        <w:rPr>
          <w:rFonts w:ascii="Garamond" w:hAnsi="Garamond"/>
        </w:rPr>
        <w:t xml:space="preserve"> el Indicador Institucional de Oportunidad (</w:t>
      </w:r>
      <w:proofErr w:type="spellStart"/>
      <w:r w:rsidR="00B25193" w:rsidRPr="00B25193">
        <w:rPr>
          <w:rFonts w:ascii="Garamond" w:hAnsi="Garamond"/>
          <w:smallCaps/>
        </w:rPr>
        <w:t>iio</w:t>
      </w:r>
      <w:proofErr w:type="spellEnd"/>
      <w:r w:rsidR="00B25193">
        <w:rPr>
          <w:rFonts w:ascii="Garamond" w:hAnsi="Garamond"/>
        </w:rPr>
        <w:t xml:space="preserve">), que es el promedio simple de </w:t>
      </w:r>
      <w:r w:rsidR="005151B9">
        <w:rPr>
          <w:rFonts w:ascii="Garamond" w:hAnsi="Garamond"/>
        </w:rPr>
        <w:t>los indicadores de oportunidad</w:t>
      </w:r>
      <w:r w:rsidR="00E676EE">
        <w:rPr>
          <w:rFonts w:ascii="Garamond" w:hAnsi="Garamond"/>
        </w:rPr>
        <w:t xml:space="preserve">, así como </w:t>
      </w:r>
      <w:r w:rsidR="0015624A">
        <w:rPr>
          <w:rFonts w:ascii="Garamond" w:hAnsi="Garamond"/>
        </w:rPr>
        <w:t xml:space="preserve">el rango </w:t>
      </w:r>
      <w:r w:rsidR="005018E7">
        <w:rPr>
          <w:rFonts w:ascii="Garamond" w:hAnsi="Garamond"/>
        </w:rPr>
        <w:t>dado por la</w:t>
      </w:r>
      <w:r w:rsidR="00E676EE">
        <w:rPr>
          <w:rFonts w:ascii="Garamond" w:hAnsi="Garamond"/>
        </w:rPr>
        <w:t xml:space="preserve"> desviaci</w:t>
      </w:r>
      <w:r w:rsidR="00D12828">
        <w:rPr>
          <w:rFonts w:ascii="Garamond" w:hAnsi="Garamond"/>
        </w:rPr>
        <w:t>ón</w:t>
      </w:r>
      <w:r w:rsidR="00E676EE">
        <w:rPr>
          <w:rFonts w:ascii="Garamond" w:hAnsi="Garamond"/>
        </w:rPr>
        <w:t xml:space="preserve"> estándar (</w:t>
      </w:r>
      <w:r w:rsidR="004A5EFB" w:rsidRPr="004A5EFB">
        <w:rPr>
          <w:rFonts w:ascii="Garamond" w:hAnsi="Garamond"/>
          <w:smallCaps/>
        </w:rPr>
        <w:t>s</w:t>
      </w:r>
      <w:r w:rsidR="00E676EE" w:rsidRPr="004A5EFB">
        <w:rPr>
          <w:rFonts w:ascii="Garamond" w:hAnsi="Garamond"/>
          <w:smallCaps/>
        </w:rPr>
        <w:t>1</w:t>
      </w:r>
      <w:r w:rsidR="00E676EE">
        <w:rPr>
          <w:rFonts w:ascii="Garamond" w:hAnsi="Garamond"/>
        </w:rPr>
        <w:t xml:space="preserve"> y </w:t>
      </w:r>
      <w:r w:rsidR="004A5EFB" w:rsidRPr="004A5EFB">
        <w:rPr>
          <w:rFonts w:ascii="Garamond" w:hAnsi="Garamond"/>
          <w:smallCaps/>
        </w:rPr>
        <w:t>s</w:t>
      </w:r>
      <w:r w:rsidR="00E676EE" w:rsidRPr="004A5EFB">
        <w:rPr>
          <w:rFonts w:ascii="Garamond" w:hAnsi="Garamond"/>
          <w:smallCaps/>
        </w:rPr>
        <w:t>2</w:t>
      </w:r>
      <w:r w:rsidR="00E676EE">
        <w:rPr>
          <w:rFonts w:ascii="Garamond" w:hAnsi="Garamond"/>
        </w:rPr>
        <w:t xml:space="preserve">). </w:t>
      </w:r>
      <w:r w:rsidR="00FC3C22">
        <w:rPr>
          <w:rFonts w:ascii="Garamond" w:hAnsi="Garamond"/>
        </w:rPr>
        <w:t xml:space="preserve">Las publicaciones </w:t>
      </w:r>
      <w:r w:rsidR="0088131F">
        <w:rPr>
          <w:rFonts w:ascii="Garamond" w:hAnsi="Garamond"/>
        </w:rPr>
        <w:t xml:space="preserve">con indicadores de oportunidad por arriba de </w:t>
      </w:r>
      <w:r w:rsidR="005A4BAE" w:rsidRPr="005A4BAE">
        <w:rPr>
          <w:rFonts w:ascii="Garamond" w:hAnsi="Garamond"/>
          <w:smallCaps/>
        </w:rPr>
        <w:t>s</w:t>
      </w:r>
      <w:r w:rsidR="005A4BAE">
        <w:rPr>
          <w:rFonts w:ascii="Garamond" w:hAnsi="Garamond"/>
        </w:rPr>
        <w:t xml:space="preserve">2 </w:t>
      </w:r>
      <w:r w:rsidR="00725D9E">
        <w:rPr>
          <w:rFonts w:ascii="Garamond" w:hAnsi="Garamond"/>
        </w:rPr>
        <w:t xml:space="preserve">mejoraron notoriamente </w:t>
      </w:r>
      <w:r w:rsidR="001A0CDC">
        <w:rPr>
          <w:rFonts w:ascii="Garamond" w:hAnsi="Garamond"/>
        </w:rPr>
        <w:t>sus respectivos parámetros de oportunidad</w:t>
      </w:r>
      <w:r w:rsidR="0086644E" w:rsidRPr="00BE6E89">
        <w:rPr>
          <w:rFonts w:ascii="Garamond" w:hAnsi="Garamond"/>
        </w:rPr>
        <w:t>.</w:t>
      </w:r>
    </w:p>
    <w:p w14:paraId="603584B6" w14:textId="77777777" w:rsidR="009F589F" w:rsidRDefault="009F589F">
      <w:pPr>
        <w:rPr>
          <w:rFonts w:ascii="Garamond" w:hAnsi="Garamond"/>
        </w:rPr>
      </w:pPr>
      <w:r>
        <w:rPr>
          <w:rFonts w:ascii="Garamond" w:hAnsi="Garamond"/>
        </w:rPr>
        <w:br w:type="page"/>
      </w:r>
    </w:p>
    <w:p w14:paraId="70693385" w14:textId="51BEE137" w:rsidR="00601AD1" w:rsidRPr="00BE6E89" w:rsidRDefault="00194A4A" w:rsidP="00601AD1">
      <w:pPr>
        <w:spacing w:before="240" w:after="0"/>
        <w:jc w:val="center"/>
        <w:rPr>
          <w:rFonts w:ascii="Garamond" w:hAnsi="Garamond"/>
        </w:rPr>
      </w:pPr>
      <w:r w:rsidRPr="00BE6E89">
        <w:rPr>
          <w:rFonts w:ascii="Garamond" w:hAnsi="Garamond"/>
          <w:b/>
        </w:rPr>
        <w:lastRenderedPageBreak/>
        <w:t xml:space="preserve">Figura </w:t>
      </w:r>
      <w:r w:rsidR="00341A81">
        <w:rPr>
          <w:rFonts w:ascii="Garamond" w:hAnsi="Garamond"/>
          <w:b/>
        </w:rPr>
        <w:t>5</w:t>
      </w:r>
      <w:r w:rsidR="00601AD1" w:rsidRPr="00BE6E89">
        <w:rPr>
          <w:rFonts w:ascii="Garamond" w:hAnsi="Garamond"/>
          <w:b/>
        </w:rPr>
        <w:t xml:space="preserve">. </w:t>
      </w:r>
      <w:r w:rsidR="00901B8A">
        <w:rPr>
          <w:rFonts w:ascii="Garamond" w:hAnsi="Garamond"/>
          <w:b/>
        </w:rPr>
        <w:t xml:space="preserve">Indicadores de oportunidad </w:t>
      </w:r>
      <w:r w:rsidR="00B7796C">
        <w:rPr>
          <w:rFonts w:ascii="Garamond" w:hAnsi="Garamond"/>
          <w:b/>
        </w:rPr>
        <w:t xml:space="preserve">e Indicador </w:t>
      </w:r>
      <w:r w:rsidR="00D657CA">
        <w:rPr>
          <w:rFonts w:ascii="Garamond" w:hAnsi="Garamond"/>
          <w:b/>
        </w:rPr>
        <w:t>Instituci</w:t>
      </w:r>
      <w:r w:rsidR="009D6C00">
        <w:rPr>
          <w:rFonts w:ascii="Garamond" w:hAnsi="Garamond"/>
          <w:b/>
        </w:rPr>
        <w:t>onal de Oportunidad (</w:t>
      </w:r>
      <w:proofErr w:type="spellStart"/>
      <w:r w:rsidR="009D6C00" w:rsidRPr="009D6C00">
        <w:rPr>
          <w:rFonts w:ascii="Garamond" w:hAnsi="Garamond"/>
          <w:b/>
          <w:smallCaps/>
        </w:rPr>
        <w:t>iio</w:t>
      </w:r>
      <w:proofErr w:type="spellEnd"/>
      <w:r w:rsidR="009D6C00">
        <w:rPr>
          <w:rFonts w:ascii="Garamond" w:hAnsi="Garamond"/>
          <w:b/>
        </w:rPr>
        <w:t>)</w:t>
      </w:r>
      <w:r w:rsidR="003C3B51">
        <w:rPr>
          <w:rFonts w:ascii="Garamond" w:hAnsi="Garamond"/>
          <w:b/>
        </w:rPr>
        <w:t>, 2023</w:t>
      </w:r>
    </w:p>
    <w:p w14:paraId="250C44F0" w14:textId="4592D899" w:rsidR="00233376" w:rsidRPr="00395213" w:rsidRDefault="009D039E" w:rsidP="00B1187B">
      <w:pPr>
        <w:spacing w:before="240" w:after="120"/>
        <w:jc w:val="center"/>
        <w:rPr>
          <w:rFonts w:ascii="Garamond" w:hAnsi="Garamond"/>
          <w:sz w:val="21"/>
          <w:szCs w:val="21"/>
        </w:rPr>
      </w:pPr>
      <w:r>
        <w:rPr>
          <w:rFonts w:ascii="Garamond" w:hAnsi="Garamond"/>
          <w:noProof/>
          <w:sz w:val="21"/>
          <w:szCs w:val="21"/>
        </w:rPr>
        <w:drawing>
          <wp:inline distT="0" distB="0" distL="0" distR="0" wp14:anchorId="3B71F789" wp14:editId="0BC16559">
            <wp:extent cx="5892800" cy="2927845"/>
            <wp:effectExtent l="0" t="0" r="0" b="6350"/>
            <wp:docPr id="6481910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494" cy="2955517"/>
                    </a:xfrm>
                    <a:prstGeom prst="rect">
                      <a:avLst/>
                    </a:prstGeom>
                    <a:noFill/>
                  </pic:spPr>
                </pic:pic>
              </a:graphicData>
            </a:graphic>
          </wp:inline>
        </w:drawing>
      </w:r>
    </w:p>
    <w:p w14:paraId="7B976D90" w14:textId="206C3276" w:rsidR="002C1EE4" w:rsidRPr="00BE6E89" w:rsidRDefault="001B1639" w:rsidP="008F0556">
      <w:pPr>
        <w:spacing w:before="240"/>
        <w:jc w:val="both"/>
        <w:rPr>
          <w:rFonts w:ascii="Garamond" w:hAnsi="Garamond"/>
        </w:rPr>
      </w:pPr>
      <w:r w:rsidRPr="00BE6E89">
        <w:rPr>
          <w:rFonts w:ascii="Garamond" w:hAnsi="Garamond"/>
        </w:rPr>
        <w:t>Con la finalidad de</w:t>
      </w:r>
      <w:r w:rsidR="00227466" w:rsidRPr="00BE6E89">
        <w:rPr>
          <w:rFonts w:ascii="Garamond" w:hAnsi="Garamond"/>
        </w:rPr>
        <w:t xml:space="preserve"> </w:t>
      </w:r>
      <w:r w:rsidR="00F51186" w:rsidRPr="00BE6E89">
        <w:rPr>
          <w:rFonts w:ascii="Garamond" w:hAnsi="Garamond"/>
        </w:rPr>
        <w:t xml:space="preserve">que las personas usuarias conozcan cuándo será publicada la información </w:t>
      </w:r>
      <w:r w:rsidR="00602BB2" w:rsidRPr="00BE6E89">
        <w:rPr>
          <w:rFonts w:ascii="Garamond" w:hAnsi="Garamond"/>
        </w:rPr>
        <w:t>para que puedan utilizar</w:t>
      </w:r>
      <w:r w:rsidR="00CD41DC" w:rsidRPr="00BE6E89">
        <w:rPr>
          <w:rFonts w:ascii="Garamond" w:hAnsi="Garamond"/>
        </w:rPr>
        <w:t>la oportunamente</w:t>
      </w:r>
      <w:r w:rsidR="000D1F20" w:rsidRPr="00BE6E89">
        <w:rPr>
          <w:rFonts w:ascii="Garamond" w:hAnsi="Garamond"/>
        </w:rPr>
        <w:t xml:space="preserve">, </w:t>
      </w:r>
      <w:r w:rsidR="00CD41DC" w:rsidRPr="00BE6E89">
        <w:rPr>
          <w:rFonts w:ascii="Garamond" w:hAnsi="Garamond"/>
        </w:rPr>
        <w:t xml:space="preserve">el </w:t>
      </w:r>
      <w:r w:rsidR="00FC63D4" w:rsidRPr="00BE6E89">
        <w:rPr>
          <w:rFonts w:ascii="Garamond" w:hAnsi="Garamond"/>
        </w:rPr>
        <w:t xml:space="preserve">Calendario de difusión </w:t>
      </w:r>
      <w:r w:rsidR="00C8216C" w:rsidRPr="00BE6E89">
        <w:rPr>
          <w:rFonts w:ascii="Garamond" w:hAnsi="Garamond"/>
        </w:rPr>
        <w:t xml:space="preserve">se revisa y publica en la página del </w:t>
      </w:r>
      <w:proofErr w:type="spellStart"/>
      <w:r w:rsidR="00D15D0D" w:rsidRPr="00BE6E89">
        <w:rPr>
          <w:rFonts w:ascii="Garamond" w:hAnsi="Garamond"/>
          <w:smallCaps/>
        </w:rPr>
        <w:t>inegi</w:t>
      </w:r>
      <w:proofErr w:type="spellEnd"/>
      <w:r w:rsidR="00C8216C" w:rsidRPr="00BE6E89">
        <w:rPr>
          <w:rFonts w:ascii="Garamond" w:hAnsi="Garamond"/>
        </w:rPr>
        <w:t xml:space="preserve"> </w:t>
      </w:r>
      <w:r w:rsidR="000D1F20" w:rsidRPr="00BE6E89">
        <w:rPr>
          <w:rFonts w:ascii="Garamond" w:hAnsi="Garamond"/>
        </w:rPr>
        <w:t xml:space="preserve">cada </w:t>
      </w:r>
      <w:r w:rsidR="00C8216C" w:rsidRPr="00BE6E89">
        <w:rPr>
          <w:rFonts w:ascii="Garamond" w:hAnsi="Garamond"/>
        </w:rPr>
        <w:t xml:space="preserve">semestre. </w:t>
      </w:r>
      <w:r w:rsidR="00A83394" w:rsidRPr="00BE6E89">
        <w:rPr>
          <w:rFonts w:ascii="Garamond" w:hAnsi="Garamond"/>
        </w:rPr>
        <w:t xml:space="preserve">En 2023, el Calendario </w:t>
      </w:r>
      <w:r w:rsidR="009F589F">
        <w:rPr>
          <w:rFonts w:ascii="Garamond" w:hAnsi="Garamond"/>
        </w:rPr>
        <w:t xml:space="preserve">de difusión </w:t>
      </w:r>
      <w:r w:rsidR="00A83394" w:rsidRPr="00BE6E89">
        <w:rPr>
          <w:rFonts w:ascii="Garamond" w:hAnsi="Garamond"/>
        </w:rPr>
        <w:t xml:space="preserve">incluyó el 97% de la información publicada en el sitio del </w:t>
      </w:r>
      <w:proofErr w:type="spellStart"/>
      <w:r w:rsidR="00D15D0D" w:rsidRPr="00BE6E89">
        <w:rPr>
          <w:rFonts w:ascii="Garamond" w:hAnsi="Garamond"/>
          <w:smallCaps/>
        </w:rPr>
        <w:t>inegi</w:t>
      </w:r>
      <w:proofErr w:type="spellEnd"/>
      <w:r w:rsidR="002C7B22" w:rsidRPr="00BE6E89">
        <w:rPr>
          <w:rFonts w:ascii="Garamond" w:hAnsi="Garamond"/>
        </w:rPr>
        <w:t xml:space="preserve"> y, al igual que años anteriores</w:t>
      </w:r>
      <w:r w:rsidR="000405BA" w:rsidRPr="00BE6E89">
        <w:rPr>
          <w:rFonts w:ascii="Garamond" w:hAnsi="Garamond"/>
        </w:rPr>
        <w:t>,</w:t>
      </w:r>
      <w:r w:rsidR="002C7B22" w:rsidRPr="00BE6E89">
        <w:rPr>
          <w:rFonts w:ascii="Garamond" w:hAnsi="Garamond"/>
        </w:rPr>
        <w:t xml:space="preserve"> </w:t>
      </w:r>
      <w:r w:rsidR="00A83394" w:rsidRPr="00BE6E89">
        <w:rPr>
          <w:rFonts w:ascii="Garamond" w:hAnsi="Garamond"/>
        </w:rPr>
        <w:t>se publicó a tiempo</w:t>
      </w:r>
      <w:r w:rsidR="002F2B83">
        <w:rPr>
          <w:rStyle w:val="Refdenotaalpie"/>
          <w:rFonts w:ascii="Garamond" w:hAnsi="Garamond"/>
        </w:rPr>
        <w:footnoteReference w:id="10"/>
      </w:r>
      <w:r w:rsidR="00A83394" w:rsidRPr="00BE6E89">
        <w:rPr>
          <w:rFonts w:ascii="Garamond" w:hAnsi="Garamond"/>
        </w:rPr>
        <w:t>. El 3% restante corresponde a 1</w:t>
      </w:r>
      <w:r w:rsidR="00EB64CF" w:rsidRPr="00BE6E89">
        <w:rPr>
          <w:rFonts w:ascii="Garamond" w:hAnsi="Garamond"/>
        </w:rPr>
        <w:t>6</w:t>
      </w:r>
      <w:r w:rsidR="009563EA" w:rsidRPr="00BE6E89">
        <w:rPr>
          <w:rFonts w:ascii="Garamond" w:hAnsi="Garamond"/>
        </w:rPr>
        <w:t xml:space="preserve"> </w:t>
      </w:r>
      <w:r w:rsidR="000C68AA" w:rsidRPr="00BE6E89">
        <w:rPr>
          <w:rFonts w:ascii="Garamond" w:hAnsi="Garamond"/>
        </w:rPr>
        <w:t xml:space="preserve">productos </w:t>
      </w:r>
      <w:r w:rsidR="00A83394" w:rsidRPr="00BE6E89">
        <w:rPr>
          <w:rFonts w:ascii="Garamond" w:hAnsi="Garamond"/>
        </w:rPr>
        <w:t>que no se incorporaron al Calendario</w:t>
      </w:r>
      <w:r w:rsidR="009F589F">
        <w:rPr>
          <w:rFonts w:ascii="Garamond" w:hAnsi="Garamond"/>
        </w:rPr>
        <w:t xml:space="preserve"> de difusión</w:t>
      </w:r>
      <w:r w:rsidR="00064C4A" w:rsidRPr="00BE6E89">
        <w:rPr>
          <w:rFonts w:ascii="Garamond" w:hAnsi="Garamond"/>
        </w:rPr>
        <w:t xml:space="preserve">, de los cuales </w:t>
      </w:r>
      <w:r w:rsidR="004A0BC2" w:rsidRPr="00BE6E89">
        <w:rPr>
          <w:rFonts w:ascii="Garamond" w:hAnsi="Garamond"/>
        </w:rPr>
        <w:t xml:space="preserve">10 </w:t>
      </w:r>
      <w:r w:rsidR="000B0209" w:rsidRPr="00BE6E89">
        <w:rPr>
          <w:rFonts w:ascii="Garamond" w:hAnsi="Garamond"/>
        </w:rPr>
        <w:t>corresponden a procesos</w:t>
      </w:r>
      <w:r w:rsidR="00064C4A" w:rsidRPr="00BE6E89">
        <w:rPr>
          <w:rFonts w:ascii="Garamond" w:hAnsi="Garamond"/>
        </w:rPr>
        <w:t xml:space="preserve"> consolidados y regulares</w:t>
      </w:r>
      <w:r w:rsidR="0017199B" w:rsidRPr="00BE6E89">
        <w:rPr>
          <w:rFonts w:ascii="Garamond" w:hAnsi="Garamond"/>
        </w:rPr>
        <w:t xml:space="preserve"> o consolidados</w:t>
      </w:r>
      <w:r w:rsidR="001B1CC1" w:rsidRPr="00BE6E89">
        <w:rPr>
          <w:rFonts w:ascii="Garamond" w:hAnsi="Garamond"/>
        </w:rPr>
        <w:t>,</w:t>
      </w:r>
      <w:r w:rsidR="00870539" w:rsidRPr="00BE6E89">
        <w:rPr>
          <w:rFonts w:ascii="Garamond" w:hAnsi="Garamond"/>
        </w:rPr>
        <w:t xml:space="preserve"> como puede verse en </w:t>
      </w:r>
      <w:r w:rsidR="00194A4A" w:rsidRPr="00BE6E89">
        <w:rPr>
          <w:rFonts w:ascii="Garamond" w:hAnsi="Garamond"/>
        </w:rPr>
        <w:t>la</w:t>
      </w:r>
      <w:r w:rsidR="00870539" w:rsidRPr="00BE6E89">
        <w:rPr>
          <w:rFonts w:ascii="Garamond" w:hAnsi="Garamond"/>
        </w:rPr>
        <w:t xml:space="preserve"> </w:t>
      </w:r>
      <w:r w:rsidR="00194A4A" w:rsidRPr="00BE6E89">
        <w:rPr>
          <w:rFonts w:ascii="Garamond" w:hAnsi="Garamond"/>
        </w:rPr>
        <w:t>Tabla</w:t>
      </w:r>
      <w:r w:rsidR="00870539" w:rsidRPr="00BE6E89">
        <w:rPr>
          <w:rFonts w:ascii="Garamond" w:hAnsi="Garamond"/>
        </w:rPr>
        <w:t xml:space="preserve"> </w:t>
      </w:r>
      <w:r w:rsidR="00F039CB" w:rsidRPr="00BE6E89">
        <w:rPr>
          <w:rFonts w:ascii="Garamond" w:hAnsi="Garamond"/>
        </w:rPr>
        <w:t>5</w:t>
      </w:r>
      <w:r w:rsidR="00064C4A" w:rsidRPr="00BE6E89">
        <w:rPr>
          <w:rFonts w:ascii="Garamond" w:hAnsi="Garamond"/>
        </w:rPr>
        <w:t>.</w:t>
      </w:r>
      <w:r w:rsidR="00F6296B" w:rsidRPr="00BE6E89">
        <w:rPr>
          <w:rFonts w:ascii="Garamond" w:hAnsi="Garamond"/>
        </w:rPr>
        <w:t xml:space="preserve"> Dado que el Calendario </w:t>
      </w:r>
      <w:r w:rsidR="009F589F">
        <w:rPr>
          <w:rFonts w:ascii="Garamond" w:hAnsi="Garamond"/>
        </w:rPr>
        <w:t>de difusión</w:t>
      </w:r>
      <w:r w:rsidR="00F6296B" w:rsidRPr="00BE6E89">
        <w:rPr>
          <w:rFonts w:ascii="Garamond" w:hAnsi="Garamond"/>
        </w:rPr>
        <w:t xml:space="preserve"> constituye un instrumento de tra</w:t>
      </w:r>
      <w:r w:rsidR="00CB1561" w:rsidRPr="00BE6E89">
        <w:rPr>
          <w:rFonts w:ascii="Garamond" w:hAnsi="Garamond"/>
        </w:rPr>
        <w:t>nsparencia hacia las personas usuarias es importante continuar con los esfuerzos para que</w:t>
      </w:r>
      <w:r w:rsidR="0078475F" w:rsidRPr="00BE6E89">
        <w:rPr>
          <w:rFonts w:ascii="Garamond" w:hAnsi="Garamond"/>
        </w:rPr>
        <w:t xml:space="preserve"> se incluyan</w:t>
      </w:r>
      <w:r w:rsidR="00CB1561" w:rsidRPr="00BE6E89">
        <w:rPr>
          <w:rFonts w:ascii="Garamond" w:hAnsi="Garamond"/>
        </w:rPr>
        <w:t xml:space="preserve"> </w:t>
      </w:r>
      <w:r w:rsidR="00D80B0B" w:rsidRPr="00BE6E89">
        <w:rPr>
          <w:rFonts w:ascii="Garamond" w:hAnsi="Garamond"/>
        </w:rPr>
        <w:t>todas las publicaciones</w:t>
      </w:r>
      <w:r w:rsidR="0062150E" w:rsidRPr="00BE6E89">
        <w:rPr>
          <w:rFonts w:ascii="Garamond" w:hAnsi="Garamond"/>
        </w:rPr>
        <w:t xml:space="preserve">, especialmente aquellas que se realizan </w:t>
      </w:r>
      <w:r w:rsidR="001D646E" w:rsidRPr="00BE6E89">
        <w:rPr>
          <w:rFonts w:ascii="Garamond" w:hAnsi="Garamond"/>
        </w:rPr>
        <w:t xml:space="preserve">exclusivamente </w:t>
      </w:r>
      <w:r w:rsidR="0062150E" w:rsidRPr="00BE6E89">
        <w:rPr>
          <w:rFonts w:ascii="Garamond" w:hAnsi="Garamond"/>
        </w:rPr>
        <w:t>con recurs</w:t>
      </w:r>
      <w:r w:rsidR="002437A2" w:rsidRPr="00BE6E89">
        <w:rPr>
          <w:rFonts w:ascii="Garamond" w:hAnsi="Garamond"/>
        </w:rPr>
        <w:t xml:space="preserve">os del </w:t>
      </w:r>
      <w:proofErr w:type="spellStart"/>
      <w:r w:rsidR="00D15D0D" w:rsidRPr="00BE6E89">
        <w:rPr>
          <w:rFonts w:ascii="Garamond" w:hAnsi="Garamond"/>
          <w:smallCaps/>
        </w:rPr>
        <w:t>inegi</w:t>
      </w:r>
      <w:proofErr w:type="spellEnd"/>
      <w:r w:rsidR="0078475F" w:rsidRPr="00BE6E89">
        <w:rPr>
          <w:rFonts w:ascii="Garamond" w:hAnsi="Garamond"/>
        </w:rPr>
        <w:t>.</w:t>
      </w:r>
    </w:p>
    <w:p w14:paraId="4B79BF82" w14:textId="51A9C0C8" w:rsidR="00C14F41" w:rsidRPr="00BE6E89" w:rsidRDefault="00F039CB" w:rsidP="003F486F">
      <w:pPr>
        <w:spacing w:before="240" w:after="0"/>
        <w:jc w:val="center"/>
        <w:rPr>
          <w:rFonts w:ascii="Garamond" w:hAnsi="Garamond"/>
          <w:b/>
        </w:rPr>
      </w:pPr>
      <w:r w:rsidRPr="00BE6E89">
        <w:rPr>
          <w:rFonts w:ascii="Garamond" w:hAnsi="Garamond"/>
          <w:b/>
        </w:rPr>
        <w:t>Tabla 5</w:t>
      </w:r>
      <w:r w:rsidR="00C14F41" w:rsidRPr="00BE6E89">
        <w:rPr>
          <w:rFonts w:ascii="Garamond" w:hAnsi="Garamond"/>
          <w:b/>
        </w:rPr>
        <w:t xml:space="preserve">. </w:t>
      </w:r>
      <w:r w:rsidR="006248D0" w:rsidRPr="00BE6E89">
        <w:rPr>
          <w:rFonts w:ascii="Garamond" w:hAnsi="Garamond"/>
          <w:b/>
        </w:rPr>
        <w:t>Información publicada</w:t>
      </w:r>
      <w:r w:rsidR="00BC097E" w:rsidRPr="00BE6E89">
        <w:rPr>
          <w:rFonts w:ascii="Garamond" w:hAnsi="Garamond"/>
          <w:b/>
        </w:rPr>
        <w:t>,</w:t>
      </w:r>
      <w:r w:rsidR="006248D0" w:rsidRPr="00BE6E89">
        <w:rPr>
          <w:rFonts w:ascii="Garamond" w:hAnsi="Garamond"/>
          <w:b/>
        </w:rPr>
        <w:t xml:space="preserve"> </w:t>
      </w:r>
      <w:r w:rsidR="008A0EFA" w:rsidRPr="00BE6E89">
        <w:rPr>
          <w:rFonts w:ascii="Garamond" w:hAnsi="Garamond"/>
          <w:b/>
        </w:rPr>
        <w:t>no incorporada al Calendario de difusión</w:t>
      </w:r>
    </w:p>
    <w:tbl>
      <w:tblPr>
        <w:tblW w:w="9410"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815"/>
        <w:gridCol w:w="1394"/>
        <w:gridCol w:w="1960"/>
        <w:gridCol w:w="1241"/>
      </w:tblGrid>
      <w:tr w:rsidR="0011429F" w:rsidRPr="00BE6E89" w14:paraId="30118CAE" w14:textId="77777777" w:rsidTr="00B13547">
        <w:trPr>
          <w:trHeight w:val="397"/>
          <w:tblHeader/>
          <w:jc w:val="center"/>
        </w:trPr>
        <w:tc>
          <w:tcPr>
            <w:tcW w:w="4815" w:type="dxa"/>
            <w:tcBorders>
              <w:bottom w:val="nil"/>
              <w:right w:val="nil"/>
            </w:tcBorders>
            <w:shd w:val="clear" w:color="000000" w:fill="002060"/>
            <w:vAlign w:val="center"/>
            <w:hideMark/>
          </w:tcPr>
          <w:p w14:paraId="5595F7B6" w14:textId="77777777" w:rsidR="0011429F" w:rsidRPr="00BE6E89" w:rsidRDefault="0011429F">
            <w:pPr>
              <w:spacing w:after="0" w:line="240" w:lineRule="auto"/>
              <w:jc w:val="center"/>
              <w:rPr>
                <w:rFonts w:ascii="Garamond" w:eastAsia="Times New Roman" w:hAnsi="Garamond" w:cs="Calibri"/>
                <w:b/>
                <w:color w:val="FFFFFF"/>
                <w:sz w:val="20"/>
                <w:szCs w:val="20"/>
                <w:lang w:eastAsia="es-MX"/>
              </w:rPr>
            </w:pPr>
            <w:r w:rsidRPr="00BE6E89">
              <w:rPr>
                <w:rFonts w:ascii="Garamond" w:eastAsia="Times New Roman" w:hAnsi="Garamond" w:cs="Calibri"/>
                <w:b/>
                <w:color w:val="FFFFFF"/>
                <w:sz w:val="20"/>
                <w:szCs w:val="20"/>
                <w:lang w:eastAsia="es-MX"/>
              </w:rPr>
              <w:t>Información estadística y geográfica</w:t>
            </w:r>
          </w:p>
        </w:tc>
        <w:tc>
          <w:tcPr>
            <w:tcW w:w="1394" w:type="dxa"/>
            <w:tcBorders>
              <w:left w:val="nil"/>
              <w:bottom w:val="nil"/>
              <w:right w:val="nil"/>
            </w:tcBorders>
            <w:shd w:val="clear" w:color="000000" w:fill="002060"/>
            <w:vAlign w:val="center"/>
          </w:tcPr>
          <w:p w14:paraId="22F11E3A" w14:textId="77777777" w:rsidR="0011429F" w:rsidRPr="00BE6E89" w:rsidRDefault="0011429F">
            <w:pPr>
              <w:spacing w:after="0" w:line="240" w:lineRule="auto"/>
              <w:jc w:val="center"/>
              <w:rPr>
                <w:rFonts w:ascii="Garamond" w:eastAsia="Times New Roman" w:hAnsi="Garamond" w:cs="Calibri"/>
                <w:b/>
                <w:color w:val="FFFFFF"/>
                <w:sz w:val="20"/>
                <w:szCs w:val="20"/>
                <w:lang w:eastAsia="es-MX"/>
              </w:rPr>
            </w:pPr>
            <w:r w:rsidRPr="00BE6E89">
              <w:rPr>
                <w:rFonts w:ascii="Garamond" w:eastAsia="Times New Roman" w:hAnsi="Garamond" w:cs="Calibri"/>
                <w:b/>
                <w:color w:val="FFFFFF"/>
                <w:sz w:val="20"/>
                <w:szCs w:val="20"/>
                <w:lang w:eastAsia="es-MX"/>
              </w:rPr>
              <w:t>Periodicidad</w:t>
            </w:r>
          </w:p>
        </w:tc>
        <w:tc>
          <w:tcPr>
            <w:tcW w:w="1960" w:type="dxa"/>
            <w:tcBorders>
              <w:left w:val="nil"/>
              <w:bottom w:val="nil"/>
              <w:right w:val="nil"/>
            </w:tcBorders>
            <w:shd w:val="clear" w:color="000000" w:fill="002060"/>
            <w:vAlign w:val="center"/>
            <w:hideMark/>
          </w:tcPr>
          <w:p w14:paraId="17215856" w14:textId="6DC4B805" w:rsidR="0011429F" w:rsidRPr="00BE6E89" w:rsidRDefault="0011429F">
            <w:pPr>
              <w:spacing w:after="0" w:line="240" w:lineRule="auto"/>
              <w:jc w:val="center"/>
              <w:rPr>
                <w:rFonts w:ascii="Garamond" w:eastAsia="Times New Roman" w:hAnsi="Garamond" w:cs="Calibri"/>
                <w:b/>
                <w:color w:val="FFFFFF"/>
                <w:sz w:val="20"/>
                <w:szCs w:val="20"/>
                <w:lang w:eastAsia="es-MX"/>
              </w:rPr>
            </w:pPr>
            <w:r w:rsidRPr="00BE6E89">
              <w:rPr>
                <w:rFonts w:ascii="Garamond" w:eastAsia="Times New Roman" w:hAnsi="Garamond" w:cs="Calibri"/>
                <w:b/>
                <w:color w:val="FFFFFF"/>
                <w:sz w:val="20"/>
                <w:szCs w:val="20"/>
                <w:lang w:eastAsia="es-MX"/>
              </w:rPr>
              <w:t>Grado de madurez del proceso de producción</w:t>
            </w:r>
          </w:p>
        </w:tc>
        <w:tc>
          <w:tcPr>
            <w:tcW w:w="1241" w:type="dxa"/>
            <w:tcBorders>
              <w:left w:val="nil"/>
              <w:bottom w:val="nil"/>
            </w:tcBorders>
            <w:shd w:val="clear" w:color="000000" w:fill="002060"/>
            <w:vAlign w:val="center"/>
            <w:hideMark/>
          </w:tcPr>
          <w:p w14:paraId="754696BB" w14:textId="77777777" w:rsidR="0011429F" w:rsidRPr="00BE6E89" w:rsidRDefault="0011429F">
            <w:pPr>
              <w:spacing w:after="0" w:line="240" w:lineRule="auto"/>
              <w:jc w:val="center"/>
              <w:rPr>
                <w:rFonts w:ascii="Garamond" w:eastAsia="Times New Roman" w:hAnsi="Garamond" w:cs="Calibri"/>
                <w:b/>
                <w:color w:val="FFFFFF"/>
                <w:sz w:val="20"/>
                <w:szCs w:val="20"/>
                <w:lang w:eastAsia="es-MX"/>
              </w:rPr>
            </w:pPr>
            <w:r w:rsidRPr="00BE6E89">
              <w:rPr>
                <w:rFonts w:ascii="Garamond" w:eastAsia="Times New Roman" w:hAnsi="Garamond" w:cs="Calibri"/>
                <w:b/>
                <w:color w:val="FFFFFF"/>
                <w:sz w:val="20"/>
                <w:szCs w:val="20"/>
                <w:lang w:eastAsia="es-MX"/>
              </w:rPr>
              <w:t>Origen de los recursos</w:t>
            </w:r>
          </w:p>
        </w:tc>
      </w:tr>
      <w:tr w:rsidR="0011429F" w:rsidRPr="00BE6E89" w14:paraId="3AB8342E" w14:textId="77777777" w:rsidTr="00B13547">
        <w:trPr>
          <w:trHeight w:val="454"/>
          <w:jc w:val="center"/>
        </w:trPr>
        <w:tc>
          <w:tcPr>
            <w:tcW w:w="4815" w:type="dxa"/>
            <w:tcBorders>
              <w:top w:val="nil"/>
              <w:right w:val="nil"/>
            </w:tcBorders>
            <w:shd w:val="clear" w:color="auto" w:fill="auto"/>
            <w:vAlign w:val="center"/>
            <w:hideMark/>
          </w:tcPr>
          <w:p w14:paraId="2C4EB5B8"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Módulo sobre Ciberacoso 2022</w:t>
            </w:r>
          </w:p>
        </w:tc>
        <w:tc>
          <w:tcPr>
            <w:tcW w:w="1394" w:type="dxa"/>
            <w:tcBorders>
              <w:top w:val="nil"/>
              <w:left w:val="nil"/>
              <w:right w:val="nil"/>
            </w:tcBorders>
            <w:shd w:val="clear" w:color="auto" w:fill="auto"/>
            <w:vAlign w:val="center"/>
          </w:tcPr>
          <w:p w14:paraId="68DB494A"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Anual</w:t>
            </w:r>
          </w:p>
        </w:tc>
        <w:tc>
          <w:tcPr>
            <w:tcW w:w="1960" w:type="dxa"/>
            <w:tcBorders>
              <w:top w:val="nil"/>
              <w:left w:val="nil"/>
              <w:right w:val="nil"/>
            </w:tcBorders>
            <w:shd w:val="clear" w:color="auto" w:fill="auto"/>
            <w:vAlign w:val="center"/>
            <w:hideMark/>
          </w:tcPr>
          <w:p w14:paraId="3F977C8A"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 y regular</w:t>
            </w:r>
          </w:p>
        </w:tc>
        <w:tc>
          <w:tcPr>
            <w:tcW w:w="1241" w:type="dxa"/>
            <w:tcBorders>
              <w:top w:val="nil"/>
              <w:left w:val="nil"/>
            </w:tcBorders>
            <w:shd w:val="clear" w:color="auto" w:fill="auto"/>
            <w:vAlign w:val="center"/>
            <w:hideMark/>
          </w:tcPr>
          <w:p w14:paraId="3191A01D" w14:textId="127D675B" w:rsidR="0011429F" w:rsidRPr="000B70AF" w:rsidRDefault="000B70AF">
            <w:pPr>
              <w:spacing w:after="0" w:line="240" w:lineRule="auto"/>
              <w:jc w:val="center"/>
              <w:rPr>
                <w:rFonts w:ascii="Garamond" w:eastAsia="Times New Roman" w:hAnsi="Garamond" w:cs="Calibri"/>
                <w:smallCaps/>
                <w:color w:val="000000"/>
                <w:sz w:val="20"/>
                <w:szCs w:val="20"/>
                <w:lang w:eastAsia="es-MX"/>
              </w:rPr>
            </w:pPr>
            <w:proofErr w:type="spellStart"/>
            <w:r w:rsidRPr="000B70AF">
              <w:rPr>
                <w:rFonts w:ascii="Garamond" w:eastAsia="Times New Roman" w:hAnsi="Garamond" w:cs="Calibri"/>
                <w:smallCaps/>
                <w:color w:val="000000"/>
                <w:sz w:val="20"/>
                <w:szCs w:val="20"/>
                <w:lang w:eastAsia="es-MX"/>
              </w:rPr>
              <w:t>inegi</w:t>
            </w:r>
            <w:proofErr w:type="spellEnd"/>
          </w:p>
        </w:tc>
      </w:tr>
      <w:tr w:rsidR="0011429F" w:rsidRPr="00BE6E89" w14:paraId="34F69560" w14:textId="77777777" w:rsidTr="00867DB6">
        <w:trPr>
          <w:trHeight w:val="454"/>
          <w:jc w:val="center"/>
        </w:trPr>
        <w:tc>
          <w:tcPr>
            <w:tcW w:w="4815" w:type="dxa"/>
            <w:tcBorders>
              <w:right w:val="nil"/>
            </w:tcBorders>
            <w:shd w:val="clear" w:color="auto" w:fill="auto"/>
            <w:vAlign w:val="center"/>
            <w:hideMark/>
          </w:tcPr>
          <w:p w14:paraId="47B692AA"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Censo Nacional de Gobierno Federal 2022</w:t>
            </w:r>
          </w:p>
        </w:tc>
        <w:tc>
          <w:tcPr>
            <w:tcW w:w="1394" w:type="dxa"/>
            <w:tcBorders>
              <w:left w:val="nil"/>
              <w:right w:val="nil"/>
            </w:tcBorders>
            <w:shd w:val="clear" w:color="auto" w:fill="auto"/>
            <w:vAlign w:val="center"/>
          </w:tcPr>
          <w:p w14:paraId="301F95C3"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Anual</w:t>
            </w:r>
          </w:p>
        </w:tc>
        <w:tc>
          <w:tcPr>
            <w:tcW w:w="1960" w:type="dxa"/>
            <w:tcBorders>
              <w:left w:val="nil"/>
              <w:right w:val="nil"/>
            </w:tcBorders>
            <w:shd w:val="clear" w:color="auto" w:fill="auto"/>
            <w:vAlign w:val="center"/>
            <w:hideMark/>
          </w:tcPr>
          <w:p w14:paraId="46C1255E"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 y regular</w:t>
            </w:r>
          </w:p>
        </w:tc>
        <w:tc>
          <w:tcPr>
            <w:tcW w:w="1241" w:type="dxa"/>
            <w:tcBorders>
              <w:left w:val="nil"/>
            </w:tcBorders>
            <w:shd w:val="clear" w:color="auto" w:fill="auto"/>
            <w:vAlign w:val="center"/>
            <w:hideMark/>
          </w:tcPr>
          <w:p w14:paraId="7AC36495" w14:textId="3BC4CF99" w:rsidR="0011429F" w:rsidRPr="000B70AF" w:rsidRDefault="000B70AF">
            <w:pPr>
              <w:spacing w:after="0" w:line="240" w:lineRule="auto"/>
              <w:jc w:val="center"/>
              <w:rPr>
                <w:rFonts w:ascii="Garamond" w:eastAsia="Times New Roman" w:hAnsi="Garamond" w:cs="Calibri"/>
                <w:smallCaps/>
                <w:color w:val="000000"/>
                <w:sz w:val="20"/>
                <w:szCs w:val="20"/>
                <w:lang w:eastAsia="es-MX"/>
              </w:rPr>
            </w:pPr>
            <w:proofErr w:type="spellStart"/>
            <w:r>
              <w:rPr>
                <w:rFonts w:ascii="Garamond" w:eastAsia="Times New Roman" w:hAnsi="Garamond" w:cs="Calibri"/>
                <w:smallCaps/>
                <w:color w:val="000000"/>
                <w:sz w:val="20"/>
                <w:szCs w:val="20"/>
                <w:lang w:eastAsia="es-MX"/>
              </w:rPr>
              <w:t>inegi</w:t>
            </w:r>
            <w:proofErr w:type="spellEnd"/>
          </w:p>
        </w:tc>
      </w:tr>
      <w:tr w:rsidR="0011429F" w:rsidRPr="00BE6E89" w14:paraId="64BAC7AF" w14:textId="77777777" w:rsidTr="00867DB6">
        <w:trPr>
          <w:trHeight w:val="454"/>
          <w:jc w:val="center"/>
        </w:trPr>
        <w:tc>
          <w:tcPr>
            <w:tcW w:w="4815" w:type="dxa"/>
            <w:tcBorders>
              <w:right w:val="nil"/>
            </w:tcBorders>
            <w:shd w:val="clear" w:color="auto" w:fill="auto"/>
            <w:vAlign w:val="center"/>
          </w:tcPr>
          <w:p w14:paraId="72CD576B" w14:textId="3C802988"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Indicadores Laborales para los Municipios de México 2022</w:t>
            </w:r>
          </w:p>
        </w:tc>
        <w:tc>
          <w:tcPr>
            <w:tcW w:w="1394" w:type="dxa"/>
            <w:tcBorders>
              <w:left w:val="nil"/>
              <w:right w:val="nil"/>
            </w:tcBorders>
            <w:shd w:val="clear" w:color="auto" w:fill="auto"/>
            <w:vAlign w:val="center"/>
          </w:tcPr>
          <w:p w14:paraId="66B17DE4"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Anual</w:t>
            </w:r>
          </w:p>
        </w:tc>
        <w:tc>
          <w:tcPr>
            <w:tcW w:w="1960" w:type="dxa"/>
            <w:tcBorders>
              <w:left w:val="nil"/>
              <w:right w:val="nil"/>
            </w:tcBorders>
            <w:shd w:val="clear" w:color="auto" w:fill="auto"/>
            <w:vAlign w:val="center"/>
          </w:tcPr>
          <w:p w14:paraId="423776E2"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 y regular</w:t>
            </w:r>
          </w:p>
        </w:tc>
        <w:tc>
          <w:tcPr>
            <w:tcW w:w="1241" w:type="dxa"/>
            <w:tcBorders>
              <w:left w:val="nil"/>
            </w:tcBorders>
            <w:shd w:val="clear" w:color="auto" w:fill="auto"/>
            <w:vAlign w:val="center"/>
          </w:tcPr>
          <w:p w14:paraId="64D89AE2" w14:textId="7E561CB6" w:rsidR="0011429F" w:rsidRPr="000B70AF" w:rsidRDefault="000B70AF">
            <w:pPr>
              <w:spacing w:after="0" w:line="240" w:lineRule="auto"/>
              <w:jc w:val="center"/>
              <w:rPr>
                <w:rFonts w:ascii="Garamond" w:eastAsia="Times New Roman" w:hAnsi="Garamond" w:cs="Calibri"/>
                <w:smallCaps/>
                <w:color w:val="000000"/>
                <w:sz w:val="20"/>
                <w:szCs w:val="20"/>
                <w:lang w:eastAsia="es-MX"/>
              </w:rPr>
            </w:pPr>
            <w:proofErr w:type="spellStart"/>
            <w:r>
              <w:rPr>
                <w:rFonts w:ascii="Garamond" w:eastAsia="Times New Roman" w:hAnsi="Garamond" w:cs="Calibri"/>
                <w:smallCaps/>
                <w:color w:val="000000"/>
                <w:sz w:val="20"/>
                <w:szCs w:val="20"/>
                <w:lang w:eastAsia="es-MX"/>
              </w:rPr>
              <w:t>inegi</w:t>
            </w:r>
            <w:proofErr w:type="spellEnd"/>
          </w:p>
        </w:tc>
      </w:tr>
      <w:tr w:rsidR="0011429F" w:rsidRPr="00BE6E89" w14:paraId="681D0E81" w14:textId="77777777" w:rsidTr="00867DB6">
        <w:trPr>
          <w:trHeight w:val="454"/>
          <w:jc w:val="center"/>
        </w:trPr>
        <w:tc>
          <w:tcPr>
            <w:tcW w:w="4815" w:type="dxa"/>
            <w:tcBorders>
              <w:right w:val="nil"/>
            </w:tcBorders>
            <w:shd w:val="clear" w:color="auto" w:fill="auto"/>
            <w:vAlign w:val="center"/>
            <w:hideMark/>
          </w:tcPr>
          <w:p w14:paraId="6C8B80E1"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Encuesta Nacional sobre Disponibilidad y Uso de Tecnologías de la Información en los Hogares 2022</w:t>
            </w:r>
          </w:p>
        </w:tc>
        <w:tc>
          <w:tcPr>
            <w:tcW w:w="1394" w:type="dxa"/>
            <w:tcBorders>
              <w:left w:val="nil"/>
              <w:right w:val="nil"/>
            </w:tcBorders>
            <w:shd w:val="clear" w:color="auto" w:fill="auto"/>
            <w:vAlign w:val="center"/>
          </w:tcPr>
          <w:p w14:paraId="1D9235F5"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Anual</w:t>
            </w:r>
          </w:p>
        </w:tc>
        <w:tc>
          <w:tcPr>
            <w:tcW w:w="1960" w:type="dxa"/>
            <w:tcBorders>
              <w:left w:val="nil"/>
              <w:right w:val="nil"/>
            </w:tcBorders>
            <w:shd w:val="clear" w:color="auto" w:fill="auto"/>
            <w:vAlign w:val="center"/>
            <w:hideMark/>
          </w:tcPr>
          <w:p w14:paraId="0D2CC0B0"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 y regular</w:t>
            </w:r>
          </w:p>
        </w:tc>
        <w:tc>
          <w:tcPr>
            <w:tcW w:w="1241" w:type="dxa"/>
            <w:tcBorders>
              <w:left w:val="nil"/>
            </w:tcBorders>
            <w:shd w:val="clear" w:color="auto" w:fill="auto"/>
            <w:vAlign w:val="center"/>
            <w:hideMark/>
          </w:tcPr>
          <w:p w14:paraId="08E8DAC3"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Mixto</w:t>
            </w:r>
          </w:p>
        </w:tc>
      </w:tr>
      <w:tr w:rsidR="0011429F" w:rsidRPr="00BE6E89" w14:paraId="59476DA4" w14:textId="77777777" w:rsidTr="00867DB6">
        <w:trPr>
          <w:trHeight w:val="454"/>
          <w:jc w:val="center"/>
        </w:trPr>
        <w:tc>
          <w:tcPr>
            <w:tcW w:w="4815" w:type="dxa"/>
            <w:tcBorders>
              <w:right w:val="nil"/>
            </w:tcBorders>
            <w:shd w:val="clear" w:color="auto" w:fill="auto"/>
            <w:vAlign w:val="center"/>
          </w:tcPr>
          <w:p w14:paraId="3DC25663"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Censo Nacional de Seguridad Pública Federal 2023</w:t>
            </w:r>
          </w:p>
        </w:tc>
        <w:tc>
          <w:tcPr>
            <w:tcW w:w="1394" w:type="dxa"/>
            <w:tcBorders>
              <w:left w:val="nil"/>
              <w:right w:val="nil"/>
            </w:tcBorders>
            <w:shd w:val="clear" w:color="auto" w:fill="auto"/>
            <w:vAlign w:val="center"/>
          </w:tcPr>
          <w:p w14:paraId="2F4B0066"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Anual</w:t>
            </w:r>
          </w:p>
        </w:tc>
        <w:tc>
          <w:tcPr>
            <w:tcW w:w="1960" w:type="dxa"/>
            <w:tcBorders>
              <w:left w:val="nil"/>
              <w:right w:val="nil"/>
            </w:tcBorders>
            <w:shd w:val="clear" w:color="auto" w:fill="auto"/>
            <w:vAlign w:val="center"/>
          </w:tcPr>
          <w:p w14:paraId="6B5B22F7"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 y regular</w:t>
            </w:r>
          </w:p>
        </w:tc>
        <w:tc>
          <w:tcPr>
            <w:tcW w:w="1241" w:type="dxa"/>
            <w:tcBorders>
              <w:left w:val="nil"/>
            </w:tcBorders>
            <w:shd w:val="clear" w:color="auto" w:fill="auto"/>
            <w:vAlign w:val="center"/>
          </w:tcPr>
          <w:p w14:paraId="22595CBC" w14:textId="1D55F526" w:rsidR="0011429F" w:rsidRPr="000B70AF" w:rsidRDefault="000B70AF">
            <w:pPr>
              <w:spacing w:after="0" w:line="240" w:lineRule="auto"/>
              <w:jc w:val="center"/>
              <w:rPr>
                <w:rFonts w:ascii="Garamond" w:eastAsia="Times New Roman" w:hAnsi="Garamond" w:cs="Calibri"/>
                <w:smallCaps/>
                <w:color w:val="000000"/>
                <w:sz w:val="20"/>
                <w:szCs w:val="20"/>
                <w:lang w:eastAsia="es-MX"/>
              </w:rPr>
            </w:pPr>
            <w:proofErr w:type="spellStart"/>
            <w:r>
              <w:rPr>
                <w:rFonts w:ascii="Garamond" w:eastAsia="Times New Roman" w:hAnsi="Garamond" w:cs="Calibri"/>
                <w:smallCaps/>
                <w:color w:val="000000"/>
                <w:sz w:val="20"/>
                <w:szCs w:val="20"/>
                <w:lang w:eastAsia="es-MX"/>
              </w:rPr>
              <w:t>inegi</w:t>
            </w:r>
            <w:proofErr w:type="spellEnd"/>
          </w:p>
        </w:tc>
      </w:tr>
      <w:tr w:rsidR="0011429F" w:rsidRPr="00BE6E89" w14:paraId="47DB9465" w14:textId="77777777" w:rsidTr="00867DB6">
        <w:trPr>
          <w:trHeight w:val="454"/>
          <w:jc w:val="center"/>
        </w:trPr>
        <w:tc>
          <w:tcPr>
            <w:tcW w:w="4815" w:type="dxa"/>
            <w:tcBorders>
              <w:right w:val="nil"/>
            </w:tcBorders>
            <w:shd w:val="clear" w:color="auto" w:fill="auto"/>
            <w:vAlign w:val="center"/>
          </w:tcPr>
          <w:p w14:paraId="24460226" w14:textId="23AE24D8"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 xml:space="preserve">Encuesta Nacional de </w:t>
            </w:r>
            <w:r w:rsidR="002611E3">
              <w:rPr>
                <w:rFonts w:ascii="Garamond" w:eastAsia="Times New Roman" w:hAnsi="Garamond" w:cs="Calibri"/>
                <w:color w:val="000000"/>
                <w:sz w:val="20"/>
                <w:szCs w:val="20"/>
                <w:lang w:eastAsia="es-MX"/>
              </w:rPr>
              <w:t>A</w:t>
            </w:r>
            <w:r w:rsidRPr="00BE6E89">
              <w:rPr>
                <w:rFonts w:ascii="Garamond" w:eastAsia="Times New Roman" w:hAnsi="Garamond" w:cs="Calibri"/>
                <w:color w:val="000000"/>
                <w:sz w:val="20"/>
                <w:szCs w:val="20"/>
                <w:lang w:eastAsia="es-MX"/>
              </w:rPr>
              <w:t>dolescentes en el Sistema de Justicia Penal</w:t>
            </w:r>
          </w:p>
        </w:tc>
        <w:tc>
          <w:tcPr>
            <w:tcW w:w="1394" w:type="dxa"/>
            <w:tcBorders>
              <w:left w:val="nil"/>
              <w:right w:val="nil"/>
            </w:tcBorders>
            <w:shd w:val="clear" w:color="auto" w:fill="auto"/>
            <w:vAlign w:val="center"/>
          </w:tcPr>
          <w:p w14:paraId="56B4021E" w14:textId="7BB67B3E"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No determinad</w:t>
            </w:r>
            <w:r w:rsidR="00F16219" w:rsidRPr="00BE6E89">
              <w:rPr>
                <w:rFonts w:ascii="Garamond" w:eastAsia="Times New Roman" w:hAnsi="Garamond" w:cs="Calibri"/>
                <w:color w:val="000000"/>
                <w:sz w:val="20"/>
                <w:szCs w:val="20"/>
                <w:lang w:eastAsia="es-MX"/>
              </w:rPr>
              <w:t>a</w:t>
            </w:r>
          </w:p>
        </w:tc>
        <w:tc>
          <w:tcPr>
            <w:tcW w:w="1960" w:type="dxa"/>
            <w:tcBorders>
              <w:left w:val="nil"/>
              <w:right w:val="nil"/>
            </w:tcBorders>
            <w:shd w:val="clear" w:color="auto" w:fill="auto"/>
            <w:vAlign w:val="center"/>
          </w:tcPr>
          <w:p w14:paraId="52C21822"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w:t>
            </w:r>
          </w:p>
        </w:tc>
        <w:tc>
          <w:tcPr>
            <w:tcW w:w="1241" w:type="dxa"/>
            <w:tcBorders>
              <w:left w:val="nil"/>
            </w:tcBorders>
            <w:shd w:val="clear" w:color="auto" w:fill="auto"/>
            <w:vAlign w:val="center"/>
          </w:tcPr>
          <w:p w14:paraId="7B24A504" w14:textId="141A1E0D" w:rsidR="0011429F" w:rsidRPr="000B70AF" w:rsidRDefault="000B70AF">
            <w:pPr>
              <w:spacing w:after="0" w:line="240" w:lineRule="auto"/>
              <w:jc w:val="center"/>
              <w:rPr>
                <w:rFonts w:ascii="Garamond" w:eastAsia="Times New Roman" w:hAnsi="Garamond" w:cs="Calibri"/>
                <w:smallCaps/>
                <w:color w:val="000000"/>
                <w:sz w:val="20"/>
                <w:szCs w:val="20"/>
                <w:lang w:eastAsia="es-MX"/>
              </w:rPr>
            </w:pPr>
            <w:proofErr w:type="spellStart"/>
            <w:r>
              <w:rPr>
                <w:rFonts w:ascii="Garamond" w:eastAsia="Times New Roman" w:hAnsi="Garamond" w:cs="Calibri"/>
                <w:smallCaps/>
                <w:color w:val="000000"/>
                <w:sz w:val="20"/>
                <w:szCs w:val="20"/>
                <w:lang w:eastAsia="es-MX"/>
              </w:rPr>
              <w:t>inegi</w:t>
            </w:r>
            <w:proofErr w:type="spellEnd"/>
          </w:p>
        </w:tc>
      </w:tr>
      <w:tr w:rsidR="0011429F" w:rsidRPr="00BE6E89" w14:paraId="4323E9A3" w14:textId="77777777" w:rsidTr="00867DB6">
        <w:trPr>
          <w:trHeight w:val="454"/>
          <w:jc w:val="center"/>
        </w:trPr>
        <w:tc>
          <w:tcPr>
            <w:tcW w:w="4815" w:type="dxa"/>
            <w:tcBorders>
              <w:right w:val="nil"/>
            </w:tcBorders>
            <w:shd w:val="clear" w:color="auto" w:fill="auto"/>
            <w:vAlign w:val="center"/>
          </w:tcPr>
          <w:p w14:paraId="4DD8CFF7"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Encuesta Nacional sobre Discriminación 2022</w:t>
            </w:r>
          </w:p>
        </w:tc>
        <w:tc>
          <w:tcPr>
            <w:tcW w:w="1394" w:type="dxa"/>
            <w:tcBorders>
              <w:left w:val="nil"/>
              <w:right w:val="nil"/>
            </w:tcBorders>
            <w:shd w:val="clear" w:color="auto" w:fill="auto"/>
            <w:vAlign w:val="center"/>
          </w:tcPr>
          <w:p w14:paraId="05495523" w14:textId="5FEBD68E" w:rsidR="0011429F" w:rsidRPr="00BE6E89" w:rsidRDefault="0011429F" w:rsidP="00311DE8">
            <w:pPr>
              <w:pStyle w:val="Prrafodelista"/>
              <w:spacing w:after="0" w:line="240" w:lineRule="auto"/>
              <w:ind w:left="-14" w:firstLine="14"/>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No determinad</w:t>
            </w:r>
            <w:r w:rsidR="00F16219" w:rsidRPr="00BE6E89">
              <w:rPr>
                <w:rFonts w:ascii="Garamond" w:eastAsia="Times New Roman" w:hAnsi="Garamond" w:cs="Calibri"/>
                <w:color w:val="000000"/>
                <w:sz w:val="20"/>
                <w:szCs w:val="20"/>
                <w:lang w:eastAsia="es-MX"/>
              </w:rPr>
              <w:t>a</w:t>
            </w:r>
          </w:p>
        </w:tc>
        <w:tc>
          <w:tcPr>
            <w:tcW w:w="1960" w:type="dxa"/>
            <w:tcBorders>
              <w:left w:val="nil"/>
              <w:right w:val="nil"/>
            </w:tcBorders>
            <w:shd w:val="clear" w:color="auto" w:fill="auto"/>
            <w:vAlign w:val="center"/>
          </w:tcPr>
          <w:p w14:paraId="6953C806"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w:t>
            </w:r>
          </w:p>
        </w:tc>
        <w:tc>
          <w:tcPr>
            <w:tcW w:w="1241" w:type="dxa"/>
            <w:tcBorders>
              <w:left w:val="nil"/>
            </w:tcBorders>
            <w:shd w:val="clear" w:color="auto" w:fill="auto"/>
            <w:vAlign w:val="center"/>
          </w:tcPr>
          <w:p w14:paraId="4E2D83BE"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Mixto</w:t>
            </w:r>
          </w:p>
        </w:tc>
      </w:tr>
      <w:tr w:rsidR="0011429F" w:rsidRPr="00BE6E89" w14:paraId="12EB2E5E" w14:textId="77777777" w:rsidTr="00867DB6">
        <w:trPr>
          <w:trHeight w:val="454"/>
          <w:jc w:val="center"/>
        </w:trPr>
        <w:tc>
          <w:tcPr>
            <w:tcW w:w="4815" w:type="dxa"/>
            <w:tcBorders>
              <w:right w:val="nil"/>
            </w:tcBorders>
            <w:shd w:val="clear" w:color="auto" w:fill="auto"/>
            <w:vAlign w:val="center"/>
          </w:tcPr>
          <w:p w14:paraId="53C6F558" w14:textId="3CF7CFE0"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 xml:space="preserve">Encuesta Nacional de </w:t>
            </w:r>
            <w:r w:rsidR="002611E3">
              <w:rPr>
                <w:rFonts w:ascii="Garamond" w:eastAsia="Times New Roman" w:hAnsi="Garamond" w:cs="Calibri"/>
                <w:color w:val="000000"/>
                <w:sz w:val="20"/>
                <w:szCs w:val="20"/>
                <w:lang w:eastAsia="es-MX"/>
              </w:rPr>
              <w:t>T</w:t>
            </w:r>
            <w:r w:rsidRPr="00BE6E89">
              <w:rPr>
                <w:rFonts w:ascii="Garamond" w:eastAsia="Times New Roman" w:hAnsi="Garamond" w:cs="Calibri"/>
                <w:color w:val="000000"/>
                <w:sz w:val="20"/>
                <w:szCs w:val="20"/>
                <w:lang w:eastAsia="es-MX"/>
              </w:rPr>
              <w:t>rabajo Infantil 2022</w:t>
            </w:r>
          </w:p>
        </w:tc>
        <w:tc>
          <w:tcPr>
            <w:tcW w:w="1394" w:type="dxa"/>
            <w:tcBorders>
              <w:left w:val="nil"/>
              <w:right w:val="nil"/>
            </w:tcBorders>
            <w:shd w:val="clear" w:color="auto" w:fill="auto"/>
            <w:vAlign w:val="center"/>
          </w:tcPr>
          <w:p w14:paraId="47D7844F" w14:textId="573A1D19" w:rsidR="0011429F" w:rsidRPr="00BE6E89" w:rsidRDefault="001309A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No determinada</w:t>
            </w:r>
          </w:p>
        </w:tc>
        <w:tc>
          <w:tcPr>
            <w:tcW w:w="1960" w:type="dxa"/>
            <w:tcBorders>
              <w:left w:val="nil"/>
              <w:right w:val="nil"/>
            </w:tcBorders>
            <w:shd w:val="clear" w:color="auto" w:fill="auto"/>
            <w:vAlign w:val="center"/>
          </w:tcPr>
          <w:p w14:paraId="31FBA105"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w:t>
            </w:r>
          </w:p>
        </w:tc>
        <w:tc>
          <w:tcPr>
            <w:tcW w:w="1241" w:type="dxa"/>
            <w:tcBorders>
              <w:left w:val="nil"/>
            </w:tcBorders>
            <w:shd w:val="clear" w:color="auto" w:fill="auto"/>
            <w:vAlign w:val="center"/>
          </w:tcPr>
          <w:p w14:paraId="1D5CF9E3"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Mixto</w:t>
            </w:r>
          </w:p>
        </w:tc>
      </w:tr>
      <w:tr w:rsidR="0011429F" w:rsidRPr="00BE6E89" w14:paraId="210D7EB8" w14:textId="77777777" w:rsidTr="00867DB6">
        <w:trPr>
          <w:trHeight w:val="454"/>
          <w:jc w:val="center"/>
        </w:trPr>
        <w:tc>
          <w:tcPr>
            <w:tcW w:w="4815" w:type="dxa"/>
            <w:tcBorders>
              <w:right w:val="nil"/>
            </w:tcBorders>
            <w:shd w:val="clear" w:color="auto" w:fill="auto"/>
            <w:vAlign w:val="center"/>
          </w:tcPr>
          <w:p w14:paraId="635E88C3"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Encuesta Nacional para el Sistema de Cuidados 2022</w:t>
            </w:r>
          </w:p>
        </w:tc>
        <w:tc>
          <w:tcPr>
            <w:tcW w:w="1394" w:type="dxa"/>
            <w:tcBorders>
              <w:left w:val="nil"/>
              <w:right w:val="nil"/>
            </w:tcBorders>
            <w:shd w:val="clear" w:color="auto" w:fill="auto"/>
            <w:vAlign w:val="center"/>
          </w:tcPr>
          <w:p w14:paraId="052E582A" w14:textId="77777777" w:rsidR="0011429F" w:rsidRPr="00BE6E89" w:rsidRDefault="0011429F"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No determinada</w:t>
            </w:r>
          </w:p>
        </w:tc>
        <w:tc>
          <w:tcPr>
            <w:tcW w:w="1960" w:type="dxa"/>
            <w:tcBorders>
              <w:left w:val="nil"/>
              <w:right w:val="nil"/>
            </w:tcBorders>
            <w:shd w:val="clear" w:color="auto" w:fill="auto"/>
            <w:vAlign w:val="center"/>
          </w:tcPr>
          <w:p w14:paraId="5DF8F276"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w:t>
            </w:r>
          </w:p>
        </w:tc>
        <w:tc>
          <w:tcPr>
            <w:tcW w:w="1241" w:type="dxa"/>
            <w:tcBorders>
              <w:left w:val="nil"/>
            </w:tcBorders>
            <w:shd w:val="clear" w:color="auto" w:fill="auto"/>
            <w:vAlign w:val="center"/>
          </w:tcPr>
          <w:p w14:paraId="327A8357"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Mixto</w:t>
            </w:r>
          </w:p>
        </w:tc>
      </w:tr>
      <w:tr w:rsidR="0011429F" w:rsidRPr="00BE6E89" w14:paraId="36797D30" w14:textId="77777777" w:rsidTr="00867DB6">
        <w:trPr>
          <w:trHeight w:val="454"/>
          <w:jc w:val="center"/>
        </w:trPr>
        <w:tc>
          <w:tcPr>
            <w:tcW w:w="4815" w:type="dxa"/>
            <w:tcBorders>
              <w:right w:val="nil"/>
            </w:tcBorders>
            <w:shd w:val="clear" w:color="auto" w:fill="auto"/>
            <w:vAlign w:val="center"/>
          </w:tcPr>
          <w:p w14:paraId="1DC311B7" w14:textId="77777777" w:rsidR="0011429F" w:rsidRPr="00BE6E89" w:rsidRDefault="0011429F">
            <w:pPr>
              <w:pStyle w:val="Prrafodelista"/>
              <w:numPr>
                <w:ilvl w:val="0"/>
                <w:numId w:val="36"/>
              </w:numPr>
              <w:spacing w:after="0" w:line="240" w:lineRule="auto"/>
              <w:ind w:left="351" w:hanging="351"/>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Encuesta Nacional sobre Salud y Envejecimiento en México</w:t>
            </w:r>
          </w:p>
        </w:tc>
        <w:tc>
          <w:tcPr>
            <w:tcW w:w="1394" w:type="dxa"/>
            <w:tcBorders>
              <w:left w:val="nil"/>
              <w:right w:val="nil"/>
            </w:tcBorders>
            <w:shd w:val="clear" w:color="auto" w:fill="auto"/>
            <w:vAlign w:val="center"/>
          </w:tcPr>
          <w:p w14:paraId="030D8B63" w14:textId="76AFE1D2" w:rsidR="0011429F" w:rsidRPr="00BE6E89" w:rsidRDefault="00F16219" w:rsidP="00311DE8">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Trianual</w:t>
            </w:r>
          </w:p>
        </w:tc>
        <w:tc>
          <w:tcPr>
            <w:tcW w:w="1960" w:type="dxa"/>
            <w:tcBorders>
              <w:left w:val="nil"/>
              <w:right w:val="nil"/>
            </w:tcBorders>
            <w:shd w:val="clear" w:color="auto" w:fill="auto"/>
            <w:vAlign w:val="center"/>
          </w:tcPr>
          <w:p w14:paraId="39A917CD"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Consolidado</w:t>
            </w:r>
          </w:p>
        </w:tc>
        <w:tc>
          <w:tcPr>
            <w:tcW w:w="1241" w:type="dxa"/>
            <w:tcBorders>
              <w:left w:val="nil"/>
            </w:tcBorders>
            <w:shd w:val="clear" w:color="auto" w:fill="auto"/>
            <w:vAlign w:val="center"/>
          </w:tcPr>
          <w:p w14:paraId="2702EE37" w14:textId="77777777" w:rsidR="0011429F" w:rsidRPr="00BE6E89" w:rsidRDefault="0011429F">
            <w:pPr>
              <w:spacing w:after="0" w:line="240" w:lineRule="auto"/>
              <w:jc w:val="center"/>
              <w:rPr>
                <w:rFonts w:ascii="Garamond" w:eastAsia="Times New Roman" w:hAnsi="Garamond" w:cs="Calibri"/>
                <w:color w:val="000000"/>
                <w:sz w:val="20"/>
                <w:szCs w:val="20"/>
                <w:lang w:eastAsia="es-MX"/>
              </w:rPr>
            </w:pPr>
            <w:r w:rsidRPr="00BE6E89">
              <w:rPr>
                <w:rFonts w:ascii="Garamond" w:eastAsia="Times New Roman" w:hAnsi="Garamond" w:cs="Calibri"/>
                <w:color w:val="000000"/>
                <w:sz w:val="20"/>
                <w:szCs w:val="20"/>
                <w:lang w:eastAsia="es-MX"/>
              </w:rPr>
              <w:t>Mixto</w:t>
            </w:r>
          </w:p>
        </w:tc>
      </w:tr>
    </w:tbl>
    <w:p w14:paraId="524331A7" w14:textId="77034E5D" w:rsidR="00F334D9" w:rsidRPr="0061012B" w:rsidRDefault="006F28BF" w:rsidP="0063406C">
      <w:pPr>
        <w:pStyle w:val="Ttulo2"/>
        <w:spacing w:before="240"/>
        <w:rPr>
          <w:rFonts w:ascii="Garamond" w:eastAsiaTheme="minorHAnsi" w:hAnsi="Garamond" w:cstheme="minorBidi"/>
          <w:bCs/>
          <w:color w:val="0079BF"/>
          <w:sz w:val="22"/>
          <w:szCs w:val="22"/>
        </w:rPr>
      </w:pPr>
      <w:bookmarkStart w:id="4" w:name="_Toc164684569"/>
      <w:r w:rsidRPr="0061012B">
        <w:rPr>
          <w:rFonts w:ascii="Garamond" w:eastAsiaTheme="minorHAnsi" w:hAnsi="Garamond" w:cstheme="minorBidi"/>
          <w:bCs/>
          <w:color w:val="0079BF"/>
          <w:sz w:val="22"/>
          <w:szCs w:val="22"/>
        </w:rPr>
        <w:lastRenderedPageBreak/>
        <w:t xml:space="preserve">II.3. </w:t>
      </w:r>
      <w:r w:rsidR="002C1EE4" w:rsidRPr="0061012B">
        <w:rPr>
          <w:rFonts w:ascii="Garamond" w:eastAsiaTheme="minorHAnsi" w:hAnsi="Garamond" w:cstheme="minorBidi"/>
          <w:bCs/>
          <w:color w:val="0079BF"/>
          <w:sz w:val="22"/>
          <w:szCs w:val="22"/>
        </w:rPr>
        <w:t>ACCESIBILIDAD</w:t>
      </w:r>
      <w:bookmarkEnd w:id="4"/>
    </w:p>
    <w:p w14:paraId="32337512" w14:textId="6B678ABE" w:rsidR="00811B3C" w:rsidRPr="0061012B" w:rsidRDefault="0069326E" w:rsidP="0063406C">
      <w:pPr>
        <w:spacing w:before="120" w:after="60"/>
        <w:jc w:val="both"/>
        <w:rPr>
          <w:rFonts w:ascii="Garamond" w:hAnsi="Garamond"/>
        </w:rPr>
      </w:pPr>
      <w:r w:rsidRPr="0061012B">
        <w:rPr>
          <w:rFonts w:ascii="Garamond" w:hAnsi="Garamond"/>
        </w:rPr>
        <w:t xml:space="preserve">Una </w:t>
      </w:r>
      <w:r w:rsidR="00E84485" w:rsidRPr="0061012B">
        <w:rPr>
          <w:rFonts w:ascii="Garamond" w:hAnsi="Garamond"/>
        </w:rPr>
        <w:t>de las directrices del principio de accesibilidad es facilitar el uso e interpretación de la información a través de la publicación de los metadatos correspondientes</w:t>
      </w:r>
      <w:r w:rsidR="0062085C" w:rsidRPr="0061012B">
        <w:rPr>
          <w:rFonts w:ascii="Garamond" w:hAnsi="Garamond"/>
        </w:rPr>
        <w:t>.</w:t>
      </w:r>
      <w:r w:rsidRPr="0061012B">
        <w:rPr>
          <w:rFonts w:ascii="Garamond" w:hAnsi="Garamond"/>
        </w:rPr>
        <w:t xml:space="preserve"> </w:t>
      </w:r>
      <w:r w:rsidR="000E0008" w:rsidRPr="0061012B">
        <w:rPr>
          <w:rFonts w:ascii="Garamond" w:hAnsi="Garamond"/>
        </w:rPr>
        <w:t xml:space="preserve">Durante 2023 se </w:t>
      </w:r>
      <w:r w:rsidR="00992825" w:rsidRPr="0061012B">
        <w:rPr>
          <w:rFonts w:ascii="Garamond" w:hAnsi="Garamond"/>
        </w:rPr>
        <w:t xml:space="preserve">realizaron </w:t>
      </w:r>
      <w:r w:rsidR="000E0008" w:rsidRPr="0061012B">
        <w:rPr>
          <w:rFonts w:ascii="Garamond" w:hAnsi="Garamond"/>
        </w:rPr>
        <w:t xml:space="preserve">379 </w:t>
      </w:r>
      <w:r w:rsidR="00992825" w:rsidRPr="0061012B">
        <w:rPr>
          <w:rFonts w:ascii="Garamond" w:hAnsi="Garamond"/>
        </w:rPr>
        <w:t>publicaciones</w:t>
      </w:r>
      <w:r w:rsidR="00CC20D9" w:rsidRPr="0061012B">
        <w:rPr>
          <w:rFonts w:ascii="Garamond" w:hAnsi="Garamond"/>
        </w:rPr>
        <w:t>, de l</w:t>
      </w:r>
      <w:r w:rsidR="00992825" w:rsidRPr="0061012B">
        <w:rPr>
          <w:rFonts w:ascii="Garamond" w:hAnsi="Garamond"/>
        </w:rPr>
        <w:t>a</w:t>
      </w:r>
      <w:r w:rsidR="00CC20D9" w:rsidRPr="0061012B">
        <w:rPr>
          <w:rFonts w:ascii="Garamond" w:hAnsi="Garamond"/>
        </w:rPr>
        <w:t>s cuales el 9</w:t>
      </w:r>
      <w:r w:rsidR="0081259F">
        <w:rPr>
          <w:rFonts w:ascii="Garamond" w:hAnsi="Garamond"/>
        </w:rPr>
        <w:t>3</w:t>
      </w:r>
      <w:r w:rsidR="00CC20D9" w:rsidRPr="0061012B">
        <w:rPr>
          <w:rFonts w:ascii="Garamond" w:hAnsi="Garamond"/>
        </w:rPr>
        <w:t>% estuvo acompañad</w:t>
      </w:r>
      <w:r w:rsidR="00992825" w:rsidRPr="0061012B">
        <w:rPr>
          <w:rFonts w:ascii="Garamond" w:hAnsi="Garamond"/>
        </w:rPr>
        <w:t>a</w:t>
      </w:r>
      <w:r w:rsidR="00CC20D9" w:rsidRPr="0061012B">
        <w:rPr>
          <w:rFonts w:ascii="Garamond" w:hAnsi="Garamond"/>
        </w:rPr>
        <w:t xml:space="preserve"> </w:t>
      </w:r>
      <w:r w:rsidR="007D6342" w:rsidRPr="0061012B">
        <w:rPr>
          <w:rFonts w:ascii="Garamond" w:hAnsi="Garamond"/>
        </w:rPr>
        <w:t xml:space="preserve">de </w:t>
      </w:r>
      <w:r w:rsidR="00442A83" w:rsidRPr="0061012B">
        <w:rPr>
          <w:rFonts w:ascii="Garamond" w:hAnsi="Garamond"/>
        </w:rPr>
        <w:t xml:space="preserve">metadatos. </w:t>
      </w:r>
      <w:r w:rsidR="001E54A1" w:rsidRPr="0061012B">
        <w:rPr>
          <w:rFonts w:ascii="Garamond" w:hAnsi="Garamond"/>
        </w:rPr>
        <w:t>L</w:t>
      </w:r>
      <w:r w:rsidR="00CE7CE5" w:rsidRPr="0061012B">
        <w:rPr>
          <w:rFonts w:ascii="Garamond" w:hAnsi="Garamond"/>
        </w:rPr>
        <w:t xml:space="preserve">a mayoría de los procesos de producción sigue </w:t>
      </w:r>
      <w:r w:rsidR="0055646D" w:rsidRPr="0061012B">
        <w:rPr>
          <w:rFonts w:ascii="Garamond" w:hAnsi="Garamond"/>
        </w:rPr>
        <w:t>los estándares</w:t>
      </w:r>
      <w:r w:rsidR="00CE7CE5" w:rsidRPr="0061012B">
        <w:rPr>
          <w:rFonts w:ascii="Garamond" w:hAnsi="Garamond"/>
        </w:rPr>
        <w:t xml:space="preserve"> </w:t>
      </w:r>
      <w:proofErr w:type="spellStart"/>
      <w:r w:rsidR="001E54A1" w:rsidRPr="0061012B">
        <w:rPr>
          <w:rFonts w:ascii="Garamond" w:hAnsi="Garamond"/>
          <w:smallCaps/>
        </w:rPr>
        <w:t>ddi</w:t>
      </w:r>
      <w:proofErr w:type="spellEnd"/>
      <w:r w:rsidR="0055646D" w:rsidRPr="0061012B">
        <w:rPr>
          <w:rFonts w:ascii="Garamond" w:hAnsi="Garamond"/>
        </w:rPr>
        <w:t xml:space="preserve"> </w:t>
      </w:r>
      <w:r w:rsidR="007C21B0">
        <w:rPr>
          <w:rFonts w:ascii="Garamond" w:hAnsi="Garamond"/>
        </w:rPr>
        <w:t>(</w:t>
      </w:r>
      <w:r w:rsidR="00900278">
        <w:rPr>
          <w:rFonts w:ascii="Garamond" w:hAnsi="Garamond"/>
        </w:rPr>
        <w:t xml:space="preserve">por sus siglas en inglés) </w:t>
      </w:r>
      <w:r w:rsidR="001E54A1" w:rsidRPr="0061012B">
        <w:rPr>
          <w:rFonts w:ascii="Garamond" w:hAnsi="Garamond"/>
        </w:rPr>
        <w:t>o de</w:t>
      </w:r>
      <w:r w:rsidR="0055646D" w:rsidRPr="0061012B">
        <w:rPr>
          <w:rFonts w:ascii="Garamond" w:hAnsi="Garamond"/>
        </w:rPr>
        <w:t xml:space="preserve"> datos abiertos,</w:t>
      </w:r>
      <w:r w:rsidR="00EB6E6B" w:rsidRPr="0061012B">
        <w:rPr>
          <w:rFonts w:ascii="Garamond" w:hAnsi="Garamond"/>
        </w:rPr>
        <w:t xml:space="preserve"> </w:t>
      </w:r>
      <w:r w:rsidR="000462B5" w:rsidRPr="0061012B">
        <w:rPr>
          <w:rFonts w:ascii="Garamond" w:hAnsi="Garamond"/>
        </w:rPr>
        <w:t>mientras que</w:t>
      </w:r>
      <w:r w:rsidR="0055646D" w:rsidRPr="0061012B">
        <w:rPr>
          <w:rFonts w:ascii="Garamond" w:hAnsi="Garamond"/>
        </w:rPr>
        <w:t xml:space="preserve"> la información </w:t>
      </w:r>
      <w:r w:rsidR="00B8399C" w:rsidRPr="0061012B">
        <w:rPr>
          <w:rFonts w:ascii="Garamond" w:hAnsi="Garamond"/>
        </w:rPr>
        <w:t xml:space="preserve">cartográfica cumple con el </w:t>
      </w:r>
      <w:r w:rsidR="00B06681" w:rsidRPr="0061012B">
        <w:rPr>
          <w:rFonts w:ascii="Garamond" w:hAnsi="Garamond"/>
        </w:rPr>
        <w:t>estándar de metadatos geográficos</w:t>
      </w:r>
      <w:r w:rsidR="00DE030E" w:rsidRPr="0061012B">
        <w:rPr>
          <w:rFonts w:ascii="Garamond" w:hAnsi="Garamond"/>
        </w:rPr>
        <w:t xml:space="preserve"> (ver </w:t>
      </w:r>
      <w:r w:rsidR="00F039CB" w:rsidRPr="0061012B">
        <w:rPr>
          <w:rFonts w:ascii="Garamond" w:hAnsi="Garamond"/>
        </w:rPr>
        <w:t>Figura</w:t>
      </w:r>
      <w:r w:rsidR="00DE030E" w:rsidRPr="0061012B">
        <w:rPr>
          <w:rFonts w:ascii="Garamond" w:hAnsi="Garamond"/>
        </w:rPr>
        <w:t xml:space="preserve"> </w:t>
      </w:r>
      <w:r w:rsidR="00C63002">
        <w:rPr>
          <w:rFonts w:ascii="Garamond" w:hAnsi="Garamond"/>
        </w:rPr>
        <w:t>6</w:t>
      </w:r>
      <w:r w:rsidR="00DE030E" w:rsidRPr="0061012B">
        <w:rPr>
          <w:rFonts w:ascii="Garamond" w:hAnsi="Garamond"/>
        </w:rPr>
        <w:t>)</w:t>
      </w:r>
      <w:r w:rsidR="00F039CB" w:rsidRPr="0061012B">
        <w:rPr>
          <w:rFonts w:ascii="Garamond" w:hAnsi="Garamond"/>
        </w:rPr>
        <w:t>.</w:t>
      </w:r>
    </w:p>
    <w:p w14:paraId="225208B7" w14:textId="29579AF2" w:rsidR="00E84485" w:rsidRPr="0061012B" w:rsidRDefault="00F039CB" w:rsidP="003F486F">
      <w:pPr>
        <w:spacing w:before="240" w:after="0" w:line="240" w:lineRule="auto"/>
        <w:ind w:left="-284"/>
        <w:jc w:val="center"/>
        <w:rPr>
          <w:rFonts w:ascii="Garamond" w:hAnsi="Garamond" w:cstheme="majorHAnsi"/>
          <w:b/>
        </w:rPr>
      </w:pPr>
      <w:r w:rsidRPr="0061012B">
        <w:rPr>
          <w:rFonts w:ascii="Garamond" w:hAnsi="Garamond" w:cstheme="majorHAnsi"/>
          <w:b/>
        </w:rPr>
        <w:t xml:space="preserve">Figura </w:t>
      </w:r>
      <w:r w:rsidR="00C63002">
        <w:rPr>
          <w:rFonts w:ascii="Garamond" w:hAnsi="Garamond" w:cstheme="majorHAnsi"/>
          <w:b/>
        </w:rPr>
        <w:t>6</w:t>
      </w:r>
      <w:r w:rsidR="00C601B5" w:rsidRPr="0061012B">
        <w:rPr>
          <w:rFonts w:ascii="Garamond" w:hAnsi="Garamond" w:cstheme="majorHAnsi"/>
          <w:b/>
        </w:rPr>
        <w:t xml:space="preserve">. </w:t>
      </w:r>
      <w:r w:rsidR="00E84485" w:rsidRPr="0061012B">
        <w:rPr>
          <w:rFonts w:ascii="Garamond" w:hAnsi="Garamond" w:cstheme="majorHAnsi"/>
          <w:b/>
        </w:rPr>
        <w:t xml:space="preserve">Porcentaje de </w:t>
      </w:r>
      <w:r w:rsidR="00246796" w:rsidRPr="0061012B">
        <w:rPr>
          <w:rFonts w:ascii="Garamond" w:hAnsi="Garamond" w:cstheme="majorHAnsi"/>
          <w:b/>
        </w:rPr>
        <w:t>proceso</w:t>
      </w:r>
      <w:r w:rsidR="00E84485" w:rsidRPr="0061012B">
        <w:rPr>
          <w:rFonts w:ascii="Garamond" w:hAnsi="Garamond" w:cstheme="majorHAnsi"/>
          <w:b/>
        </w:rPr>
        <w:t>s que publicaron metadatos documentados con base en un estándar internacional</w:t>
      </w:r>
      <w:r w:rsidR="003311D2">
        <w:rPr>
          <w:rStyle w:val="Refdenotaalpie"/>
          <w:rFonts w:ascii="Garamond" w:hAnsi="Garamond" w:cstheme="majorHAnsi"/>
          <w:b/>
        </w:rPr>
        <w:footnoteReference w:id="11"/>
      </w:r>
    </w:p>
    <w:p w14:paraId="69753F3D" w14:textId="71D589D6" w:rsidR="00E84485" w:rsidRPr="00395213" w:rsidRDefault="00335B26" w:rsidP="00244182">
      <w:pPr>
        <w:spacing w:line="240" w:lineRule="auto"/>
        <w:ind w:left="-284"/>
        <w:jc w:val="center"/>
        <w:rPr>
          <w:rFonts w:ascii="Garamond" w:hAnsi="Garamond" w:cstheme="majorBidi"/>
          <w:b/>
          <w:sz w:val="21"/>
          <w:szCs w:val="21"/>
        </w:rPr>
      </w:pPr>
      <w:r>
        <w:rPr>
          <w:noProof/>
        </w:rPr>
        <w:drawing>
          <wp:inline distT="0" distB="0" distL="0" distR="0" wp14:anchorId="2815D48C" wp14:editId="0C9A9E79">
            <wp:extent cx="6604000" cy="3136900"/>
            <wp:effectExtent l="0" t="0" r="0" b="0"/>
            <wp:docPr id="1682514551" name="Gráfico 1">
              <a:extLst xmlns:a="http://schemas.openxmlformats.org/drawingml/2006/main">
                <a:ext uri="{FF2B5EF4-FFF2-40B4-BE49-F238E27FC236}">
                  <a16:creationId xmlns:a16="http://schemas.microsoft.com/office/drawing/2014/main" id="{B39A735B-DD70-8E7E-42E4-D89195DFC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F5724D" w14:textId="20550752" w:rsidR="007D38A1" w:rsidRPr="0061012B" w:rsidRDefault="007D38A1" w:rsidP="007D38A1">
      <w:pPr>
        <w:spacing w:before="240"/>
        <w:jc w:val="both"/>
        <w:rPr>
          <w:rFonts w:ascii="Garamond" w:hAnsi="Garamond"/>
        </w:rPr>
      </w:pPr>
      <w:r w:rsidRPr="0061012B">
        <w:rPr>
          <w:rFonts w:ascii="Garamond" w:hAnsi="Garamond"/>
        </w:rPr>
        <w:t>Durante 2023 se trabajó en consolidar las siguientes Normas Técnicas para homologar la documentación de metadatos</w:t>
      </w:r>
      <w:r w:rsidR="00B96F08" w:rsidRPr="0061012B">
        <w:rPr>
          <w:rFonts w:ascii="Garamond" w:hAnsi="Garamond"/>
        </w:rPr>
        <w:t xml:space="preserve">, las cuales están en proceso de aprobación </w:t>
      </w:r>
      <w:r w:rsidR="00B90415" w:rsidRPr="0061012B">
        <w:rPr>
          <w:rFonts w:ascii="Garamond" w:hAnsi="Garamond"/>
        </w:rPr>
        <w:t xml:space="preserve">de acuerdo con las </w:t>
      </w:r>
      <w:r w:rsidR="00D770F9" w:rsidRPr="0061012B">
        <w:rPr>
          <w:rFonts w:ascii="Garamond" w:hAnsi="Garamond"/>
          <w:i/>
          <w:iCs/>
        </w:rPr>
        <w:t xml:space="preserve">Reglas para establecer la Normativa del </w:t>
      </w:r>
      <w:r w:rsidR="0069326E" w:rsidRPr="0061012B">
        <w:rPr>
          <w:rFonts w:ascii="Garamond" w:hAnsi="Garamond"/>
          <w:i/>
          <w:iCs/>
        </w:rPr>
        <w:t>SNIEG</w:t>
      </w:r>
      <w:r w:rsidRPr="0061012B">
        <w:rPr>
          <w:rFonts w:ascii="Garamond" w:hAnsi="Garamond"/>
        </w:rPr>
        <w:t>:</w:t>
      </w:r>
    </w:p>
    <w:p w14:paraId="7ED8B6CF" w14:textId="06274397" w:rsidR="003B5816" w:rsidRPr="0061012B" w:rsidRDefault="00491110" w:rsidP="006C5052">
      <w:pPr>
        <w:pStyle w:val="Prrafodelista"/>
        <w:numPr>
          <w:ilvl w:val="0"/>
          <w:numId w:val="35"/>
        </w:numPr>
        <w:jc w:val="both"/>
        <w:rPr>
          <w:rFonts w:ascii="Garamond" w:hAnsi="Garamond"/>
        </w:rPr>
      </w:pPr>
      <w:r w:rsidRPr="0061012B">
        <w:rPr>
          <w:rFonts w:ascii="Garamond" w:hAnsi="Garamond"/>
          <w:i/>
          <w:iCs/>
        </w:rPr>
        <w:t>Norma Técnica para la elaboración de Metadatos de los Procesos de Producción de Información Estadística y Geográfica</w:t>
      </w:r>
      <w:r w:rsidR="007D38A1" w:rsidRPr="0061012B">
        <w:rPr>
          <w:rFonts w:ascii="Garamond" w:hAnsi="Garamond"/>
        </w:rPr>
        <w:t xml:space="preserve">, </w:t>
      </w:r>
      <w:r w:rsidR="00AA2115" w:rsidRPr="0061012B">
        <w:rPr>
          <w:rFonts w:ascii="Garamond" w:hAnsi="Garamond"/>
        </w:rPr>
        <w:t>que enfatiza la documentación de a</w:t>
      </w:r>
      <w:r w:rsidR="003B5816" w:rsidRPr="0061012B">
        <w:rPr>
          <w:rFonts w:ascii="Garamond" w:hAnsi="Garamond"/>
        </w:rPr>
        <w:t>spectos conceptuales, metodológicos y de calidad asociados a los Procesos de Producción de información estadística y geográfica</w:t>
      </w:r>
      <w:r w:rsidR="004911B9">
        <w:rPr>
          <w:rFonts w:ascii="Garamond" w:hAnsi="Garamond"/>
        </w:rPr>
        <w:t xml:space="preserve">. Esta </w:t>
      </w:r>
      <w:r w:rsidR="00CE5973">
        <w:rPr>
          <w:rFonts w:ascii="Garamond" w:hAnsi="Garamond"/>
        </w:rPr>
        <w:t xml:space="preserve">norma </w:t>
      </w:r>
      <w:r w:rsidR="00193B32">
        <w:rPr>
          <w:rFonts w:ascii="Garamond" w:hAnsi="Garamond"/>
        </w:rPr>
        <w:t xml:space="preserve">se encuentra </w:t>
      </w:r>
      <w:r w:rsidR="00DB288B">
        <w:rPr>
          <w:rFonts w:ascii="Garamond" w:hAnsi="Garamond"/>
        </w:rPr>
        <w:t xml:space="preserve">en la etapa de revisión jurídica previa </w:t>
      </w:r>
      <w:r w:rsidR="006C5052">
        <w:rPr>
          <w:rFonts w:ascii="Garamond" w:hAnsi="Garamond"/>
        </w:rPr>
        <w:t>a la revisión de</w:t>
      </w:r>
      <w:r w:rsidR="00DB288B">
        <w:rPr>
          <w:rFonts w:ascii="Garamond" w:hAnsi="Garamond"/>
        </w:rPr>
        <w:t xml:space="preserve"> los Comités Técnicos Especializados </w:t>
      </w:r>
      <w:r w:rsidR="006C5052">
        <w:rPr>
          <w:rFonts w:ascii="Garamond" w:hAnsi="Garamond"/>
        </w:rPr>
        <w:t>del SNIEG.</w:t>
      </w:r>
    </w:p>
    <w:p w14:paraId="17D1F906" w14:textId="1071AA37" w:rsidR="00E84485" w:rsidRDefault="00467B72" w:rsidP="00F10318">
      <w:pPr>
        <w:pStyle w:val="Prrafodelista"/>
        <w:numPr>
          <w:ilvl w:val="0"/>
          <w:numId w:val="35"/>
        </w:numPr>
        <w:spacing w:before="240"/>
        <w:ind w:left="714" w:hanging="357"/>
        <w:jc w:val="both"/>
        <w:rPr>
          <w:rFonts w:ascii="Garamond" w:hAnsi="Garamond"/>
        </w:rPr>
      </w:pPr>
      <w:r w:rsidRPr="0061012B">
        <w:rPr>
          <w:rFonts w:ascii="Garamond" w:hAnsi="Garamond"/>
          <w:i/>
          <w:iCs/>
        </w:rPr>
        <w:t>Norma Técnica para la Elaboración de Metadatos Geográficos</w:t>
      </w:r>
      <w:r w:rsidR="007D38A1" w:rsidRPr="0061012B">
        <w:rPr>
          <w:rFonts w:ascii="Garamond" w:hAnsi="Garamond"/>
        </w:rPr>
        <w:t xml:space="preserve">, </w:t>
      </w:r>
      <w:r w:rsidR="00A01934" w:rsidRPr="0061012B">
        <w:rPr>
          <w:rFonts w:ascii="Garamond" w:hAnsi="Garamond"/>
        </w:rPr>
        <w:t xml:space="preserve">mediante la que se </w:t>
      </w:r>
      <w:r w:rsidR="005A37FF" w:rsidRPr="0061012B">
        <w:rPr>
          <w:rFonts w:ascii="Garamond" w:hAnsi="Garamond"/>
        </w:rPr>
        <w:t xml:space="preserve">establecen disposiciones </w:t>
      </w:r>
      <w:r w:rsidR="0020441E" w:rsidRPr="0061012B">
        <w:rPr>
          <w:rFonts w:ascii="Garamond" w:hAnsi="Garamond"/>
        </w:rPr>
        <w:t xml:space="preserve">enfocadas </w:t>
      </w:r>
      <w:r w:rsidR="00975136" w:rsidRPr="0061012B">
        <w:rPr>
          <w:rFonts w:ascii="Garamond" w:hAnsi="Garamond"/>
        </w:rPr>
        <w:t>en</w:t>
      </w:r>
      <w:r w:rsidR="0020441E" w:rsidRPr="0061012B">
        <w:rPr>
          <w:rFonts w:ascii="Garamond" w:hAnsi="Garamond"/>
        </w:rPr>
        <w:t xml:space="preserve"> </w:t>
      </w:r>
      <w:r w:rsidR="00B96F08" w:rsidRPr="0061012B">
        <w:rPr>
          <w:rFonts w:ascii="Garamond" w:hAnsi="Garamond"/>
        </w:rPr>
        <w:t xml:space="preserve">los </w:t>
      </w:r>
      <w:r w:rsidR="00506DF4" w:rsidRPr="0061012B">
        <w:rPr>
          <w:rFonts w:ascii="Garamond" w:hAnsi="Garamond"/>
        </w:rPr>
        <w:t xml:space="preserve">conjuntos de </w:t>
      </w:r>
      <w:r w:rsidR="00B96F08" w:rsidRPr="0061012B">
        <w:rPr>
          <w:rFonts w:ascii="Garamond" w:hAnsi="Garamond"/>
        </w:rPr>
        <w:t>datos ge</w:t>
      </w:r>
      <w:r w:rsidR="0020441E" w:rsidRPr="0061012B">
        <w:rPr>
          <w:rFonts w:ascii="Garamond" w:hAnsi="Garamond"/>
        </w:rPr>
        <w:t>ográficos</w:t>
      </w:r>
      <w:r w:rsidR="003935EA">
        <w:rPr>
          <w:rFonts w:ascii="Garamond" w:hAnsi="Garamond"/>
        </w:rPr>
        <w:t xml:space="preserve">. Esta </w:t>
      </w:r>
      <w:r w:rsidR="00293535">
        <w:rPr>
          <w:rFonts w:ascii="Garamond" w:hAnsi="Garamond"/>
        </w:rPr>
        <w:t>norma se encuentra en la parte final del proceso</w:t>
      </w:r>
      <w:r w:rsidR="00D05ECB">
        <w:rPr>
          <w:rFonts w:ascii="Garamond" w:hAnsi="Garamond"/>
        </w:rPr>
        <w:t xml:space="preserve">, estando </w:t>
      </w:r>
      <w:r w:rsidR="00D05ECB" w:rsidRPr="00D05ECB">
        <w:rPr>
          <w:rFonts w:ascii="Garamond" w:hAnsi="Garamond"/>
        </w:rPr>
        <w:t>a la espera de validación jurídica y posterior presentación a la Junta de Gobierno.</w:t>
      </w:r>
    </w:p>
    <w:p w14:paraId="7B588737" w14:textId="0437142E" w:rsidR="00840A53" w:rsidRPr="0061012B" w:rsidRDefault="006F28BF" w:rsidP="00F10318">
      <w:pPr>
        <w:pStyle w:val="Ttulo2"/>
        <w:spacing w:before="240"/>
        <w:rPr>
          <w:rFonts w:ascii="Garamond" w:eastAsiaTheme="minorHAnsi" w:hAnsi="Garamond" w:cstheme="minorBidi"/>
          <w:bCs/>
          <w:color w:val="0079BF"/>
          <w:sz w:val="22"/>
          <w:szCs w:val="22"/>
        </w:rPr>
      </w:pPr>
      <w:bookmarkStart w:id="5" w:name="_Toc164684570"/>
      <w:r w:rsidRPr="0061012B">
        <w:rPr>
          <w:rFonts w:ascii="Garamond" w:eastAsiaTheme="minorHAnsi" w:hAnsi="Garamond" w:cstheme="minorBidi"/>
          <w:bCs/>
          <w:color w:val="0079BF"/>
          <w:sz w:val="22"/>
          <w:szCs w:val="22"/>
        </w:rPr>
        <w:t>II.</w:t>
      </w:r>
      <w:r w:rsidR="00F00900" w:rsidRPr="0061012B">
        <w:rPr>
          <w:rFonts w:ascii="Garamond" w:eastAsiaTheme="minorHAnsi" w:hAnsi="Garamond" w:cstheme="minorBidi"/>
          <w:bCs/>
          <w:color w:val="0079BF"/>
          <w:sz w:val="22"/>
          <w:szCs w:val="22"/>
        </w:rPr>
        <w:t>4</w:t>
      </w:r>
      <w:r w:rsidRPr="0061012B">
        <w:rPr>
          <w:rFonts w:ascii="Garamond" w:eastAsiaTheme="minorHAnsi" w:hAnsi="Garamond" w:cstheme="minorBidi"/>
          <w:bCs/>
          <w:color w:val="0079BF"/>
          <w:sz w:val="22"/>
          <w:szCs w:val="22"/>
        </w:rPr>
        <w:t xml:space="preserve">. </w:t>
      </w:r>
      <w:r w:rsidR="00D57EA4" w:rsidRPr="0061012B">
        <w:rPr>
          <w:rFonts w:ascii="Garamond" w:eastAsiaTheme="minorHAnsi" w:hAnsi="Garamond" w:cstheme="minorBidi"/>
          <w:bCs/>
          <w:color w:val="0079BF"/>
          <w:sz w:val="22"/>
          <w:szCs w:val="22"/>
        </w:rPr>
        <w:t>PRECISIÓN</w:t>
      </w:r>
      <w:bookmarkEnd w:id="5"/>
    </w:p>
    <w:p w14:paraId="0C8AD7AF" w14:textId="5B6ACB67" w:rsidR="00526118" w:rsidRDefault="00335B94" w:rsidP="002477F4">
      <w:pPr>
        <w:spacing w:before="120" w:after="60"/>
        <w:jc w:val="both"/>
        <w:rPr>
          <w:rFonts w:ascii="Garamond" w:hAnsi="Garamond"/>
        </w:rPr>
      </w:pPr>
      <w:r>
        <w:rPr>
          <w:rFonts w:ascii="Garamond" w:hAnsi="Garamond"/>
        </w:rPr>
        <w:t>El</w:t>
      </w:r>
      <w:r w:rsidR="001327D9" w:rsidRPr="0061012B">
        <w:rPr>
          <w:rFonts w:ascii="Garamond" w:hAnsi="Garamond"/>
        </w:rPr>
        <w:t xml:space="preserve"> </w:t>
      </w:r>
      <w:r w:rsidR="00FD1064">
        <w:rPr>
          <w:rFonts w:ascii="Garamond" w:hAnsi="Garamond"/>
        </w:rPr>
        <w:t xml:space="preserve">Comité de </w:t>
      </w:r>
      <w:r w:rsidR="008B1A5C">
        <w:rPr>
          <w:rFonts w:ascii="Garamond" w:hAnsi="Garamond"/>
        </w:rPr>
        <w:t xml:space="preserve">Aseguramiento de la Calidad </w:t>
      </w:r>
      <w:r w:rsidR="00FD26C7">
        <w:rPr>
          <w:rFonts w:ascii="Garamond" w:hAnsi="Garamond"/>
        </w:rPr>
        <w:t>(</w:t>
      </w:r>
      <w:proofErr w:type="spellStart"/>
      <w:r w:rsidR="001D74E5" w:rsidRPr="001D74E5">
        <w:rPr>
          <w:rFonts w:ascii="Garamond" w:hAnsi="Garamond" w:cstheme="majorHAnsi"/>
          <w:bCs/>
          <w:smallCaps/>
        </w:rPr>
        <w:t>c</w:t>
      </w:r>
      <w:r w:rsidR="001D74E5" w:rsidRPr="001D74E5">
        <w:rPr>
          <w:rFonts w:ascii="Garamond" w:hAnsi="Garamond" w:cstheme="majorHAnsi"/>
          <w:bCs/>
        </w:rPr>
        <w:t>o</w:t>
      </w:r>
      <w:r w:rsidR="001D74E5" w:rsidRPr="001D74E5">
        <w:rPr>
          <w:rFonts w:ascii="Garamond" w:hAnsi="Garamond" w:cstheme="majorHAnsi"/>
          <w:bCs/>
          <w:smallCaps/>
        </w:rPr>
        <w:t>ac</w:t>
      </w:r>
      <w:proofErr w:type="spellEnd"/>
      <w:r w:rsidR="00FD26C7">
        <w:rPr>
          <w:rFonts w:ascii="Garamond" w:hAnsi="Garamond"/>
        </w:rPr>
        <w:t xml:space="preserve">) </w:t>
      </w:r>
      <w:r w:rsidR="00AB0C88" w:rsidRPr="0061012B">
        <w:rPr>
          <w:rFonts w:ascii="Garamond" w:hAnsi="Garamond"/>
        </w:rPr>
        <w:t xml:space="preserve">ha aprobado </w:t>
      </w:r>
      <w:r w:rsidR="00E80F58">
        <w:rPr>
          <w:rFonts w:ascii="Garamond" w:hAnsi="Garamond"/>
        </w:rPr>
        <w:t xml:space="preserve">22 </w:t>
      </w:r>
      <w:r w:rsidR="00A71948" w:rsidRPr="0061012B">
        <w:rPr>
          <w:rFonts w:ascii="Garamond" w:hAnsi="Garamond"/>
        </w:rPr>
        <w:t>indicadores para medir la precisión de</w:t>
      </w:r>
      <w:r w:rsidR="00B1239A" w:rsidRPr="0061012B">
        <w:rPr>
          <w:rFonts w:ascii="Garamond" w:hAnsi="Garamond"/>
        </w:rPr>
        <w:t xml:space="preserve"> la información proveniente de</w:t>
      </w:r>
      <w:r w:rsidR="00A71948" w:rsidRPr="0061012B">
        <w:rPr>
          <w:rFonts w:ascii="Garamond" w:hAnsi="Garamond"/>
        </w:rPr>
        <w:t xml:space="preserve"> encuestas probabilísticas y no probabilísticas, </w:t>
      </w:r>
      <w:r w:rsidR="00B1239A" w:rsidRPr="0061012B">
        <w:rPr>
          <w:rFonts w:ascii="Garamond" w:hAnsi="Garamond"/>
        </w:rPr>
        <w:t>registros administrativos, censos</w:t>
      </w:r>
      <w:r w:rsidR="00E93C48" w:rsidRPr="0061012B">
        <w:rPr>
          <w:rFonts w:ascii="Garamond" w:hAnsi="Garamond"/>
        </w:rPr>
        <w:t xml:space="preserve"> e información geoespacial (ver </w:t>
      </w:r>
      <w:r w:rsidR="00457505" w:rsidRPr="0061012B">
        <w:rPr>
          <w:rFonts w:ascii="Garamond" w:hAnsi="Garamond"/>
        </w:rPr>
        <w:t>Figura</w:t>
      </w:r>
      <w:r w:rsidR="00E93C48" w:rsidRPr="0061012B">
        <w:rPr>
          <w:rFonts w:ascii="Garamond" w:hAnsi="Garamond"/>
        </w:rPr>
        <w:t xml:space="preserve"> </w:t>
      </w:r>
      <w:r w:rsidR="00C63002">
        <w:rPr>
          <w:rFonts w:ascii="Garamond" w:hAnsi="Garamond"/>
        </w:rPr>
        <w:t>7</w:t>
      </w:r>
      <w:r w:rsidR="00E93C48" w:rsidRPr="0061012B">
        <w:rPr>
          <w:rFonts w:ascii="Garamond" w:hAnsi="Garamond"/>
        </w:rPr>
        <w:t>).</w:t>
      </w:r>
      <w:r w:rsidR="002077D9" w:rsidRPr="0061012B">
        <w:rPr>
          <w:rFonts w:ascii="Garamond" w:hAnsi="Garamond"/>
        </w:rPr>
        <w:t xml:space="preserve"> En este apartado se presentan los principales resultados obtenidos en 2023</w:t>
      </w:r>
      <w:r w:rsidR="000D5B5D" w:rsidRPr="0061012B">
        <w:rPr>
          <w:rFonts w:ascii="Garamond" w:hAnsi="Garamond"/>
        </w:rPr>
        <w:t>.</w:t>
      </w:r>
    </w:p>
    <w:p w14:paraId="74F57A46" w14:textId="61835B07" w:rsidR="00AE3BA5" w:rsidRDefault="00AE3BA5">
      <w:pPr>
        <w:rPr>
          <w:rFonts w:ascii="Garamond" w:hAnsi="Garamond"/>
        </w:rPr>
      </w:pPr>
      <w:r>
        <w:rPr>
          <w:rFonts w:ascii="Garamond" w:hAnsi="Garamond"/>
        </w:rPr>
        <w:br w:type="page"/>
      </w:r>
    </w:p>
    <w:p w14:paraId="7829F2D8" w14:textId="12473B94" w:rsidR="00AA4A4A" w:rsidRPr="0061012B" w:rsidRDefault="00457505" w:rsidP="00AA4A4A">
      <w:pPr>
        <w:spacing w:before="240" w:line="240" w:lineRule="auto"/>
        <w:ind w:left="-284"/>
        <w:jc w:val="center"/>
        <w:rPr>
          <w:rFonts w:ascii="Garamond" w:hAnsi="Garamond"/>
        </w:rPr>
      </w:pPr>
      <w:r w:rsidRPr="0061012B">
        <w:rPr>
          <w:rFonts w:ascii="Garamond" w:hAnsi="Garamond" w:cstheme="majorHAnsi"/>
          <w:b/>
        </w:rPr>
        <w:lastRenderedPageBreak/>
        <w:t xml:space="preserve">Figura </w:t>
      </w:r>
      <w:r w:rsidR="00C63002">
        <w:rPr>
          <w:rFonts w:ascii="Garamond" w:hAnsi="Garamond" w:cstheme="majorHAnsi"/>
          <w:b/>
        </w:rPr>
        <w:t>7</w:t>
      </w:r>
      <w:r w:rsidR="00AA4A4A" w:rsidRPr="0061012B">
        <w:rPr>
          <w:rFonts w:ascii="Garamond" w:hAnsi="Garamond" w:cstheme="majorHAnsi"/>
          <w:b/>
        </w:rPr>
        <w:t xml:space="preserve">. Indicadores de precisión aprobados </w:t>
      </w:r>
      <w:r w:rsidR="000C4739" w:rsidRPr="0061012B">
        <w:rPr>
          <w:rFonts w:ascii="Garamond" w:hAnsi="Garamond" w:cstheme="majorHAnsi"/>
          <w:b/>
        </w:rPr>
        <w:t>por</w:t>
      </w:r>
      <w:r w:rsidR="00AA4A4A" w:rsidRPr="0061012B">
        <w:rPr>
          <w:rFonts w:ascii="Garamond" w:hAnsi="Garamond" w:cstheme="majorHAnsi"/>
          <w:b/>
        </w:rPr>
        <w:t xml:space="preserve"> el </w:t>
      </w:r>
      <w:proofErr w:type="spellStart"/>
      <w:r w:rsidR="000C4739" w:rsidRPr="0061012B">
        <w:rPr>
          <w:rFonts w:ascii="Garamond" w:hAnsi="Garamond" w:cstheme="majorHAnsi"/>
          <w:b/>
          <w:smallCaps/>
        </w:rPr>
        <w:t>c</w:t>
      </w:r>
      <w:r w:rsidR="000C4739" w:rsidRPr="001D74E5">
        <w:rPr>
          <w:rFonts w:ascii="Garamond" w:hAnsi="Garamond" w:cstheme="majorHAnsi"/>
          <w:b/>
        </w:rPr>
        <w:t>o</w:t>
      </w:r>
      <w:r w:rsidR="000C4739" w:rsidRPr="0061012B">
        <w:rPr>
          <w:rFonts w:ascii="Garamond" w:hAnsi="Garamond" w:cstheme="majorHAnsi"/>
          <w:b/>
          <w:smallCaps/>
        </w:rPr>
        <w:t>ac</w:t>
      </w:r>
      <w:proofErr w:type="spellEnd"/>
    </w:p>
    <w:p w14:paraId="4BD44AAA" w14:textId="4B74FDF9" w:rsidR="00D57EA4" w:rsidRPr="00395213" w:rsidRDefault="006826BC" w:rsidP="00320ABC">
      <w:pPr>
        <w:spacing w:before="240"/>
        <w:jc w:val="center"/>
        <w:rPr>
          <w:rFonts w:ascii="Garamond" w:hAnsi="Garamond"/>
          <w:sz w:val="21"/>
          <w:szCs w:val="21"/>
        </w:rPr>
      </w:pPr>
      <w:r>
        <w:rPr>
          <w:rFonts w:ascii="Garamond" w:hAnsi="Garamond"/>
          <w:noProof/>
          <w:sz w:val="21"/>
          <w:szCs w:val="21"/>
        </w:rPr>
        <w:drawing>
          <wp:inline distT="0" distB="0" distL="0" distR="0" wp14:anchorId="7A3ADEF0" wp14:editId="4C1F17FE">
            <wp:extent cx="6846825" cy="2922593"/>
            <wp:effectExtent l="0" t="0" r="0" b="0"/>
            <wp:docPr id="486589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95116" cy="2943206"/>
                    </a:xfrm>
                    <a:prstGeom prst="rect">
                      <a:avLst/>
                    </a:prstGeom>
                    <a:noFill/>
                  </pic:spPr>
                </pic:pic>
              </a:graphicData>
            </a:graphic>
          </wp:inline>
        </w:drawing>
      </w:r>
    </w:p>
    <w:p w14:paraId="6A0BE7E1" w14:textId="17D60BB3" w:rsidR="00425DED" w:rsidRPr="0061012B" w:rsidRDefault="00425DED" w:rsidP="00425DED">
      <w:pPr>
        <w:pStyle w:val="Ttulo3"/>
        <w:spacing w:before="240"/>
        <w:rPr>
          <w:rFonts w:ascii="Garamond" w:hAnsi="Garamond"/>
          <w:color w:val="0079BF"/>
          <w:sz w:val="22"/>
          <w:szCs w:val="22"/>
        </w:rPr>
      </w:pPr>
      <w:bookmarkStart w:id="6" w:name="_Toc164684571"/>
      <w:r w:rsidRPr="0061012B">
        <w:rPr>
          <w:rFonts w:ascii="Garamond" w:hAnsi="Garamond"/>
          <w:color w:val="0079BF"/>
          <w:sz w:val="22"/>
          <w:szCs w:val="22"/>
        </w:rPr>
        <w:t>A. Precisión en la información geográfica</w:t>
      </w:r>
      <w:bookmarkEnd w:id="6"/>
    </w:p>
    <w:p w14:paraId="65CB81F8" w14:textId="20005DB5" w:rsidR="00425DED" w:rsidRDefault="00425DED" w:rsidP="00B670E5">
      <w:pPr>
        <w:spacing w:before="120"/>
        <w:jc w:val="both"/>
        <w:rPr>
          <w:rFonts w:ascii="Garamond" w:hAnsi="Garamond"/>
        </w:rPr>
      </w:pPr>
      <w:r w:rsidRPr="0061012B">
        <w:rPr>
          <w:rFonts w:ascii="Garamond" w:hAnsi="Garamond"/>
        </w:rPr>
        <w:t xml:space="preserve">Durante 2023 se </w:t>
      </w:r>
      <w:r w:rsidR="00D24FD3" w:rsidRPr="0061012B">
        <w:rPr>
          <w:rFonts w:ascii="Garamond" w:hAnsi="Garamond"/>
        </w:rPr>
        <w:t>reportaron</w:t>
      </w:r>
      <w:r w:rsidRPr="0061012B">
        <w:rPr>
          <w:rFonts w:ascii="Garamond" w:hAnsi="Garamond"/>
        </w:rPr>
        <w:t xml:space="preserve"> indicadores de precisión para </w:t>
      </w:r>
      <w:r w:rsidR="006C2A28" w:rsidRPr="0061012B">
        <w:rPr>
          <w:rFonts w:ascii="Garamond" w:hAnsi="Garamond"/>
        </w:rPr>
        <w:t>ocho</w:t>
      </w:r>
      <w:r w:rsidRPr="0061012B">
        <w:rPr>
          <w:rFonts w:ascii="Garamond" w:hAnsi="Garamond"/>
        </w:rPr>
        <w:t xml:space="preserve"> </w:t>
      </w:r>
      <w:r w:rsidR="006C2A28" w:rsidRPr="0061012B">
        <w:rPr>
          <w:rFonts w:ascii="Garamond" w:hAnsi="Garamond"/>
        </w:rPr>
        <w:t>p</w:t>
      </w:r>
      <w:r w:rsidRPr="0061012B">
        <w:rPr>
          <w:rFonts w:ascii="Garamond" w:hAnsi="Garamond"/>
        </w:rPr>
        <w:t xml:space="preserve">roductos pertenecientes a </w:t>
      </w:r>
      <w:r w:rsidR="00213C3E" w:rsidRPr="0061012B">
        <w:rPr>
          <w:rFonts w:ascii="Garamond" w:hAnsi="Garamond"/>
        </w:rPr>
        <w:t>cuatro</w:t>
      </w:r>
      <w:r w:rsidRPr="0061012B">
        <w:rPr>
          <w:rFonts w:ascii="Garamond" w:hAnsi="Garamond"/>
        </w:rPr>
        <w:t xml:space="preserve"> </w:t>
      </w:r>
      <w:r w:rsidR="00CE072E" w:rsidRPr="0061012B">
        <w:rPr>
          <w:rFonts w:ascii="Garamond" w:hAnsi="Garamond"/>
        </w:rPr>
        <w:t>p</w:t>
      </w:r>
      <w:r w:rsidRPr="0061012B">
        <w:rPr>
          <w:rFonts w:ascii="Garamond" w:hAnsi="Garamond"/>
        </w:rPr>
        <w:t xml:space="preserve">rocesos de </w:t>
      </w:r>
      <w:r w:rsidR="00CE072E" w:rsidRPr="0061012B">
        <w:rPr>
          <w:rFonts w:ascii="Garamond" w:hAnsi="Garamond"/>
        </w:rPr>
        <w:t>p</w:t>
      </w:r>
      <w:r w:rsidRPr="0061012B">
        <w:rPr>
          <w:rFonts w:ascii="Garamond" w:hAnsi="Garamond"/>
        </w:rPr>
        <w:t xml:space="preserve">roducción. En </w:t>
      </w:r>
      <w:r w:rsidR="00457505" w:rsidRPr="0061012B">
        <w:rPr>
          <w:rFonts w:ascii="Garamond" w:hAnsi="Garamond"/>
        </w:rPr>
        <w:t>la</w:t>
      </w:r>
      <w:r w:rsidRPr="0061012B">
        <w:rPr>
          <w:rFonts w:ascii="Garamond" w:hAnsi="Garamond"/>
        </w:rPr>
        <w:t xml:space="preserve"> </w:t>
      </w:r>
      <w:r w:rsidR="00457505" w:rsidRPr="0061012B">
        <w:rPr>
          <w:rFonts w:ascii="Garamond" w:hAnsi="Garamond"/>
        </w:rPr>
        <w:t>Tabla</w:t>
      </w:r>
      <w:r w:rsidRPr="0061012B">
        <w:rPr>
          <w:rFonts w:ascii="Garamond" w:hAnsi="Garamond"/>
        </w:rPr>
        <w:t xml:space="preserve"> </w:t>
      </w:r>
      <w:r w:rsidR="00457505" w:rsidRPr="0061012B">
        <w:rPr>
          <w:rFonts w:ascii="Garamond" w:hAnsi="Garamond"/>
        </w:rPr>
        <w:t>6</w:t>
      </w:r>
      <w:r w:rsidRPr="0061012B">
        <w:rPr>
          <w:rFonts w:ascii="Garamond" w:hAnsi="Garamond"/>
        </w:rPr>
        <w:t xml:space="preserve"> se presentan los resultados para los indicadores</w:t>
      </w:r>
      <w:r w:rsidR="00327D05">
        <w:rPr>
          <w:rFonts w:ascii="Garamond" w:hAnsi="Garamond"/>
        </w:rPr>
        <w:t xml:space="preserve"> de</w:t>
      </w:r>
      <w:r w:rsidRPr="0061012B">
        <w:rPr>
          <w:rFonts w:ascii="Garamond" w:hAnsi="Garamond"/>
        </w:rPr>
        <w:t xml:space="preserve"> </w:t>
      </w:r>
      <w:r w:rsidR="00071C0E" w:rsidRPr="0061012B">
        <w:rPr>
          <w:rFonts w:ascii="Garamond" w:hAnsi="Garamond"/>
        </w:rPr>
        <w:t>error cuadrático medio (planimétrico y vertical), cota de confianza de precisión posicional (</w:t>
      </w:r>
      <w:r w:rsidR="00C127E8" w:rsidRPr="0061012B">
        <w:rPr>
          <w:rFonts w:ascii="Garamond" w:hAnsi="Garamond"/>
        </w:rPr>
        <w:t>vertical y horizontal)</w:t>
      </w:r>
      <w:r w:rsidR="00184876" w:rsidRPr="0061012B">
        <w:rPr>
          <w:rFonts w:ascii="Garamond" w:hAnsi="Garamond"/>
        </w:rPr>
        <w:t>, círculo de error probable al 95% y exactitud de posicionamiento vertical al 95%</w:t>
      </w:r>
      <w:r w:rsidR="00C127E8" w:rsidRPr="0061012B">
        <w:rPr>
          <w:rFonts w:ascii="Garamond" w:hAnsi="Garamond"/>
        </w:rPr>
        <w:t>.</w:t>
      </w:r>
      <w:r w:rsidR="00521DC7">
        <w:rPr>
          <w:rFonts w:ascii="Garamond" w:hAnsi="Garamond"/>
        </w:rPr>
        <w:t xml:space="preserve"> </w:t>
      </w:r>
      <w:r w:rsidR="00521DC7" w:rsidRPr="00D70798">
        <w:rPr>
          <w:rFonts w:ascii="Garamond" w:hAnsi="Garamond"/>
        </w:rPr>
        <w:t xml:space="preserve">Para estos indicadores </w:t>
      </w:r>
      <w:r w:rsidR="004151EE" w:rsidRPr="00D70798">
        <w:rPr>
          <w:rFonts w:ascii="Garamond" w:hAnsi="Garamond"/>
        </w:rPr>
        <w:t xml:space="preserve">no se tiene definido </w:t>
      </w:r>
      <w:r w:rsidR="007561BA" w:rsidRPr="00D70798">
        <w:rPr>
          <w:rFonts w:ascii="Garamond" w:hAnsi="Garamond"/>
        </w:rPr>
        <w:t>un umbral</w:t>
      </w:r>
      <w:r w:rsidR="004151EE" w:rsidRPr="00D70798">
        <w:rPr>
          <w:rFonts w:ascii="Garamond" w:hAnsi="Garamond"/>
        </w:rPr>
        <w:t>,</w:t>
      </w:r>
      <w:r w:rsidR="007561BA" w:rsidRPr="00D70798">
        <w:rPr>
          <w:rFonts w:ascii="Garamond" w:hAnsi="Garamond"/>
        </w:rPr>
        <w:t xml:space="preserve"> ya que </w:t>
      </w:r>
      <w:r w:rsidR="008719AB" w:rsidRPr="00D70798">
        <w:rPr>
          <w:rFonts w:ascii="Garamond" w:hAnsi="Garamond"/>
        </w:rPr>
        <w:t>de</w:t>
      </w:r>
      <w:r w:rsidR="00F5621C" w:rsidRPr="00D70798">
        <w:rPr>
          <w:rFonts w:ascii="Garamond" w:hAnsi="Garamond"/>
        </w:rPr>
        <w:t>pende del uso que se le d</w:t>
      </w:r>
      <w:r w:rsidR="001C1C5D" w:rsidRPr="00D70798">
        <w:rPr>
          <w:rFonts w:ascii="Garamond" w:hAnsi="Garamond"/>
        </w:rPr>
        <w:t xml:space="preserve">a </w:t>
      </w:r>
      <w:r w:rsidR="40407411" w:rsidRPr="00D70798">
        <w:rPr>
          <w:rFonts w:ascii="Garamond" w:hAnsi="Garamond"/>
        </w:rPr>
        <w:t>a</w:t>
      </w:r>
      <w:r w:rsidR="001C1C5D" w:rsidRPr="00D70798">
        <w:rPr>
          <w:rFonts w:ascii="Garamond" w:hAnsi="Garamond"/>
        </w:rPr>
        <w:t xml:space="preserve"> la información</w:t>
      </w:r>
      <w:r w:rsidR="002D1560">
        <w:rPr>
          <w:rFonts w:ascii="Garamond" w:hAnsi="Garamond"/>
        </w:rPr>
        <w:t>;</w:t>
      </w:r>
      <w:r w:rsidR="001C1C5D" w:rsidRPr="00D70798">
        <w:rPr>
          <w:rFonts w:ascii="Garamond" w:hAnsi="Garamond"/>
        </w:rPr>
        <w:t xml:space="preserve"> por ejemplo</w:t>
      </w:r>
      <w:r w:rsidR="4DCDC31D" w:rsidRPr="00D70798">
        <w:rPr>
          <w:rFonts w:ascii="Garamond" w:hAnsi="Garamond"/>
        </w:rPr>
        <w:t>,</w:t>
      </w:r>
      <w:r w:rsidR="001C1C5D" w:rsidRPr="00D70798">
        <w:rPr>
          <w:rFonts w:ascii="Garamond" w:hAnsi="Garamond"/>
        </w:rPr>
        <w:t xml:space="preserve"> </w:t>
      </w:r>
      <w:r w:rsidR="008D466A" w:rsidRPr="00D70798">
        <w:rPr>
          <w:rFonts w:ascii="Garamond" w:hAnsi="Garamond"/>
        </w:rPr>
        <w:t xml:space="preserve">para </w:t>
      </w:r>
      <w:r w:rsidR="007311AA" w:rsidRPr="00D70798">
        <w:rPr>
          <w:rFonts w:ascii="Garamond" w:hAnsi="Garamond"/>
        </w:rPr>
        <w:t xml:space="preserve">definir </w:t>
      </w:r>
      <w:r w:rsidR="00B57FA4" w:rsidRPr="00D70798">
        <w:rPr>
          <w:rFonts w:ascii="Garamond" w:hAnsi="Garamond"/>
        </w:rPr>
        <w:t xml:space="preserve">el trazo de </w:t>
      </w:r>
      <w:r w:rsidR="00F8744E">
        <w:rPr>
          <w:rFonts w:ascii="Garamond" w:hAnsi="Garamond"/>
        </w:rPr>
        <w:t xml:space="preserve">la vía de </w:t>
      </w:r>
      <w:r w:rsidR="00B57FA4" w:rsidRPr="00D70798">
        <w:rPr>
          <w:rFonts w:ascii="Garamond" w:hAnsi="Garamond"/>
        </w:rPr>
        <w:t>un</w:t>
      </w:r>
      <w:r w:rsidR="005313AB" w:rsidRPr="00D70798">
        <w:rPr>
          <w:rFonts w:ascii="Garamond" w:hAnsi="Garamond"/>
        </w:rPr>
        <w:t xml:space="preserve"> tren</w:t>
      </w:r>
      <w:r w:rsidR="00B57FA4" w:rsidRPr="00D70798">
        <w:rPr>
          <w:rFonts w:ascii="Garamond" w:hAnsi="Garamond"/>
        </w:rPr>
        <w:t xml:space="preserve"> se necesita una exactitud </w:t>
      </w:r>
      <w:r w:rsidR="005313AB" w:rsidRPr="00D70798">
        <w:rPr>
          <w:rFonts w:ascii="Garamond" w:hAnsi="Garamond"/>
        </w:rPr>
        <w:t>de centímetros</w:t>
      </w:r>
      <w:r w:rsidR="00022C32" w:rsidRPr="00D70798">
        <w:rPr>
          <w:rFonts w:ascii="Garamond" w:hAnsi="Garamond"/>
        </w:rPr>
        <w:t>,</w:t>
      </w:r>
      <w:r w:rsidR="005313AB" w:rsidRPr="00D70798">
        <w:rPr>
          <w:rFonts w:ascii="Garamond" w:hAnsi="Garamond"/>
        </w:rPr>
        <w:t xml:space="preserve"> </w:t>
      </w:r>
      <w:r w:rsidR="00022C32" w:rsidRPr="00D70798">
        <w:rPr>
          <w:rFonts w:ascii="Garamond" w:hAnsi="Garamond"/>
        </w:rPr>
        <w:t>mientras</w:t>
      </w:r>
      <w:r w:rsidR="00B57FA4" w:rsidRPr="00D70798">
        <w:rPr>
          <w:rFonts w:ascii="Garamond" w:hAnsi="Garamond"/>
        </w:rPr>
        <w:t xml:space="preserve"> que para </w:t>
      </w:r>
      <w:r w:rsidR="00EC2A93" w:rsidRPr="00D70798">
        <w:rPr>
          <w:rFonts w:ascii="Garamond" w:hAnsi="Garamond"/>
        </w:rPr>
        <w:t xml:space="preserve">analizar </w:t>
      </w:r>
      <w:r w:rsidR="00CE2F02" w:rsidRPr="00D70798">
        <w:rPr>
          <w:rFonts w:ascii="Garamond" w:hAnsi="Garamond"/>
        </w:rPr>
        <w:t>el límite de la mancha urbana</w:t>
      </w:r>
      <w:r w:rsidR="00022C32" w:rsidRPr="00D70798">
        <w:rPr>
          <w:rFonts w:ascii="Garamond" w:hAnsi="Garamond"/>
        </w:rPr>
        <w:t xml:space="preserve"> se puede </w:t>
      </w:r>
      <w:r w:rsidR="00120EBD" w:rsidRPr="00D70798">
        <w:rPr>
          <w:rFonts w:ascii="Garamond" w:hAnsi="Garamond"/>
        </w:rPr>
        <w:t>aceptar</w:t>
      </w:r>
      <w:r w:rsidR="00022C32" w:rsidRPr="00D70798">
        <w:rPr>
          <w:rFonts w:ascii="Garamond" w:hAnsi="Garamond"/>
        </w:rPr>
        <w:t xml:space="preserve"> un </w:t>
      </w:r>
      <w:r w:rsidR="008A09AC" w:rsidRPr="00D70798">
        <w:rPr>
          <w:rFonts w:ascii="Garamond" w:hAnsi="Garamond"/>
        </w:rPr>
        <w:t xml:space="preserve">error de </w:t>
      </w:r>
      <w:r w:rsidR="00F9556A" w:rsidRPr="00D70798">
        <w:rPr>
          <w:rFonts w:ascii="Garamond" w:hAnsi="Garamond"/>
        </w:rPr>
        <w:t>algunos metros</w:t>
      </w:r>
      <w:r w:rsidR="00CE2F02" w:rsidRPr="00D70798">
        <w:rPr>
          <w:rFonts w:ascii="Garamond" w:hAnsi="Garamond"/>
        </w:rPr>
        <w:t>.</w:t>
      </w:r>
    </w:p>
    <w:p w14:paraId="4B460220" w14:textId="26DD14B8" w:rsidR="00425DED" w:rsidRPr="0061012B" w:rsidRDefault="00457505" w:rsidP="00425DED">
      <w:pPr>
        <w:spacing w:before="240" w:after="0"/>
        <w:jc w:val="center"/>
        <w:rPr>
          <w:rFonts w:ascii="Garamond" w:hAnsi="Garamond"/>
        </w:rPr>
      </w:pPr>
      <w:r w:rsidRPr="0061012B">
        <w:rPr>
          <w:rFonts w:ascii="Garamond" w:hAnsi="Garamond"/>
          <w:b/>
        </w:rPr>
        <w:t>Tabla 6</w:t>
      </w:r>
      <w:r w:rsidR="00F4237F" w:rsidRPr="0061012B">
        <w:rPr>
          <w:rFonts w:ascii="Garamond" w:hAnsi="Garamond"/>
          <w:b/>
        </w:rPr>
        <w:t>.</w:t>
      </w:r>
      <w:r w:rsidR="00425DED" w:rsidRPr="0061012B">
        <w:rPr>
          <w:rFonts w:ascii="Garamond" w:hAnsi="Garamond"/>
          <w:b/>
        </w:rPr>
        <w:t xml:space="preserve"> Valor promedio de los indicadores de precisión para la información publicada en 2023</w:t>
      </w:r>
    </w:p>
    <w:tbl>
      <w:tblPr>
        <w:tblW w:w="10910" w:type="dxa"/>
        <w:jc w:val="center"/>
        <w:tblLayout w:type="fixed"/>
        <w:tblCellMar>
          <w:left w:w="70" w:type="dxa"/>
          <w:right w:w="70" w:type="dxa"/>
        </w:tblCellMar>
        <w:tblLook w:val="04A0" w:firstRow="1" w:lastRow="0" w:firstColumn="1" w:lastColumn="0" w:noHBand="0" w:noVBand="1"/>
      </w:tblPr>
      <w:tblGrid>
        <w:gridCol w:w="1129"/>
        <w:gridCol w:w="2699"/>
        <w:gridCol w:w="987"/>
        <w:gridCol w:w="1134"/>
        <w:gridCol w:w="3969"/>
        <w:gridCol w:w="992"/>
      </w:tblGrid>
      <w:tr w:rsidR="00425DED" w:rsidRPr="0061012B" w14:paraId="39B59EF2" w14:textId="77777777" w:rsidTr="00FF792D">
        <w:trPr>
          <w:trHeight w:val="216"/>
          <w:tblHeader/>
          <w:jc w:val="center"/>
        </w:trPr>
        <w:tc>
          <w:tcPr>
            <w:tcW w:w="1129" w:type="dxa"/>
            <w:tcBorders>
              <w:top w:val="single" w:sz="4" w:space="0" w:color="BFBFBF"/>
              <w:bottom w:val="single" w:sz="4" w:space="0" w:color="BFBFBF" w:themeColor="background1" w:themeShade="BF"/>
            </w:tcBorders>
            <w:shd w:val="clear" w:color="000000" w:fill="002060"/>
            <w:noWrap/>
            <w:vAlign w:val="center"/>
            <w:hideMark/>
          </w:tcPr>
          <w:p w14:paraId="57CC6934"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Proceso</w:t>
            </w:r>
          </w:p>
        </w:tc>
        <w:tc>
          <w:tcPr>
            <w:tcW w:w="2699" w:type="dxa"/>
            <w:tcBorders>
              <w:top w:val="single" w:sz="4" w:space="0" w:color="BFBFBF"/>
              <w:left w:val="nil"/>
              <w:bottom w:val="single" w:sz="4" w:space="0" w:color="BFBFBF" w:themeColor="background1" w:themeShade="BF"/>
            </w:tcBorders>
            <w:shd w:val="clear" w:color="000000" w:fill="002060"/>
            <w:noWrap/>
            <w:vAlign w:val="center"/>
            <w:hideMark/>
          </w:tcPr>
          <w:p w14:paraId="57ECD917"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Producto</w:t>
            </w:r>
          </w:p>
        </w:tc>
        <w:tc>
          <w:tcPr>
            <w:tcW w:w="987" w:type="dxa"/>
            <w:tcBorders>
              <w:top w:val="single" w:sz="4" w:space="0" w:color="BFBFBF"/>
              <w:left w:val="nil"/>
              <w:bottom w:val="single" w:sz="4" w:space="0" w:color="BFBFBF" w:themeColor="background1" w:themeShade="BF"/>
            </w:tcBorders>
            <w:shd w:val="clear" w:color="000000" w:fill="002060"/>
            <w:noWrap/>
            <w:vAlign w:val="center"/>
            <w:hideMark/>
          </w:tcPr>
          <w:p w14:paraId="34512218"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Año de referencia</w:t>
            </w:r>
          </w:p>
        </w:tc>
        <w:tc>
          <w:tcPr>
            <w:tcW w:w="1134" w:type="dxa"/>
            <w:tcBorders>
              <w:top w:val="single" w:sz="4" w:space="0" w:color="BFBFBF"/>
              <w:left w:val="nil"/>
              <w:bottom w:val="single" w:sz="4" w:space="0" w:color="BFBFBF" w:themeColor="background1" w:themeShade="BF"/>
            </w:tcBorders>
            <w:shd w:val="clear" w:color="000000" w:fill="002060"/>
            <w:noWrap/>
            <w:vAlign w:val="center"/>
            <w:hideMark/>
          </w:tcPr>
          <w:p w14:paraId="2795CB49"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 xml:space="preserve">Dominios de estudio </w:t>
            </w:r>
          </w:p>
        </w:tc>
        <w:tc>
          <w:tcPr>
            <w:tcW w:w="3969" w:type="dxa"/>
            <w:tcBorders>
              <w:top w:val="single" w:sz="4" w:space="0" w:color="BFBFBF"/>
              <w:left w:val="nil"/>
              <w:bottom w:val="single" w:sz="4" w:space="0" w:color="BFBFBF" w:themeColor="background1" w:themeShade="BF"/>
            </w:tcBorders>
            <w:shd w:val="clear" w:color="000000" w:fill="002060"/>
            <w:vAlign w:val="center"/>
          </w:tcPr>
          <w:p w14:paraId="38A47DD2"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Indicador</w:t>
            </w:r>
          </w:p>
        </w:tc>
        <w:tc>
          <w:tcPr>
            <w:tcW w:w="992" w:type="dxa"/>
            <w:tcBorders>
              <w:top w:val="single" w:sz="4" w:space="0" w:color="BFBFBF"/>
              <w:left w:val="nil"/>
              <w:bottom w:val="single" w:sz="4" w:space="0" w:color="BFBFBF" w:themeColor="background1" w:themeShade="BF"/>
            </w:tcBorders>
            <w:shd w:val="clear" w:color="000000" w:fill="002060"/>
            <w:noWrap/>
            <w:vAlign w:val="center"/>
            <w:hideMark/>
          </w:tcPr>
          <w:p w14:paraId="197BB403" w14:textId="77777777" w:rsidR="00425DED" w:rsidRPr="0061012B" w:rsidRDefault="00425DED">
            <w:pPr>
              <w:spacing w:after="0" w:line="240" w:lineRule="auto"/>
              <w:jc w:val="center"/>
              <w:rPr>
                <w:rFonts w:ascii="Garamond" w:eastAsia="Times New Roman" w:hAnsi="Garamond" w:cs="Calibri"/>
                <w:b/>
                <w:bCs/>
                <w:color w:val="FFFFFF"/>
                <w:sz w:val="20"/>
                <w:szCs w:val="20"/>
                <w:lang w:eastAsia="es-MX"/>
              </w:rPr>
            </w:pPr>
            <w:r w:rsidRPr="0061012B">
              <w:rPr>
                <w:rFonts w:ascii="Garamond" w:eastAsia="Times New Roman" w:hAnsi="Garamond" w:cs="Calibri"/>
                <w:b/>
                <w:bCs/>
                <w:color w:val="FFFFFF"/>
                <w:sz w:val="20"/>
                <w:szCs w:val="20"/>
                <w:lang w:eastAsia="es-MX"/>
              </w:rPr>
              <w:t>Valor promedio</w:t>
            </w:r>
          </w:p>
        </w:tc>
      </w:tr>
      <w:tr w:rsidR="00425DED" w:rsidRPr="0061012B" w14:paraId="5DBF0562" w14:textId="77777777" w:rsidTr="00FF792D">
        <w:trPr>
          <w:trHeight w:val="216"/>
          <w:jc w:val="center"/>
        </w:trPr>
        <w:tc>
          <w:tcPr>
            <w:tcW w:w="1129" w:type="dxa"/>
            <w:vMerge w:val="restart"/>
            <w:tcBorders>
              <w:top w:val="single" w:sz="4" w:space="0" w:color="BFBFBF" w:themeColor="background1" w:themeShade="BF"/>
            </w:tcBorders>
            <w:shd w:val="clear" w:color="auto" w:fill="FFFFFF" w:themeFill="background1"/>
            <w:noWrap/>
            <w:vAlign w:val="center"/>
            <w:hideMark/>
          </w:tcPr>
          <w:p w14:paraId="079F8B2D" w14:textId="439F59D0" w:rsidR="00425DED" w:rsidRPr="0061012B" w:rsidRDefault="00425DED">
            <w:pPr>
              <w:spacing w:after="0" w:line="240" w:lineRule="auto"/>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Mapa Topográfico</w:t>
            </w:r>
          </w:p>
        </w:tc>
        <w:tc>
          <w:tcPr>
            <w:tcW w:w="2699" w:type="dxa"/>
            <w:tcBorders>
              <w:top w:val="single" w:sz="4" w:space="0" w:color="BFBFBF" w:themeColor="background1" w:themeShade="BF"/>
              <w:left w:val="nil"/>
            </w:tcBorders>
            <w:shd w:val="clear" w:color="auto" w:fill="FFFFFF" w:themeFill="background1"/>
            <w:noWrap/>
            <w:vAlign w:val="center"/>
            <w:hideMark/>
          </w:tcPr>
          <w:p w14:paraId="0EAAE7FC" w14:textId="336BAC6F" w:rsidR="00425DED" w:rsidRPr="0061012B" w:rsidRDefault="00425DED">
            <w:pPr>
              <w:spacing w:after="0" w:line="240" w:lineRule="auto"/>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Conjunto de datos topográficos por polígono</w:t>
            </w:r>
          </w:p>
        </w:tc>
        <w:tc>
          <w:tcPr>
            <w:tcW w:w="987" w:type="dxa"/>
            <w:tcBorders>
              <w:top w:val="single" w:sz="4" w:space="0" w:color="BFBFBF" w:themeColor="background1" w:themeShade="BF"/>
              <w:left w:val="nil"/>
              <w:bottom w:val="single" w:sz="4" w:space="0" w:color="BFBFBF"/>
            </w:tcBorders>
            <w:shd w:val="clear" w:color="auto" w:fill="FFFFFF" w:themeFill="background1"/>
            <w:noWrap/>
            <w:vAlign w:val="center"/>
            <w:hideMark/>
          </w:tcPr>
          <w:p w14:paraId="4D926F96"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2022</w:t>
            </w:r>
          </w:p>
        </w:tc>
        <w:tc>
          <w:tcPr>
            <w:tcW w:w="1134" w:type="dxa"/>
            <w:tcBorders>
              <w:top w:val="single" w:sz="4" w:space="0" w:color="BFBFBF" w:themeColor="background1" w:themeShade="BF"/>
              <w:left w:val="nil"/>
              <w:bottom w:val="single" w:sz="4" w:space="0" w:color="BFBFBF"/>
            </w:tcBorders>
            <w:shd w:val="clear" w:color="auto" w:fill="FFFFFF" w:themeFill="background1"/>
            <w:noWrap/>
            <w:vAlign w:val="center"/>
            <w:hideMark/>
          </w:tcPr>
          <w:p w14:paraId="05CF9A73"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9</w:t>
            </w:r>
          </w:p>
        </w:tc>
        <w:tc>
          <w:tcPr>
            <w:tcW w:w="3969" w:type="dxa"/>
            <w:tcBorders>
              <w:top w:val="single" w:sz="4" w:space="0" w:color="BFBFBF" w:themeColor="background1" w:themeShade="BF"/>
              <w:left w:val="nil"/>
              <w:bottom w:val="single" w:sz="4" w:space="0" w:color="BFBFBF" w:themeColor="background1" w:themeShade="BF"/>
            </w:tcBorders>
            <w:shd w:val="clear" w:color="auto" w:fill="FFFFFF" w:themeFill="background1"/>
            <w:vAlign w:val="center"/>
          </w:tcPr>
          <w:p w14:paraId="0864CFCC"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Error cuadrático medio planimétrico</w:t>
            </w:r>
          </w:p>
        </w:tc>
        <w:tc>
          <w:tcPr>
            <w:tcW w:w="992" w:type="dxa"/>
            <w:tcBorders>
              <w:top w:val="single" w:sz="4" w:space="0" w:color="BFBFBF" w:themeColor="background1" w:themeShade="BF"/>
              <w:left w:val="nil"/>
              <w:bottom w:val="single" w:sz="4" w:space="0" w:color="BFBFBF"/>
            </w:tcBorders>
            <w:shd w:val="clear" w:color="auto" w:fill="auto"/>
            <w:noWrap/>
            <w:vAlign w:val="center"/>
            <w:hideMark/>
          </w:tcPr>
          <w:p w14:paraId="1E848A6C"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4.1 m</w:t>
            </w:r>
          </w:p>
        </w:tc>
      </w:tr>
      <w:tr w:rsidR="00425DED" w:rsidRPr="0061012B" w14:paraId="219CCEA5" w14:textId="77777777" w:rsidTr="00F226CE">
        <w:trPr>
          <w:trHeight w:val="454"/>
          <w:jc w:val="center"/>
        </w:trPr>
        <w:tc>
          <w:tcPr>
            <w:tcW w:w="1129" w:type="dxa"/>
            <w:vMerge/>
            <w:tcBorders>
              <w:top w:val="single" w:sz="4" w:space="0" w:color="BFBFBF"/>
            </w:tcBorders>
            <w:shd w:val="clear" w:color="auto" w:fill="FFFFFF" w:themeFill="background1"/>
            <w:noWrap/>
            <w:vAlign w:val="center"/>
          </w:tcPr>
          <w:p w14:paraId="043E6AA1" w14:textId="77777777" w:rsidR="00425DED" w:rsidRPr="0061012B" w:rsidRDefault="00425DED">
            <w:pPr>
              <w:spacing w:after="0" w:line="240" w:lineRule="auto"/>
              <w:rPr>
                <w:rFonts w:ascii="Garamond" w:eastAsia="Times New Roman" w:hAnsi="Garamond" w:cs="Calibri"/>
                <w:color w:val="000000"/>
                <w:sz w:val="20"/>
                <w:szCs w:val="20"/>
                <w:lang w:eastAsia="es-MX"/>
              </w:rPr>
            </w:pPr>
          </w:p>
        </w:tc>
        <w:tc>
          <w:tcPr>
            <w:tcW w:w="2699" w:type="dxa"/>
            <w:tcBorders>
              <w:top w:val="single" w:sz="4" w:space="0" w:color="BFBFBF"/>
              <w:left w:val="nil"/>
            </w:tcBorders>
            <w:shd w:val="clear" w:color="auto" w:fill="auto"/>
            <w:noWrap/>
            <w:vAlign w:val="center"/>
          </w:tcPr>
          <w:p w14:paraId="698D56C9" w14:textId="19DDBC49" w:rsidR="00425DED" w:rsidRPr="0061012B" w:rsidRDefault="00425DED">
            <w:pPr>
              <w:spacing w:after="0" w:line="240" w:lineRule="auto"/>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Modelos Digitales de Elevación</w:t>
            </w:r>
          </w:p>
        </w:tc>
        <w:tc>
          <w:tcPr>
            <w:tcW w:w="987" w:type="dxa"/>
            <w:tcBorders>
              <w:top w:val="single" w:sz="4" w:space="0" w:color="BFBFBF"/>
              <w:left w:val="nil"/>
              <w:bottom w:val="single" w:sz="4" w:space="0" w:color="BFBFBF"/>
            </w:tcBorders>
            <w:shd w:val="clear" w:color="auto" w:fill="auto"/>
            <w:noWrap/>
            <w:vAlign w:val="center"/>
          </w:tcPr>
          <w:p w14:paraId="6E4754FA"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2022</w:t>
            </w:r>
          </w:p>
        </w:tc>
        <w:tc>
          <w:tcPr>
            <w:tcW w:w="1134" w:type="dxa"/>
            <w:tcBorders>
              <w:top w:val="single" w:sz="4" w:space="0" w:color="BFBFBF"/>
              <w:left w:val="nil"/>
              <w:bottom w:val="single" w:sz="4" w:space="0" w:color="BFBFBF"/>
            </w:tcBorders>
            <w:shd w:val="clear" w:color="auto" w:fill="auto"/>
            <w:noWrap/>
            <w:vAlign w:val="center"/>
          </w:tcPr>
          <w:p w14:paraId="4193F39B"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4</w:t>
            </w:r>
          </w:p>
        </w:tc>
        <w:tc>
          <w:tcPr>
            <w:tcW w:w="3969"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3F553A7"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Error cuadrático medio vertical</w:t>
            </w:r>
          </w:p>
        </w:tc>
        <w:tc>
          <w:tcPr>
            <w:tcW w:w="992" w:type="dxa"/>
            <w:tcBorders>
              <w:top w:val="single" w:sz="4" w:space="0" w:color="BFBFBF"/>
              <w:left w:val="nil"/>
              <w:bottom w:val="single" w:sz="4" w:space="0" w:color="BFBFBF"/>
            </w:tcBorders>
            <w:shd w:val="clear" w:color="auto" w:fill="auto"/>
            <w:noWrap/>
            <w:vAlign w:val="center"/>
          </w:tcPr>
          <w:p w14:paraId="55971F68"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1.7 m</w:t>
            </w:r>
          </w:p>
        </w:tc>
      </w:tr>
      <w:tr w:rsidR="00425DED" w:rsidRPr="0061012B" w14:paraId="665086B0" w14:textId="77777777" w:rsidTr="00F226CE">
        <w:trPr>
          <w:trHeight w:val="454"/>
          <w:jc w:val="center"/>
        </w:trPr>
        <w:tc>
          <w:tcPr>
            <w:tcW w:w="1129" w:type="dxa"/>
            <w:vMerge/>
            <w:tcBorders>
              <w:top w:val="single" w:sz="4" w:space="0" w:color="BFBFBF"/>
            </w:tcBorders>
            <w:shd w:val="clear" w:color="auto" w:fill="FFFFFF" w:themeFill="background1"/>
            <w:noWrap/>
            <w:vAlign w:val="center"/>
          </w:tcPr>
          <w:p w14:paraId="17B05F12" w14:textId="77777777" w:rsidR="00425DED" w:rsidRPr="0061012B" w:rsidRDefault="00425DED">
            <w:pPr>
              <w:spacing w:after="0" w:line="240" w:lineRule="auto"/>
              <w:rPr>
                <w:rFonts w:ascii="Garamond" w:eastAsia="Times New Roman" w:hAnsi="Garamond" w:cs="Calibri"/>
                <w:color w:val="000000"/>
                <w:sz w:val="20"/>
                <w:szCs w:val="20"/>
                <w:lang w:eastAsia="es-MX"/>
              </w:rPr>
            </w:pPr>
          </w:p>
        </w:tc>
        <w:tc>
          <w:tcPr>
            <w:tcW w:w="2699" w:type="dxa"/>
            <w:vMerge w:val="restart"/>
            <w:tcBorders>
              <w:top w:val="single" w:sz="4" w:space="0" w:color="BFBFBF"/>
              <w:left w:val="nil"/>
            </w:tcBorders>
            <w:shd w:val="clear" w:color="auto" w:fill="auto"/>
            <w:noWrap/>
            <w:vAlign w:val="center"/>
          </w:tcPr>
          <w:p w14:paraId="643BE1D2" w14:textId="3DEA2EC4" w:rsidR="00425DED" w:rsidRPr="0061012B" w:rsidRDefault="00425DED">
            <w:pPr>
              <w:spacing w:after="0" w:line="240" w:lineRule="auto"/>
              <w:rPr>
                <w:rFonts w:ascii="Garamond" w:eastAsia="Times New Roman" w:hAnsi="Garamond" w:cs="Calibri"/>
                <w:color w:val="000000"/>
                <w:sz w:val="20"/>
                <w:szCs w:val="20"/>
                <w:lang w:eastAsia="es-MX"/>
              </w:rPr>
            </w:pPr>
            <w:proofErr w:type="spellStart"/>
            <w:r w:rsidRPr="0061012B">
              <w:rPr>
                <w:rFonts w:ascii="Garamond" w:eastAsia="Times New Roman" w:hAnsi="Garamond" w:cs="Calibri"/>
                <w:color w:val="000000"/>
                <w:sz w:val="20"/>
                <w:szCs w:val="20"/>
                <w:lang w:eastAsia="es-MX"/>
              </w:rPr>
              <w:t>Aerotriangulación</w:t>
            </w:r>
            <w:proofErr w:type="spellEnd"/>
          </w:p>
        </w:tc>
        <w:tc>
          <w:tcPr>
            <w:tcW w:w="987" w:type="dxa"/>
            <w:vMerge w:val="restart"/>
            <w:tcBorders>
              <w:top w:val="single" w:sz="4" w:space="0" w:color="BFBFBF"/>
              <w:left w:val="nil"/>
            </w:tcBorders>
            <w:shd w:val="clear" w:color="auto" w:fill="auto"/>
            <w:noWrap/>
            <w:vAlign w:val="center"/>
          </w:tcPr>
          <w:p w14:paraId="68531C8A"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2022</w:t>
            </w:r>
          </w:p>
        </w:tc>
        <w:tc>
          <w:tcPr>
            <w:tcW w:w="1134" w:type="dxa"/>
            <w:vMerge w:val="restart"/>
            <w:tcBorders>
              <w:top w:val="single" w:sz="4" w:space="0" w:color="BFBFBF"/>
              <w:left w:val="nil"/>
            </w:tcBorders>
            <w:shd w:val="clear" w:color="auto" w:fill="auto"/>
            <w:noWrap/>
            <w:vAlign w:val="center"/>
          </w:tcPr>
          <w:p w14:paraId="577ABF82"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9</w:t>
            </w:r>
          </w:p>
        </w:tc>
        <w:tc>
          <w:tcPr>
            <w:tcW w:w="3969"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1B11D537" w14:textId="71A914F8"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 xml:space="preserve">Cota de </w:t>
            </w:r>
            <w:r w:rsidR="008022DE" w:rsidRPr="0061012B">
              <w:rPr>
                <w:rFonts w:ascii="Garamond" w:eastAsia="Times New Roman" w:hAnsi="Garamond" w:cs="Calibri"/>
                <w:color w:val="000000"/>
                <w:sz w:val="20"/>
                <w:szCs w:val="20"/>
                <w:lang w:eastAsia="es-MX"/>
              </w:rPr>
              <w:t xml:space="preserve">confianza de precisión posicional </w:t>
            </w:r>
            <w:r w:rsidRPr="0061012B">
              <w:rPr>
                <w:rFonts w:ascii="Garamond" w:eastAsia="Times New Roman" w:hAnsi="Garamond" w:cs="Calibri"/>
                <w:color w:val="000000"/>
                <w:sz w:val="20"/>
                <w:szCs w:val="20"/>
                <w:lang w:eastAsia="es-MX"/>
              </w:rPr>
              <w:t>vertical</w:t>
            </w:r>
          </w:p>
        </w:tc>
        <w:tc>
          <w:tcPr>
            <w:tcW w:w="992" w:type="dxa"/>
            <w:tcBorders>
              <w:top w:val="single" w:sz="4" w:space="0" w:color="BFBFBF"/>
              <w:left w:val="nil"/>
              <w:bottom w:val="single" w:sz="4" w:space="0" w:color="BFBFBF"/>
            </w:tcBorders>
            <w:shd w:val="clear" w:color="auto" w:fill="auto"/>
            <w:noWrap/>
            <w:vAlign w:val="center"/>
          </w:tcPr>
          <w:p w14:paraId="162D638B" w14:textId="6B646FEB" w:rsidR="00425DED" w:rsidRPr="0061012B" w:rsidRDefault="00EC0AA7">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0.</w:t>
            </w:r>
            <w:r w:rsidR="00425DED" w:rsidRPr="0061012B">
              <w:rPr>
                <w:rFonts w:ascii="Garamond" w:eastAsia="Times New Roman" w:hAnsi="Garamond" w:cs="Calibri"/>
                <w:color w:val="000000"/>
                <w:sz w:val="20"/>
                <w:szCs w:val="20"/>
                <w:lang w:eastAsia="es-MX"/>
              </w:rPr>
              <w:t>769 m</w:t>
            </w:r>
          </w:p>
        </w:tc>
      </w:tr>
      <w:tr w:rsidR="00425DED" w:rsidRPr="0061012B" w14:paraId="268801EA"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3A4BFACF" w14:textId="77777777" w:rsidR="00425DED" w:rsidRPr="0061012B" w:rsidRDefault="00425DED">
            <w:pPr>
              <w:spacing w:after="0" w:line="240" w:lineRule="auto"/>
              <w:rPr>
                <w:rFonts w:ascii="Garamond" w:eastAsia="Times New Roman" w:hAnsi="Garamond" w:cs="Calibri"/>
                <w:color w:val="000000"/>
                <w:sz w:val="20"/>
                <w:szCs w:val="20"/>
                <w:lang w:eastAsia="es-MX"/>
              </w:rPr>
            </w:pPr>
          </w:p>
        </w:tc>
        <w:tc>
          <w:tcPr>
            <w:tcW w:w="2699" w:type="dxa"/>
            <w:vMerge/>
            <w:tcBorders>
              <w:left w:val="nil"/>
            </w:tcBorders>
            <w:shd w:val="clear" w:color="auto" w:fill="auto"/>
            <w:noWrap/>
            <w:vAlign w:val="center"/>
          </w:tcPr>
          <w:p w14:paraId="0FE1AE1F" w14:textId="77777777" w:rsidR="00425DED" w:rsidRPr="0061012B" w:rsidRDefault="00425DED">
            <w:pPr>
              <w:spacing w:after="0" w:line="240" w:lineRule="auto"/>
              <w:rPr>
                <w:rFonts w:ascii="Garamond" w:eastAsia="Times New Roman" w:hAnsi="Garamond" w:cs="Calibri"/>
                <w:color w:val="000000"/>
                <w:sz w:val="20"/>
                <w:szCs w:val="20"/>
                <w:lang w:eastAsia="es-MX"/>
              </w:rPr>
            </w:pPr>
          </w:p>
        </w:tc>
        <w:tc>
          <w:tcPr>
            <w:tcW w:w="987" w:type="dxa"/>
            <w:vMerge/>
            <w:tcBorders>
              <w:left w:val="nil"/>
              <w:bottom w:val="single" w:sz="4" w:space="0" w:color="BFBFBF"/>
            </w:tcBorders>
            <w:shd w:val="clear" w:color="auto" w:fill="auto"/>
            <w:noWrap/>
            <w:vAlign w:val="center"/>
          </w:tcPr>
          <w:p w14:paraId="5FE18359"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p>
        </w:tc>
        <w:tc>
          <w:tcPr>
            <w:tcW w:w="1134" w:type="dxa"/>
            <w:vMerge/>
            <w:tcBorders>
              <w:left w:val="nil"/>
              <w:bottom w:val="single" w:sz="4" w:space="0" w:color="BFBFBF"/>
            </w:tcBorders>
            <w:shd w:val="clear" w:color="auto" w:fill="auto"/>
            <w:noWrap/>
            <w:vAlign w:val="center"/>
          </w:tcPr>
          <w:p w14:paraId="6978CDFD"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p>
        </w:tc>
        <w:tc>
          <w:tcPr>
            <w:tcW w:w="3969"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5A8348E3" w14:textId="58B81C09"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 xml:space="preserve">Cota de </w:t>
            </w:r>
            <w:r w:rsidR="00DE2833" w:rsidRPr="0061012B">
              <w:rPr>
                <w:rFonts w:ascii="Garamond" w:eastAsia="Times New Roman" w:hAnsi="Garamond" w:cs="Calibri"/>
                <w:color w:val="000000"/>
                <w:sz w:val="20"/>
                <w:szCs w:val="20"/>
                <w:lang w:eastAsia="es-MX"/>
              </w:rPr>
              <w:t>confianza de precisión posiciona</w:t>
            </w:r>
            <w:r w:rsidRPr="0061012B">
              <w:rPr>
                <w:rFonts w:ascii="Garamond" w:eastAsia="Times New Roman" w:hAnsi="Garamond" w:cs="Calibri"/>
                <w:color w:val="000000"/>
                <w:sz w:val="20"/>
                <w:szCs w:val="20"/>
                <w:lang w:eastAsia="es-MX"/>
              </w:rPr>
              <w:t>l horizontal</w:t>
            </w:r>
          </w:p>
        </w:tc>
        <w:tc>
          <w:tcPr>
            <w:tcW w:w="992" w:type="dxa"/>
            <w:tcBorders>
              <w:top w:val="single" w:sz="4" w:space="0" w:color="BFBFBF"/>
              <w:left w:val="nil"/>
              <w:bottom w:val="single" w:sz="4" w:space="0" w:color="BFBFBF"/>
            </w:tcBorders>
            <w:shd w:val="clear" w:color="auto" w:fill="auto"/>
            <w:noWrap/>
            <w:vAlign w:val="center"/>
          </w:tcPr>
          <w:p w14:paraId="79900E78" w14:textId="55AD10A5" w:rsidR="00425DED" w:rsidRPr="0061012B" w:rsidRDefault="00EC0AA7">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0.</w:t>
            </w:r>
            <w:r w:rsidR="00425DED" w:rsidRPr="0061012B">
              <w:rPr>
                <w:rFonts w:ascii="Garamond" w:eastAsia="Times New Roman" w:hAnsi="Garamond" w:cs="Calibri"/>
                <w:color w:val="000000"/>
                <w:sz w:val="20"/>
                <w:szCs w:val="20"/>
                <w:lang w:eastAsia="es-MX"/>
              </w:rPr>
              <w:t>976 m</w:t>
            </w:r>
          </w:p>
        </w:tc>
      </w:tr>
      <w:tr w:rsidR="00425DED" w:rsidRPr="0061012B" w14:paraId="67FD73DF" w14:textId="77777777" w:rsidTr="00FF792D">
        <w:trPr>
          <w:trHeight w:val="216"/>
          <w:jc w:val="center"/>
        </w:trPr>
        <w:tc>
          <w:tcPr>
            <w:tcW w:w="1129" w:type="dxa"/>
            <w:tcBorders>
              <w:top w:val="single" w:sz="4" w:space="0" w:color="BFBFBF"/>
            </w:tcBorders>
            <w:shd w:val="clear" w:color="auto" w:fill="auto"/>
            <w:noWrap/>
            <w:vAlign w:val="center"/>
            <w:hideMark/>
          </w:tcPr>
          <w:p w14:paraId="4ABE2C46" w14:textId="0C8B1A5F" w:rsidR="00425DED" w:rsidRPr="0061012B" w:rsidRDefault="00425DED">
            <w:pPr>
              <w:spacing w:after="0" w:line="240" w:lineRule="auto"/>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Topografía</w:t>
            </w:r>
          </w:p>
        </w:tc>
        <w:tc>
          <w:tcPr>
            <w:tcW w:w="2699" w:type="dxa"/>
            <w:tcBorders>
              <w:top w:val="single" w:sz="4" w:space="0" w:color="BFBFBF"/>
              <w:left w:val="nil"/>
            </w:tcBorders>
            <w:shd w:val="clear" w:color="auto" w:fill="auto"/>
            <w:noWrap/>
            <w:vAlign w:val="center"/>
            <w:hideMark/>
          </w:tcPr>
          <w:p w14:paraId="7CB55118" w14:textId="2AA1A9FD" w:rsidR="00425DED" w:rsidRPr="0061012B" w:rsidRDefault="00425DED">
            <w:pPr>
              <w:spacing w:after="0" w:line="240" w:lineRule="auto"/>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Conjunto de datos topográficos a escala 1:50000</w:t>
            </w:r>
          </w:p>
        </w:tc>
        <w:tc>
          <w:tcPr>
            <w:tcW w:w="987" w:type="dxa"/>
            <w:tcBorders>
              <w:top w:val="single" w:sz="4" w:space="0" w:color="BFBFBF"/>
              <w:left w:val="nil"/>
              <w:bottom w:val="single" w:sz="4" w:space="0" w:color="BFBFBF"/>
            </w:tcBorders>
            <w:shd w:val="clear" w:color="auto" w:fill="auto"/>
            <w:noWrap/>
            <w:vAlign w:val="center"/>
            <w:hideMark/>
          </w:tcPr>
          <w:p w14:paraId="52F4F37D"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2022</w:t>
            </w:r>
          </w:p>
        </w:tc>
        <w:tc>
          <w:tcPr>
            <w:tcW w:w="1134" w:type="dxa"/>
            <w:tcBorders>
              <w:top w:val="single" w:sz="4" w:space="0" w:color="BFBFBF"/>
              <w:left w:val="nil"/>
              <w:bottom w:val="single" w:sz="4" w:space="0" w:color="BFBFBF"/>
            </w:tcBorders>
            <w:shd w:val="clear" w:color="auto" w:fill="auto"/>
            <w:noWrap/>
            <w:vAlign w:val="center"/>
            <w:hideMark/>
          </w:tcPr>
          <w:p w14:paraId="1A2DE04C"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64</w:t>
            </w:r>
          </w:p>
        </w:tc>
        <w:tc>
          <w:tcPr>
            <w:tcW w:w="3969" w:type="dxa"/>
            <w:tcBorders>
              <w:top w:val="single" w:sz="4" w:space="0" w:color="BFBFBF" w:themeColor="background1" w:themeShade="BF"/>
              <w:left w:val="nil"/>
              <w:bottom w:val="single" w:sz="4" w:space="0" w:color="BFBFBF" w:themeColor="background1" w:themeShade="BF"/>
            </w:tcBorders>
            <w:shd w:val="clear" w:color="auto" w:fill="auto"/>
            <w:vAlign w:val="center"/>
          </w:tcPr>
          <w:p w14:paraId="6D028DF0"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Error cuadrático medio planimétrico</w:t>
            </w:r>
          </w:p>
        </w:tc>
        <w:tc>
          <w:tcPr>
            <w:tcW w:w="992" w:type="dxa"/>
            <w:tcBorders>
              <w:top w:val="single" w:sz="4" w:space="0" w:color="BFBFBF"/>
              <w:left w:val="nil"/>
              <w:bottom w:val="single" w:sz="4" w:space="0" w:color="BFBFBF"/>
            </w:tcBorders>
            <w:shd w:val="clear" w:color="auto" w:fill="auto"/>
            <w:noWrap/>
            <w:vAlign w:val="center"/>
            <w:hideMark/>
          </w:tcPr>
          <w:p w14:paraId="160C1139" w14:textId="77777777" w:rsidR="00425DED" w:rsidRPr="0061012B" w:rsidRDefault="00425DED">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7.9 m</w:t>
            </w:r>
          </w:p>
        </w:tc>
      </w:tr>
      <w:tr w:rsidR="00620204" w:rsidRPr="0061012B" w14:paraId="33501392" w14:textId="77777777" w:rsidTr="00FF792D">
        <w:trPr>
          <w:trHeight w:val="216"/>
          <w:jc w:val="center"/>
        </w:trPr>
        <w:tc>
          <w:tcPr>
            <w:tcW w:w="1129" w:type="dxa"/>
            <w:vMerge w:val="restart"/>
            <w:tcBorders>
              <w:top w:val="single" w:sz="4" w:space="0" w:color="BFBFBF"/>
            </w:tcBorders>
            <w:shd w:val="clear" w:color="auto" w:fill="FFFFFF" w:themeFill="background1"/>
            <w:noWrap/>
            <w:vAlign w:val="center"/>
          </w:tcPr>
          <w:p w14:paraId="01532CC0" w14:textId="1880FBEB" w:rsidR="00620204" w:rsidRPr="0061012B" w:rsidRDefault="00620204">
            <w:pPr>
              <w:spacing w:after="0" w:line="240" w:lineRule="auto"/>
              <w:rPr>
                <w:rFonts w:ascii="Garamond" w:hAnsi="Garamond" w:cs="Calibri"/>
                <w:color w:val="000000"/>
                <w:sz w:val="20"/>
                <w:szCs w:val="20"/>
              </w:rPr>
            </w:pPr>
            <w:r w:rsidRPr="0061012B">
              <w:rPr>
                <w:rFonts w:ascii="Garamond" w:hAnsi="Garamond" w:cs="Calibri"/>
                <w:color w:val="000000"/>
                <w:sz w:val="20"/>
                <w:szCs w:val="20"/>
              </w:rPr>
              <w:t>Marco de referencia geodésico</w:t>
            </w:r>
          </w:p>
        </w:tc>
        <w:tc>
          <w:tcPr>
            <w:tcW w:w="2699" w:type="dxa"/>
            <w:vMerge w:val="restart"/>
            <w:tcBorders>
              <w:top w:val="single" w:sz="4" w:space="0" w:color="BFBFBF"/>
              <w:left w:val="nil"/>
            </w:tcBorders>
            <w:shd w:val="clear" w:color="auto" w:fill="auto"/>
            <w:noWrap/>
            <w:vAlign w:val="center"/>
          </w:tcPr>
          <w:p w14:paraId="6EE86317" w14:textId="0F8F32E4" w:rsidR="00620204" w:rsidRPr="0061012B" w:rsidRDefault="00620204">
            <w:pPr>
              <w:spacing w:after="0" w:line="240" w:lineRule="auto"/>
              <w:rPr>
                <w:rFonts w:ascii="Garamond" w:hAnsi="Garamond" w:cs="Calibri"/>
                <w:color w:val="000000"/>
                <w:sz w:val="20"/>
                <w:szCs w:val="20"/>
              </w:rPr>
            </w:pPr>
            <w:r w:rsidRPr="0061012B">
              <w:rPr>
                <w:rFonts w:ascii="Garamond" w:hAnsi="Garamond" w:cs="Calibri"/>
                <w:color w:val="000000"/>
                <w:sz w:val="20"/>
                <w:szCs w:val="20"/>
              </w:rPr>
              <w:t>Puntos para Fines Especiales</w:t>
            </w:r>
          </w:p>
        </w:tc>
        <w:tc>
          <w:tcPr>
            <w:tcW w:w="987" w:type="dxa"/>
            <w:tcBorders>
              <w:top w:val="single" w:sz="4" w:space="0" w:color="BFBFBF"/>
              <w:left w:val="nil"/>
              <w:bottom w:val="single" w:sz="4" w:space="0" w:color="BFBFBF"/>
            </w:tcBorders>
            <w:shd w:val="clear" w:color="auto" w:fill="auto"/>
            <w:noWrap/>
            <w:vAlign w:val="center"/>
          </w:tcPr>
          <w:p w14:paraId="642E630A"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134" w:type="dxa"/>
            <w:tcBorders>
              <w:top w:val="single" w:sz="4" w:space="0" w:color="BFBFBF"/>
              <w:left w:val="nil"/>
              <w:bottom w:val="single" w:sz="4" w:space="0" w:color="BFBFBF"/>
            </w:tcBorders>
            <w:shd w:val="clear" w:color="auto" w:fill="auto"/>
            <w:noWrap/>
            <w:vAlign w:val="center"/>
          </w:tcPr>
          <w:p w14:paraId="629A5B69"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773</w:t>
            </w:r>
          </w:p>
        </w:tc>
        <w:tc>
          <w:tcPr>
            <w:tcW w:w="3969" w:type="dxa"/>
            <w:vMerge w:val="restart"/>
            <w:tcBorders>
              <w:top w:val="single" w:sz="4" w:space="0" w:color="BFBFBF" w:themeColor="background1" w:themeShade="BF"/>
              <w:left w:val="nil"/>
              <w:bottom w:val="single" w:sz="4" w:space="0" w:color="auto"/>
            </w:tcBorders>
            <w:shd w:val="clear" w:color="auto" w:fill="auto"/>
            <w:vAlign w:val="center"/>
          </w:tcPr>
          <w:p w14:paraId="56B1B0BF"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Círculo de error probable al 95%</w:t>
            </w:r>
          </w:p>
        </w:tc>
        <w:tc>
          <w:tcPr>
            <w:tcW w:w="992" w:type="dxa"/>
            <w:tcBorders>
              <w:top w:val="single" w:sz="4" w:space="0" w:color="BFBFBF"/>
              <w:left w:val="nil"/>
              <w:bottom w:val="single" w:sz="4" w:space="0" w:color="BFBFBF"/>
            </w:tcBorders>
            <w:shd w:val="clear" w:color="auto" w:fill="auto"/>
            <w:noWrap/>
            <w:vAlign w:val="center"/>
          </w:tcPr>
          <w:p w14:paraId="79D674E9"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0.021 m</w:t>
            </w:r>
          </w:p>
        </w:tc>
      </w:tr>
      <w:tr w:rsidR="00620204" w:rsidRPr="0061012B" w14:paraId="609B81AC"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220B8482" w14:textId="77777777" w:rsidR="00620204" w:rsidRPr="0061012B" w:rsidRDefault="00620204">
            <w:pPr>
              <w:spacing w:after="0" w:line="240" w:lineRule="auto"/>
              <w:rPr>
                <w:rFonts w:ascii="Garamond" w:eastAsia="Times New Roman" w:hAnsi="Garamond" w:cs="Calibri"/>
                <w:color w:val="000000"/>
                <w:sz w:val="20"/>
                <w:szCs w:val="20"/>
                <w:lang w:eastAsia="es-MX"/>
              </w:rPr>
            </w:pPr>
          </w:p>
        </w:tc>
        <w:tc>
          <w:tcPr>
            <w:tcW w:w="2699" w:type="dxa"/>
            <w:vMerge/>
            <w:tcBorders>
              <w:left w:val="nil"/>
            </w:tcBorders>
            <w:shd w:val="clear" w:color="auto" w:fill="auto"/>
            <w:noWrap/>
            <w:vAlign w:val="center"/>
          </w:tcPr>
          <w:p w14:paraId="2EE7391B" w14:textId="77777777" w:rsidR="00620204" w:rsidRPr="0061012B" w:rsidRDefault="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77869E64"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2023</w:t>
            </w:r>
          </w:p>
        </w:tc>
        <w:tc>
          <w:tcPr>
            <w:tcW w:w="1134" w:type="dxa"/>
            <w:tcBorders>
              <w:top w:val="single" w:sz="4" w:space="0" w:color="BFBFBF"/>
              <w:left w:val="nil"/>
              <w:bottom w:val="single" w:sz="4" w:space="0" w:color="BFBFBF"/>
            </w:tcBorders>
            <w:shd w:val="clear" w:color="auto" w:fill="auto"/>
            <w:noWrap/>
            <w:vAlign w:val="center"/>
          </w:tcPr>
          <w:p w14:paraId="02775D84"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624</w:t>
            </w:r>
          </w:p>
        </w:tc>
        <w:tc>
          <w:tcPr>
            <w:tcW w:w="3969" w:type="dxa"/>
            <w:vMerge/>
            <w:tcBorders>
              <w:left w:val="nil"/>
              <w:bottom w:val="single" w:sz="4" w:space="0" w:color="BFBFBF" w:themeColor="background1" w:themeShade="BF"/>
            </w:tcBorders>
            <w:shd w:val="clear" w:color="auto" w:fill="auto"/>
            <w:vAlign w:val="center"/>
          </w:tcPr>
          <w:p w14:paraId="384B35BE"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p>
        </w:tc>
        <w:tc>
          <w:tcPr>
            <w:tcW w:w="992" w:type="dxa"/>
            <w:tcBorders>
              <w:top w:val="single" w:sz="4" w:space="0" w:color="BFBFBF"/>
              <w:left w:val="nil"/>
              <w:bottom w:val="single" w:sz="4" w:space="0" w:color="BFBFBF"/>
            </w:tcBorders>
            <w:shd w:val="clear" w:color="auto" w:fill="auto"/>
            <w:noWrap/>
            <w:vAlign w:val="center"/>
          </w:tcPr>
          <w:p w14:paraId="38599AFC"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0.024 m</w:t>
            </w:r>
          </w:p>
        </w:tc>
      </w:tr>
      <w:tr w:rsidR="00620204" w:rsidRPr="0061012B" w14:paraId="3C536BA8"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2C93EFBF"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2699" w:type="dxa"/>
            <w:vMerge/>
            <w:tcBorders>
              <w:left w:val="nil"/>
            </w:tcBorders>
            <w:shd w:val="clear" w:color="auto" w:fill="auto"/>
            <w:noWrap/>
            <w:vAlign w:val="center"/>
          </w:tcPr>
          <w:p w14:paraId="42614423"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287FBB19" w14:textId="6847C302"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134" w:type="dxa"/>
            <w:tcBorders>
              <w:top w:val="single" w:sz="4" w:space="0" w:color="BFBFBF"/>
              <w:left w:val="nil"/>
              <w:bottom w:val="single" w:sz="4" w:space="0" w:color="BFBFBF"/>
            </w:tcBorders>
            <w:shd w:val="clear" w:color="auto" w:fill="auto"/>
            <w:noWrap/>
            <w:vAlign w:val="center"/>
          </w:tcPr>
          <w:p w14:paraId="47397364" w14:textId="2411189E"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773</w:t>
            </w:r>
          </w:p>
        </w:tc>
        <w:tc>
          <w:tcPr>
            <w:tcW w:w="3969" w:type="dxa"/>
            <w:vMerge w:val="restart"/>
            <w:tcBorders>
              <w:top w:val="single" w:sz="4" w:space="0" w:color="BFBFBF" w:themeColor="background1" w:themeShade="BF"/>
              <w:left w:val="nil"/>
              <w:bottom w:val="single" w:sz="4" w:space="0" w:color="auto"/>
            </w:tcBorders>
            <w:shd w:val="clear" w:color="auto" w:fill="auto"/>
            <w:vAlign w:val="center"/>
          </w:tcPr>
          <w:p w14:paraId="020C9DD8" w14:textId="22669ACD" w:rsidR="00620204" w:rsidRPr="0061012B" w:rsidRDefault="00620204" w:rsidP="00620204">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 xml:space="preserve">Exactitud de </w:t>
            </w:r>
            <w:r w:rsidR="00DE2833" w:rsidRPr="0061012B">
              <w:rPr>
                <w:rFonts w:ascii="Garamond" w:eastAsia="Times New Roman" w:hAnsi="Garamond" w:cs="Calibri"/>
                <w:color w:val="000000"/>
                <w:sz w:val="20"/>
                <w:szCs w:val="20"/>
                <w:lang w:eastAsia="es-MX"/>
              </w:rPr>
              <w:t xml:space="preserve">posicionamiento vertical </w:t>
            </w:r>
            <w:r w:rsidRPr="0061012B">
              <w:rPr>
                <w:rFonts w:ascii="Garamond" w:eastAsia="Times New Roman" w:hAnsi="Garamond" w:cs="Calibri"/>
                <w:color w:val="000000"/>
                <w:sz w:val="20"/>
                <w:szCs w:val="20"/>
                <w:lang w:eastAsia="es-MX"/>
              </w:rPr>
              <w:t>al 95%</w:t>
            </w:r>
          </w:p>
        </w:tc>
        <w:tc>
          <w:tcPr>
            <w:tcW w:w="992" w:type="dxa"/>
            <w:tcBorders>
              <w:top w:val="single" w:sz="4" w:space="0" w:color="BFBFBF"/>
              <w:left w:val="nil"/>
              <w:bottom w:val="single" w:sz="4" w:space="0" w:color="BFBFBF"/>
            </w:tcBorders>
            <w:shd w:val="clear" w:color="auto" w:fill="auto"/>
            <w:noWrap/>
            <w:vAlign w:val="center"/>
          </w:tcPr>
          <w:p w14:paraId="39102B21" w14:textId="52556AEA"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0.044</w:t>
            </w:r>
            <w:r w:rsidR="003A2E88" w:rsidRPr="0061012B">
              <w:rPr>
                <w:rFonts w:ascii="Garamond" w:hAnsi="Garamond" w:cs="Calibri"/>
                <w:color w:val="000000"/>
                <w:sz w:val="20"/>
                <w:szCs w:val="20"/>
              </w:rPr>
              <w:t xml:space="preserve"> </w:t>
            </w:r>
            <w:r w:rsidRPr="0061012B">
              <w:rPr>
                <w:rFonts w:ascii="Garamond" w:hAnsi="Garamond" w:cs="Calibri"/>
                <w:color w:val="000000"/>
                <w:sz w:val="20"/>
                <w:szCs w:val="20"/>
              </w:rPr>
              <w:t>m</w:t>
            </w:r>
          </w:p>
        </w:tc>
      </w:tr>
      <w:tr w:rsidR="00620204" w:rsidRPr="0061012B" w14:paraId="12A24930"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3C4E3A72"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2699" w:type="dxa"/>
            <w:vMerge/>
            <w:tcBorders>
              <w:left w:val="nil"/>
            </w:tcBorders>
            <w:shd w:val="clear" w:color="auto" w:fill="auto"/>
            <w:noWrap/>
            <w:vAlign w:val="center"/>
          </w:tcPr>
          <w:p w14:paraId="2024F2CB"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4483253F" w14:textId="3EEA26A9"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2023</w:t>
            </w:r>
          </w:p>
        </w:tc>
        <w:tc>
          <w:tcPr>
            <w:tcW w:w="1134" w:type="dxa"/>
            <w:tcBorders>
              <w:top w:val="single" w:sz="4" w:space="0" w:color="BFBFBF"/>
              <w:left w:val="nil"/>
              <w:bottom w:val="single" w:sz="4" w:space="0" w:color="BFBFBF"/>
            </w:tcBorders>
            <w:shd w:val="clear" w:color="auto" w:fill="auto"/>
            <w:noWrap/>
            <w:vAlign w:val="center"/>
          </w:tcPr>
          <w:p w14:paraId="7638B102" w14:textId="37DA0340"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624</w:t>
            </w:r>
          </w:p>
        </w:tc>
        <w:tc>
          <w:tcPr>
            <w:tcW w:w="3969" w:type="dxa"/>
            <w:vMerge/>
            <w:tcBorders>
              <w:left w:val="nil"/>
              <w:bottom w:val="single" w:sz="4" w:space="0" w:color="BFBFBF" w:themeColor="background1" w:themeShade="BF"/>
            </w:tcBorders>
            <w:shd w:val="clear" w:color="auto" w:fill="auto"/>
            <w:vAlign w:val="center"/>
          </w:tcPr>
          <w:p w14:paraId="77EB92BC" w14:textId="77777777" w:rsidR="00620204" w:rsidRPr="0061012B" w:rsidRDefault="00620204" w:rsidP="00620204">
            <w:pPr>
              <w:spacing w:after="0" w:line="240" w:lineRule="auto"/>
              <w:jc w:val="center"/>
              <w:rPr>
                <w:rFonts w:ascii="Garamond" w:eastAsia="Times New Roman" w:hAnsi="Garamond" w:cs="Calibri"/>
                <w:color w:val="000000"/>
                <w:sz w:val="20"/>
                <w:szCs w:val="20"/>
                <w:lang w:eastAsia="es-MX"/>
              </w:rPr>
            </w:pPr>
          </w:p>
        </w:tc>
        <w:tc>
          <w:tcPr>
            <w:tcW w:w="992" w:type="dxa"/>
            <w:tcBorders>
              <w:top w:val="single" w:sz="4" w:space="0" w:color="BFBFBF"/>
              <w:left w:val="nil"/>
              <w:bottom w:val="single" w:sz="4" w:space="0" w:color="BFBFBF"/>
            </w:tcBorders>
            <w:shd w:val="clear" w:color="auto" w:fill="auto"/>
            <w:noWrap/>
            <w:vAlign w:val="center"/>
          </w:tcPr>
          <w:p w14:paraId="23691DA0" w14:textId="31F36535"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eastAsia="Times New Roman" w:hAnsi="Garamond" w:cs="Calibri"/>
                <w:color w:val="000000"/>
                <w:sz w:val="20"/>
                <w:szCs w:val="20"/>
                <w:lang w:eastAsia="es-MX"/>
              </w:rPr>
              <w:t>0.049</w:t>
            </w:r>
            <w:r w:rsidR="003A2E88" w:rsidRPr="0061012B">
              <w:rPr>
                <w:rFonts w:ascii="Garamond" w:eastAsia="Times New Roman" w:hAnsi="Garamond" w:cs="Calibri"/>
                <w:color w:val="000000"/>
                <w:sz w:val="20"/>
                <w:szCs w:val="20"/>
                <w:lang w:eastAsia="es-MX"/>
              </w:rPr>
              <w:t xml:space="preserve"> </w:t>
            </w:r>
            <w:r w:rsidRPr="0061012B">
              <w:rPr>
                <w:rFonts w:ascii="Garamond" w:eastAsia="Times New Roman" w:hAnsi="Garamond" w:cs="Calibri"/>
                <w:color w:val="000000"/>
                <w:sz w:val="20"/>
                <w:szCs w:val="20"/>
                <w:lang w:eastAsia="es-MX"/>
              </w:rPr>
              <w:t>m</w:t>
            </w:r>
          </w:p>
        </w:tc>
      </w:tr>
      <w:tr w:rsidR="00620204" w:rsidRPr="0061012B" w14:paraId="2C3DE09A"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48CA924E" w14:textId="77777777" w:rsidR="00620204" w:rsidRPr="0061012B" w:rsidRDefault="00620204">
            <w:pPr>
              <w:spacing w:after="0" w:line="240" w:lineRule="auto"/>
              <w:rPr>
                <w:rFonts w:ascii="Garamond" w:eastAsia="Times New Roman" w:hAnsi="Garamond" w:cs="Calibri"/>
                <w:color w:val="000000"/>
                <w:sz w:val="20"/>
                <w:szCs w:val="20"/>
                <w:lang w:eastAsia="es-MX"/>
              </w:rPr>
            </w:pPr>
          </w:p>
        </w:tc>
        <w:tc>
          <w:tcPr>
            <w:tcW w:w="2699" w:type="dxa"/>
            <w:vMerge w:val="restart"/>
            <w:tcBorders>
              <w:left w:val="nil"/>
              <w:bottom w:val="single" w:sz="4" w:space="0" w:color="BFBFBF"/>
            </w:tcBorders>
            <w:shd w:val="clear" w:color="auto" w:fill="auto"/>
            <w:noWrap/>
            <w:vAlign w:val="center"/>
          </w:tcPr>
          <w:p w14:paraId="1E5B869E" w14:textId="3B2FDE12" w:rsidR="00620204" w:rsidRPr="0061012B" w:rsidRDefault="00620204">
            <w:pPr>
              <w:spacing w:after="0" w:line="240" w:lineRule="auto"/>
              <w:rPr>
                <w:rFonts w:ascii="Garamond" w:hAnsi="Garamond" w:cs="Calibri"/>
                <w:color w:val="000000"/>
                <w:sz w:val="20"/>
                <w:szCs w:val="20"/>
              </w:rPr>
            </w:pPr>
            <w:r w:rsidRPr="0061012B">
              <w:rPr>
                <w:rFonts w:ascii="Garamond" w:hAnsi="Garamond" w:cs="Calibri"/>
                <w:color w:val="000000"/>
                <w:sz w:val="20"/>
                <w:szCs w:val="20"/>
              </w:rPr>
              <w:t>Red Geodésica Nacional Pasiva (Horizontal)</w:t>
            </w:r>
          </w:p>
        </w:tc>
        <w:tc>
          <w:tcPr>
            <w:tcW w:w="987" w:type="dxa"/>
            <w:tcBorders>
              <w:top w:val="single" w:sz="4" w:space="0" w:color="BFBFBF"/>
              <w:left w:val="nil"/>
              <w:bottom w:val="single" w:sz="4" w:space="0" w:color="BFBFBF"/>
            </w:tcBorders>
            <w:shd w:val="clear" w:color="auto" w:fill="auto"/>
            <w:noWrap/>
            <w:vAlign w:val="center"/>
          </w:tcPr>
          <w:p w14:paraId="38480B6E"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134" w:type="dxa"/>
            <w:tcBorders>
              <w:top w:val="single" w:sz="4" w:space="0" w:color="BFBFBF"/>
              <w:left w:val="nil"/>
              <w:bottom w:val="single" w:sz="4" w:space="0" w:color="BFBFBF"/>
            </w:tcBorders>
            <w:shd w:val="clear" w:color="auto" w:fill="auto"/>
            <w:noWrap/>
            <w:vAlign w:val="center"/>
          </w:tcPr>
          <w:p w14:paraId="3EEB3EFF"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4108</w:t>
            </w:r>
          </w:p>
        </w:tc>
        <w:tc>
          <w:tcPr>
            <w:tcW w:w="3969" w:type="dxa"/>
            <w:vMerge w:val="restart"/>
            <w:tcBorders>
              <w:top w:val="single" w:sz="4" w:space="0" w:color="BFBFBF" w:themeColor="background1" w:themeShade="BF"/>
              <w:left w:val="nil"/>
              <w:bottom w:val="single" w:sz="4" w:space="0" w:color="auto"/>
            </w:tcBorders>
            <w:shd w:val="clear" w:color="auto" w:fill="auto"/>
            <w:vAlign w:val="center"/>
          </w:tcPr>
          <w:p w14:paraId="61DC93C7"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Círculo de error probable al 95%</w:t>
            </w:r>
          </w:p>
        </w:tc>
        <w:tc>
          <w:tcPr>
            <w:tcW w:w="992" w:type="dxa"/>
            <w:tcBorders>
              <w:top w:val="single" w:sz="4" w:space="0" w:color="BFBFBF"/>
              <w:left w:val="nil"/>
              <w:bottom w:val="single" w:sz="4" w:space="0" w:color="BFBFBF"/>
            </w:tcBorders>
            <w:shd w:val="clear" w:color="auto" w:fill="auto"/>
            <w:noWrap/>
            <w:vAlign w:val="center"/>
          </w:tcPr>
          <w:p w14:paraId="661E1CA5" w14:textId="77777777" w:rsidR="00620204" w:rsidRPr="0061012B" w:rsidRDefault="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0.018 m</w:t>
            </w:r>
          </w:p>
        </w:tc>
      </w:tr>
      <w:tr w:rsidR="00620204" w:rsidRPr="0061012B" w14:paraId="62017D21"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5CDE34AF" w14:textId="77777777" w:rsidR="00620204" w:rsidRPr="0061012B" w:rsidRDefault="00620204">
            <w:pPr>
              <w:spacing w:after="0" w:line="240" w:lineRule="auto"/>
              <w:rPr>
                <w:rFonts w:ascii="Garamond" w:eastAsia="Times New Roman" w:hAnsi="Garamond" w:cs="Calibri"/>
                <w:color w:val="000000"/>
                <w:sz w:val="20"/>
                <w:szCs w:val="20"/>
                <w:lang w:eastAsia="es-MX"/>
              </w:rPr>
            </w:pPr>
          </w:p>
        </w:tc>
        <w:tc>
          <w:tcPr>
            <w:tcW w:w="2699" w:type="dxa"/>
            <w:vMerge/>
            <w:tcBorders>
              <w:left w:val="nil"/>
              <w:bottom w:val="single" w:sz="4" w:space="0" w:color="BFBFBF"/>
            </w:tcBorders>
            <w:shd w:val="clear" w:color="auto" w:fill="auto"/>
            <w:noWrap/>
            <w:vAlign w:val="center"/>
          </w:tcPr>
          <w:p w14:paraId="5397F504" w14:textId="77777777" w:rsidR="00620204" w:rsidRPr="0061012B" w:rsidRDefault="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079F7352"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2023</w:t>
            </w:r>
          </w:p>
        </w:tc>
        <w:tc>
          <w:tcPr>
            <w:tcW w:w="1134" w:type="dxa"/>
            <w:tcBorders>
              <w:top w:val="single" w:sz="4" w:space="0" w:color="BFBFBF"/>
              <w:left w:val="nil"/>
              <w:bottom w:val="single" w:sz="4" w:space="0" w:color="BFBFBF"/>
            </w:tcBorders>
            <w:shd w:val="clear" w:color="auto" w:fill="auto"/>
            <w:noWrap/>
            <w:vAlign w:val="center"/>
          </w:tcPr>
          <w:p w14:paraId="0B17D49A"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3264</w:t>
            </w:r>
          </w:p>
        </w:tc>
        <w:tc>
          <w:tcPr>
            <w:tcW w:w="3969" w:type="dxa"/>
            <w:vMerge/>
            <w:tcBorders>
              <w:top w:val="single" w:sz="4" w:space="0" w:color="BFBFBF"/>
              <w:left w:val="nil"/>
              <w:bottom w:val="single" w:sz="4" w:space="0" w:color="BFBFBF" w:themeColor="background1" w:themeShade="BF"/>
            </w:tcBorders>
            <w:shd w:val="clear" w:color="auto" w:fill="auto"/>
            <w:vAlign w:val="center"/>
          </w:tcPr>
          <w:p w14:paraId="2C43DA2F"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p>
        </w:tc>
        <w:tc>
          <w:tcPr>
            <w:tcW w:w="992" w:type="dxa"/>
            <w:tcBorders>
              <w:top w:val="single" w:sz="4" w:space="0" w:color="BFBFBF"/>
              <w:left w:val="nil"/>
              <w:bottom w:val="single" w:sz="4" w:space="0" w:color="BFBFBF"/>
            </w:tcBorders>
            <w:shd w:val="clear" w:color="auto" w:fill="auto"/>
            <w:noWrap/>
            <w:vAlign w:val="center"/>
          </w:tcPr>
          <w:p w14:paraId="4216066E" w14:textId="77777777" w:rsidR="00620204" w:rsidRPr="0061012B" w:rsidRDefault="00620204">
            <w:pPr>
              <w:spacing w:after="0" w:line="240" w:lineRule="auto"/>
              <w:jc w:val="center"/>
              <w:rPr>
                <w:rFonts w:ascii="Garamond" w:eastAsia="Times New Roman" w:hAnsi="Garamond" w:cs="Calibri"/>
                <w:color w:val="000000"/>
                <w:sz w:val="20"/>
                <w:szCs w:val="20"/>
                <w:lang w:eastAsia="es-MX"/>
              </w:rPr>
            </w:pPr>
            <w:r w:rsidRPr="0061012B">
              <w:rPr>
                <w:rFonts w:ascii="Garamond" w:hAnsi="Garamond" w:cs="Calibri"/>
                <w:color w:val="000000"/>
                <w:sz w:val="20"/>
                <w:szCs w:val="20"/>
              </w:rPr>
              <w:t>0.021 m</w:t>
            </w:r>
          </w:p>
        </w:tc>
      </w:tr>
      <w:tr w:rsidR="00620204" w:rsidRPr="0061012B" w14:paraId="5E421E42" w14:textId="77777777" w:rsidTr="00FF792D">
        <w:trPr>
          <w:trHeight w:val="216"/>
          <w:jc w:val="center"/>
        </w:trPr>
        <w:tc>
          <w:tcPr>
            <w:tcW w:w="1129" w:type="dxa"/>
            <w:vMerge/>
            <w:tcBorders>
              <w:top w:val="single" w:sz="4" w:space="0" w:color="BFBFBF"/>
            </w:tcBorders>
            <w:shd w:val="clear" w:color="auto" w:fill="FFFFFF" w:themeFill="background1"/>
            <w:noWrap/>
            <w:vAlign w:val="center"/>
          </w:tcPr>
          <w:p w14:paraId="24E88A57"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2699" w:type="dxa"/>
            <w:vMerge/>
            <w:tcBorders>
              <w:left w:val="nil"/>
              <w:bottom w:val="single" w:sz="4" w:space="0" w:color="BFBFBF"/>
            </w:tcBorders>
            <w:shd w:val="clear" w:color="auto" w:fill="auto"/>
            <w:noWrap/>
            <w:vAlign w:val="center"/>
          </w:tcPr>
          <w:p w14:paraId="080FEC0C"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65DF43ED" w14:textId="4AD58B13"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134" w:type="dxa"/>
            <w:tcBorders>
              <w:top w:val="single" w:sz="4" w:space="0" w:color="BFBFBF"/>
              <w:left w:val="nil"/>
              <w:bottom w:val="single" w:sz="4" w:space="0" w:color="BFBFBF"/>
            </w:tcBorders>
            <w:shd w:val="clear" w:color="auto" w:fill="auto"/>
            <w:noWrap/>
            <w:vAlign w:val="center"/>
          </w:tcPr>
          <w:p w14:paraId="413DC472" w14:textId="7D452FF1"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773</w:t>
            </w:r>
          </w:p>
        </w:tc>
        <w:tc>
          <w:tcPr>
            <w:tcW w:w="3969" w:type="dxa"/>
            <w:vMerge w:val="restart"/>
            <w:tcBorders>
              <w:top w:val="single" w:sz="4" w:space="0" w:color="BFBFBF" w:themeColor="background1" w:themeShade="BF"/>
              <w:left w:val="nil"/>
              <w:bottom w:val="single" w:sz="4" w:space="0" w:color="auto"/>
            </w:tcBorders>
            <w:shd w:val="clear" w:color="auto" w:fill="auto"/>
            <w:vAlign w:val="center"/>
          </w:tcPr>
          <w:p w14:paraId="79A63216" w14:textId="2463C752" w:rsidR="00620204" w:rsidRPr="0061012B" w:rsidRDefault="00620204" w:rsidP="00620204">
            <w:pPr>
              <w:spacing w:after="0" w:line="240" w:lineRule="auto"/>
              <w:jc w:val="center"/>
              <w:rPr>
                <w:rFonts w:ascii="Garamond" w:eastAsia="Times New Roman" w:hAnsi="Garamond" w:cs="Calibri"/>
                <w:color w:val="000000"/>
                <w:sz w:val="20"/>
                <w:szCs w:val="20"/>
                <w:lang w:eastAsia="es-MX"/>
              </w:rPr>
            </w:pPr>
            <w:r w:rsidRPr="0061012B">
              <w:rPr>
                <w:rFonts w:ascii="Garamond" w:eastAsia="Times New Roman" w:hAnsi="Garamond" w:cs="Calibri"/>
                <w:color w:val="000000"/>
                <w:sz w:val="20"/>
                <w:szCs w:val="20"/>
                <w:lang w:eastAsia="es-MX"/>
              </w:rPr>
              <w:t xml:space="preserve">Exactitud de </w:t>
            </w:r>
            <w:r w:rsidR="00DE2833" w:rsidRPr="0061012B">
              <w:rPr>
                <w:rFonts w:ascii="Garamond" w:eastAsia="Times New Roman" w:hAnsi="Garamond" w:cs="Calibri"/>
                <w:color w:val="000000"/>
                <w:sz w:val="20"/>
                <w:szCs w:val="20"/>
                <w:lang w:eastAsia="es-MX"/>
              </w:rPr>
              <w:t xml:space="preserve">posicionamiento vertical </w:t>
            </w:r>
            <w:r w:rsidRPr="0061012B">
              <w:rPr>
                <w:rFonts w:ascii="Garamond" w:eastAsia="Times New Roman" w:hAnsi="Garamond" w:cs="Calibri"/>
                <w:color w:val="000000"/>
                <w:sz w:val="20"/>
                <w:szCs w:val="20"/>
                <w:lang w:eastAsia="es-MX"/>
              </w:rPr>
              <w:t>al 95%</w:t>
            </w:r>
          </w:p>
        </w:tc>
        <w:tc>
          <w:tcPr>
            <w:tcW w:w="992" w:type="dxa"/>
            <w:tcBorders>
              <w:top w:val="single" w:sz="4" w:space="0" w:color="BFBFBF"/>
              <w:left w:val="nil"/>
              <w:bottom w:val="single" w:sz="4" w:space="0" w:color="BFBFBF"/>
            </w:tcBorders>
            <w:shd w:val="clear" w:color="auto" w:fill="auto"/>
            <w:noWrap/>
            <w:vAlign w:val="center"/>
          </w:tcPr>
          <w:p w14:paraId="77DC6CAD" w14:textId="617E5FB2"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0.038</w:t>
            </w:r>
            <w:r w:rsidR="003A2E88" w:rsidRPr="0061012B">
              <w:rPr>
                <w:rFonts w:ascii="Garamond" w:hAnsi="Garamond" w:cs="Calibri"/>
                <w:color w:val="000000"/>
                <w:sz w:val="20"/>
                <w:szCs w:val="20"/>
              </w:rPr>
              <w:t xml:space="preserve"> </w:t>
            </w:r>
            <w:r w:rsidRPr="0061012B">
              <w:rPr>
                <w:rFonts w:ascii="Garamond" w:hAnsi="Garamond" w:cs="Calibri"/>
                <w:color w:val="000000"/>
                <w:sz w:val="20"/>
                <w:szCs w:val="20"/>
              </w:rPr>
              <w:t>m</w:t>
            </w:r>
          </w:p>
        </w:tc>
      </w:tr>
      <w:tr w:rsidR="00620204" w:rsidRPr="0061012B" w14:paraId="68395786" w14:textId="77777777" w:rsidTr="00FF792D">
        <w:trPr>
          <w:trHeight w:val="216"/>
          <w:jc w:val="center"/>
        </w:trPr>
        <w:tc>
          <w:tcPr>
            <w:tcW w:w="1129" w:type="dxa"/>
            <w:vMerge/>
            <w:tcBorders>
              <w:top w:val="single" w:sz="4" w:space="0" w:color="BFBFBF"/>
              <w:bottom w:val="single" w:sz="4" w:space="0" w:color="BFBFBF" w:themeColor="background1" w:themeShade="BF"/>
            </w:tcBorders>
            <w:shd w:val="clear" w:color="auto" w:fill="FFFFFF" w:themeFill="background1"/>
            <w:noWrap/>
            <w:vAlign w:val="center"/>
          </w:tcPr>
          <w:p w14:paraId="5DCC09B3"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2699" w:type="dxa"/>
            <w:vMerge/>
            <w:tcBorders>
              <w:left w:val="nil"/>
              <w:bottom w:val="single" w:sz="4" w:space="0" w:color="BFBFBF"/>
            </w:tcBorders>
            <w:shd w:val="clear" w:color="auto" w:fill="auto"/>
            <w:noWrap/>
            <w:vAlign w:val="center"/>
          </w:tcPr>
          <w:p w14:paraId="779CF7A2" w14:textId="77777777" w:rsidR="00620204" w:rsidRPr="0061012B" w:rsidRDefault="00620204" w:rsidP="00620204">
            <w:pPr>
              <w:spacing w:after="0" w:line="240" w:lineRule="auto"/>
              <w:rPr>
                <w:rFonts w:ascii="Garamond" w:eastAsia="Times New Roman" w:hAnsi="Garamond" w:cs="Calibri"/>
                <w:color w:val="000000"/>
                <w:sz w:val="20"/>
                <w:szCs w:val="20"/>
                <w:lang w:eastAsia="es-MX"/>
              </w:rPr>
            </w:pPr>
          </w:p>
        </w:tc>
        <w:tc>
          <w:tcPr>
            <w:tcW w:w="987" w:type="dxa"/>
            <w:tcBorders>
              <w:top w:val="single" w:sz="4" w:space="0" w:color="BFBFBF"/>
              <w:left w:val="nil"/>
              <w:bottom w:val="single" w:sz="4" w:space="0" w:color="BFBFBF"/>
            </w:tcBorders>
            <w:shd w:val="clear" w:color="auto" w:fill="auto"/>
            <w:noWrap/>
            <w:vAlign w:val="center"/>
          </w:tcPr>
          <w:p w14:paraId="5BD4F95C" w14:textId="624D1ACC"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2023</w:t>
            </w:r>
          </w:p>
        </w:tc>
        <w:tc>
          <w:tcPr>
            <w:tcW w:w="1134" w:type="dxa"/>
            <w:tcBorders>
              <w:top w:val="single" w:sz="4" w:space="0" w:color="BFBFBF"/>
              <w:left w:val="nil"/>
              <w:bottom w:val="single" w:sz="4" w:space="0" w:color="BFBFBF"/>
            </w:tcBorders>
            <w:shd w:val="clear" w:color="auto" w:fill="auto"/>
            <w:noWrap/>
            <w:vAlign w:val="center"/>
          </w:tcPr>
          <w:p w14:paraId="146F33D6" w14:textId="4309F3D4"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hAnsi="Garamond" w:cs="Calibri"/>
                <w:color w:val="000000"/>
                <w:sz w:val="20"/>
                <w:szCs w:val="20"/>
              </w:rPr>
              <w:t>624</w:t>
            </w:r>
          </w:p>
        </w:tc>
        <w:tc>
          <w:tcPr>
            <w:tcW w:w="3969" w:type="dxa"/>
            <w:vMerge/>
            <w:tcBorders>
              <w:top w:val="single" w:sz="4" w:space="0" w:color="BFBFBF"/>
              <w:left w:val="nil"/>
              <w:bottom w:val="single" w:sz="4" w:space="0" w:color="BFBFBF" w:themeColor="background1" w:themeShade="BF"/>
            </w:tcBorders>
            <w:shd w:val="clear" w:color="auto" w:fill="auto"/>
            <w:vAlign w:val="center"/>
          </w:tcPr>
          <w:p w14:paraId="0924646C" w14:textId="77777777" w:rsidR="00620204" w:rsidRPr="0061012B" w:rsidRDefault="00620204" w:rsidP="00620204">
            <w:pPr>
              <w:spacing w:after="0" w:line="240" w:lineRule="auto"/>
              <w:jc w:val="center"/>
              <w:rPr>
                <w:rFonts w:ascii="Garamond" w:eastAsia="Times New Roman" w:hAnsi="Garamond" w:cs="Calibri"/>
                <w:color w:val="000000"/>
                <w:sz w:val="20"/>
                <w:szCs w:val="20"/>
                <w:lang w:eastAsia="es-MX"/>
              </w:rPr>
            </w:pPr>
          </w:p>
        </w:tc>
        <w:tc>
          <w:tcPr>
            <w:tcW w:w="992" w:type="dxa"/>
            <w:tcBorders>
              <w:top w:val="single" w:sz="4" w:space="0" w:color="BFBFBF"/>
              <w:left w:val="nil"/>
              <w:bottom w:val="single" w:sz="4" w:space="0" w:color="BFBFBF"/>
            </w:tcBorders>
            <w:shd w:val="clear" w:color="auto" w:fill="auto"/>
            <w:noWrap/>
            <w:vAlign w:val="center"/>
          </w:tcPr>
          <w:p w14:paraId="542D483E" w14:textId="482A0768" w:rsidR="00620204" w:rsidRPr="0061012B" w:rsidRDefault="00620204" w:rsidP="00620204">
            <w:pPr>
              <w:spacing w:after="0" w:line="240" w:lineRule="auto"/>
              <w:jc w:val="center"/>
              <w:rPr>
                <w:rFonts w:ascii="Garamond" w:hAnsi="Garamond" w:cs="Calibri"/>
                <w:color w:val="000000"/>
                <w:sz w:val="20"/>
                <w:szCs w:val="20"/>
              </w:rPr>
            </w:pPr>
            <w:r w:rsidRPr="0061012B">
              <w:rPr>
                <w:rFonts w:ascii="Garamond" w:eastAsia="Times New Roman" w:hAnsi="Garamond" w:cs="Calibri"/>
                <w:color w:val="000000"/>
                <w:sz w:val="20"/>
                <w:szCs w:val="20"/>
                <w:lang w:eastAsia="es-MX"/>
              </w:rPr>
              <w:t>0.043</w:t>
            </w:r>
            <w:r w:rsidR="003A2E88" w:rsidRPr="0061012B">
              <w:rPr>
                <w:rFonts w:ascii="Garamond" w:eastAsia="Times New Roman" w:hAnsi="Garamond" w:cs="Calibri"/>
                <w:color w:val="000000"/>
                <w:sz w:val="20"/>
                <w:szCs w:val="20"/>
                <w:lang w:eastAsia="es-MX"/>
              </w:rPr>
              <w:t xml:space="preserve"> </w:t>
            </w:r>
            <w:r w:rsidRPr="0061012B">
              <w:rPr>
                <w:rFonts w:ascii="Garamond" w:eastAsia="Times New Roman" w:hAnsi="Garamond" w:cs="Calibri"/>
                <w:color w:val="000000"/>
                <w:sz w:val="20"/>
                <w:szCs w:val="20"/>
                <w:lang w:eastAsia="es-MX"/>
              </w:rPr>
              <w:t>m</w:t>
            </w:r>
          </w:p>
        </w:tc>
      </w:tr>
    </w:tbl>
    <w:p w14:paraId="6E2A4CA7" w14:textId="6FCB13CB" w:rsidR="00425DED" w:rsidRPr="0061012B" w:rsidRDefault="00425DED" w:rsidP="00B670E5">
      <w:pPr>
        <w:spacing w:before="240"/>
        <w:jc w:val="both"/>
        <w:rPr>
          <w:rFonts w:ascii="Garamond" w:hAnsi="Garamond"/>
        </w:rPr>
      </w:pPr>
      <w:r w:rsidRPr="0061012B">
        <w:rPr>
          <w:rFonts w:ascii="Garamond" w:hAnsi="Garamond"/>
        </w:rPr>
        <w:t xml:space="preserve">Por otro lado, la </w:t>
      </w:r>
      <w:r w:rsidR="00F64384">
        <w:rPr>
          <w:rFonts w:ascii="Garamond" w:hAnsi="Garamond"/>
        </w:rPr>
        <w:t>r</w:t>
      </w:r>
      <w:r w:rsidRPr="0061012B">
        <w:rPr>
          <w:rFonts w:ascii="Garamond" w:hAnsi="Garamond"/>
        </w:rPr>
        <w:t xml:space="preserve">evisión de </w:t>
      </w:r>
      <w:r w:rsidR="00F64384">
        <w:rPr>
          <w:rFonts w:ascii="Garamond" w:hAnsi="Garamond"/>
        </w:rPr>
        <w:t>c</w:t>
      </w:r>
      <w:r w:rsidRPr="0061012B">
        <w:rPr>
          <w:rFonts w:ascii="Garamond" w:hAnsi="Garamond"/>
        </w:rPr>
        <w:t xml:space="preserve">onsistencia </w:t>
      </w:r>
      <w:r w:rsidR="00D74CEF">
        <w:rPr>
          <w:rFonts w:ascii="Garamond" w:hAnsi="Garamond"/>
        </w:rPr>
        <w:t>t</w:t>
      </w:r>
      <w:r w:rsidRPr="0061012B">
        <w:rPr>
          <w:rFonts w:ascii="Garamond" w:hAnsi="Garamond"/>
        </w:rPr>
        <w:t xml:space="preserve">opológica es un indicador dicotómico </w:t>
      </w:r>
      <w:r w:rsidR="003C2D48">
        <w:rPr>
          <w:rFonts w:ascii="Garamond" w:hAnsi="Garamond"/>
        </w:rPr>
        <w:t>aplicable</w:t>
      </w:r>
      <w:r w:rsidR="00C436C7">
        <w:rPr>
          <w:rFonts w:ascii="Garamond" w:hAnsi="Garamond"/>
        </w:rPr>
        <w:t xml:space="preserve"> a</w:t>
      </w:r>
      <w:r w:rsidRPr="0061012B">
        <w:rPr>
          <w:rFonts w:ascii="Garamond" w:hAnsi="Garamond"/>
        </w:rPr>
        <w:t xml:space="preserve"> productos de información geográfica con una estructura vectorial</w:t>
      </w:r>
      <w:r w:rsidR="005D257B" w:rsidRPr="0061012B">
        <w:rPr>
          <w:rFonts w:ascii="Garamond" w:hAnsi="Garamond"/>
        </w:rPr>
        <w:t>.</w:t>
      </w:r>
      <w:r w:rsidRPr="0061012B">
        <w:rPr>
          <w:rFonts w:ascii="Garamond" w:hAnsi="Garamond"/>
        </w:rPr>
        <w:t xml:space="preserve"> La detección de </w:t>
      </w:r>
      <w:r w:rsidR="00AB6FEB">
        <w:rPr>
          <w:rFonts w:ascii="Garamond" w:hAnsi="Garamond"/>
        </w:rPr>
        <w:t>inconsistencias</w:t>
      </w:r>
      <w:r w:rsidRPr="0061012B">
        <w:rPr>
          <w:rFonts w:ascii="Garamond" w:hAnsi="Garamond"/>
        </w:rPr>
        <w:t xml:space="preserve"> topológicas permite </w:t>
      </w:r>
      <w:r w:rsidR="00A43FCE" w:rsidRPr="0061012B">
        <w:rPr>
          <w:rFonts w:ascii="Garamond" w:hAnsi="Garamond"/>
        </w:rPr>
        <w:t>identificar</w:t>
      </w:r>
      <w:r w:rsidRPr="0061012B">
        <w:rPr>
          <w:rFonts w:ascii="Garamond" w:hAnsi="Garamond"/>
        </w:rPr>
        <w:t xml:space="preserve"> </w:t>
      </w:r>
      <w:r w:rsidR="008F3969" w:rsidRPr="0061012B">
        <w:rPr>
          <w:rFonts w:ascii="Garamond" w:hAnsi="Garamond"/>
        </w:rPr>
        <w:t xml:space="preserve">posibles </w:t>
      </w:r>
      <w:r w:rsidRPr="0061012B">
        <w:rPr>
          <w:rFonts w:ascii="Garamond" w:hAnsi="Garamond"/>
        </w:rPr>
        <w:t xml:space="preserve">causas y diseñar procedimientos de prevención </w:t>
      </w:r>
      <w:r w:rsidR="000E78E7">
        <w:rPr>
          <w:rFonts w:ascii="Garamond" w:hAnsi="Garamond"/>
        </w:rPr>
        <w:t>y corrección</w:t>
      </w:r>
      <w:r w:rsidRPr="0061012B">
        <w:rPr>
          <w:rFonts w:ascii="Garamond" w:hAnsi="Garamond"/>
        </w:rPr>
        <w:t xml:space="preserve">. Ejemplo del tipo de inconsistencias que se busca detectar son: intersecciones no </w:t>
      </w:r>
      <w:r w:rsidRPr="0061012B">
        <w:rPr>
          <w:rFonts w:ascii="Garamond" w:hAnsi="Garamond"/>
        </w:rPr>
        <w:lastRenderedPageBreak/>
        <w:t xml:space="preserve">válidas, conexiones omitidas entre rasgos geográficos, comparticiones omitidas entre rasgos geográficos, traslapes entre rasgos geográficos, rasgos geográficos duplicados, entre otras. En </w:t>
      </w:r>
      <w:r w:rsidR="00457505" w:rsidRPr="0061012B">
        <w:rPr>
          <w:rFonts w:ascii="Garamond" w:hAnsi="Garamond"/>
        </w:rPr>
        <w:t>la</w:t>
      </w:r>
      <w:r w:rsidRPr="0061012B">
        <w:rPr>
          <w:rFonts w:ascii="Garamond" w:hAnsi="Garamond"/>
        </w:rPr>
        <w:t xml:space="preserve"> </w:t>
      </w:r>
      <w:r w:rsidR="00457505" w:rsidRPr="0061012B">
        <w:rPr>
          <w:rFonts w:ascii="Garamond" w:hAnsi="Garamond"/>
        </w:rPr>
        <w:t>Tabla</w:t>
      </w:r>
      <w:r w:rsidRPr="0061012B">
        <w:rPr>
          <w:rFonts w:ascii="Garamond" w:hAnsi="Garamond"/>
        </w:rPr>
        <w:t xml:space="preserve"> </w:t>
      </w:r>
      <w:r w:rsidR="00457505" w:rsidRPr="0061012B">
        <w:rPr>
          <w:rFonts w:ascii="Garamond" w:hAnsi="Garamond"/>
        </w:rPr>
        <w:t>7</w:t>
      </w:r>
      <w:r w:rsidRPr="0061012B">
        <w:rPr>
          <w:rFonts w:ascii="Garamond" w:hAnsi="Garamond"/>
        </w:rPr>
        <w:t xml:space="preserve"> se presentan los resultados de esta revisión</w:t>
      </w:r>
      <w:r w:rsidR="00EF0BDF">
        <w:rPr>
          <w:rFonts w:ascii="Garamond" w:hAnsi="Garamond"/>
        </w:rPr>
        <w:t xml:space="preserve">, </w:t>
      </w:r>
      <w:r w:rsidR="00EF0BDF" w:rsidRPr="00180F84">
        <w:rPr>
          <w:rFonts w:ascii="Garamond" w:hAnsi="Garamond"/>
        </w:rPr>
        <w:t xml:space="preserve">donde se observa </w:t>
      </w:r>
      <w:r w:rsidR="00FB03F5" w:rsidRPr="00180F84">
        <w:rPr>
          <w:rFonts w:ascii="Garamond" w:hAnsi="Garamond"/>
        </w:rPr>
        <w:t xml:space="preserve">el porcentaje de </w:t>
      </w:r>
      <w:r w:rsidR="7E3715F8" w:rsidRPr="00180F84">
        <w:rPr>
          <w:rFonts w:ascii="Garamond" w:hAnsi="Garamond"/>
        </w:rPr>
        <w:t>inconsistencias</w:t>
      </w:r>
      <w:r w:rsidR="00FB03F5" w:rsidRPr="00180F84">
        <w:rPr>
          <w:rFonts w:ascii="Garamond" w:hAnsi="Garamond"/>
        </w:rPr>
        <w:t xml:space="preserve"> que fueron </w:t>
      </w:r>
      <w:r w:rsidR="4812A04F" w:rsidRPr="00180F84">
        <w:rPr>
          <w:rFonts w:ascii="Garamond" w:hAnsi="Garamond"/>
        </w:rPr>
        <w:t>corregid</w:t>
      </w:r>
      <w:r w:rsidR="16D1B369" w:rsidRPr="00180F84">
        <w:rPr>
          <w:rFonts w:ascii="Garamond" w:hAnsi="Garamond"/>
        </w:rPr>
        <w:t>a</w:t>
      </w:r>
      <w:r w:rsidR="4812A04F" w:rsidRPr="00180F84">
        <w:rPr>
          <w:rFonts w:ascii="Garamond" w:hAnsi="Garamond"/>
        </w:rPr>
        <w:t>s</w:t>
      </w:r>
      <w:r w:rsidR="00FB03F5" w:rsidRPr="00180F84">
        <w:rPr>
          <w:rFonts w:ascii="Garamond" w:hAnsi="Garamond"/>
        </w:rPr>
        <w:t xml:space="preserve"> </w:t>
      </w:r>
      <w:r w:rsidR="009B22DB" w:rsidRPr="00180F84">
        <w:rPr>
          <w:rFonts w:ascii="Garamond" w:hAnsi="Garamond"/>
        </w:rPr>
        <w:t xml:space="preserve">o </w:t>
      </w:r>
      <w:r w:rsidR="5E490617" w:rsidRPr="00180F84">
        <w:rPr>
          <w:rFonts w:ascii="Garamond" w:hAnsi="Garamond"/>
        </w:rPr>
        <w:t>justificad</w:t>
      </w:r>
      <w:r w:rsidR="03B22A5A" w:rsidRPr="00180F84">
        <w:rPr>
          <w:rFonts w:ascii="Garamond" w:hAnsi="Garamond"/>
        </w:rPr>
        <w:t>a</w:t>
      </w:r>
      <w:r w:rsidR="5E490617" w:rsidRPr="00180F84">
        <w:rPr>
          <w:rFonts w:ascii="Garamond" w:hAnsi="Garamond"/>
        </w:rPr>
        <w:t>s</w:t>
      </w:r>
      <w:r w:rsidR="002B25D0" w:rsidRPr="00180F84">
        <w:rPr>
          <w:rFonts w:ascii="Garamond" w:hAnsi="Garamond"/>
        </w:rPr>
        <w:t xml:space="preserve">, </w:t>
      </w:r>
      <w:r w:rsidR="006C47C1" w:rsidRPr="00180F84">
        <w:rPr>
          <w:rFonts w:ascii="Garamond" w:hAnsi="Garamond"/>
        </w:rPr>
        <w:t>por</w:t>
      </w:r>
      <w:r w:rsidR="002B25D0" w:rsidRPr="00180F84">
        <w:rPr>
          <w:rFonts w:ascii="Garamond" w:hAnsi="Garamond"/>
        </w:rPr>
        <w:t xml:space="preserve"> lo que </w:t>
      </w:r>
      <w:r w:rsidR="00396A85" w:rsidRPr="00180F84">
        <w:rPr>
          <w:rFonts w:ascii="Garamond" w:hAnsi="Garamond"/>
        </w:rPr>
        <w:t>se</w:t>
      </w:r>
      <w:r w:rsidR="002B25D0" w:rsidRPr="00180F84">
        <w:rPr>
          <w:rFonts w:ascii="Garamond" w:hAnsi="Garamond"/>
        </w:rPr>
        <w:t xml:space="preserve"> </w:t>
      </w:r>
      <w:r w:rsidR="00250A47" w:rsidRPr="00180F84">
        <w:rPr>
          <w:rFonts w:ascii="Garamond" w:hAnsi="Garamond"/>
        </w:rPr>
        <w:t xml:space="preserve">publicó </w:t>
      </w:r>
      <w:r w:rsidR="00475AF7" w:rsidRPr="00180F84">
        <w:rPr>
          <w:rFonts w:ascii="Garamond" w:hAnsi="Garamond"/>
        </w:rPr>
        <w:t xml:space="preserve">información </w:t>
      </w:r>
      <w:r w:rsidR="00726305" w:rsidRPr="00180F84">
        <w:rPr>
          <w:rFonts w:ascii="Garamond" w:hAnsi="Garamond"/>
        </w:rPr>
        <w:t>certera</w:t>
      </w:r>
      <w:r w:rsidRPr="00180F84">
        <w:rPr>
          <w:rFonts w:ascii="Garamond" w:hAnsi="Garamond"/>
        </w:rPr>
        <w:t>.</w:t>
      </w:r>
    </w:p>
    <w:p w14:paraId="67CB918F" w14:textId="29FC732B" w:rsidR="00425DED" w:rsidRPr="0061012B" w:rsidRDefault="008D4C0C" w:rsidP="00425DED">
      <w:pPr>
        <w:spacing w:before="240" w:after="0"/>
        <w:jc w:val="center"/>
        <w:rPr>
          <w:rFonts w:ascii="Garamond" w:hAnsi="Garamond"/>
        </w:rPr>
      </w:pPr>
      <w:r w:rsidRPr="0061012B">
        <w:rPr>
          <w:rFonts w:ascii="Garamond" w:hAnsi="Garamond"/>
          <w:b/>
        </w:rPr>
        <w:t>Tabla 7</w:t>
      </w:r>
      <w:r w:rsidR="00425DED" w:rsidRPr="0061012B">
        <w:rPr>
          <w:rFonts w:ascii="Garamond" w:hAnsi="Garamond"/>
          <w:b/>
        </w:rPr>
        <w:t>. Principales resultados de la revisión de consistencia topológica</w:t>
      </w:r>
    </w:p>
    <w:tbl>
      <w:tblPr>
        <w:tblW w:w="10921" w:type="dxa"/>
        <w:jc w:val="center"/>
        <w:tblCellMar>
          <w:left w:w="0" w:type="dxa"/>
          <w:right w:w="0" w:type="dxa"/>
        </w:tblCellMar>
        <w:tblLook w:val="04A0" w:firstRow="1" w:lastRow="0" w:firstColumn="1" w:lastColumn="0" w:noHBand="0" w:noVBand="1"/>
      </w:tblPr>
      <w:tblGrid>
        <w:gridCol w:w="1555"/>
        <w:gridCol w:w="2693"/>
        <w:gridCol w:w="992"/>
        <w:gridCol w:w="1583"/>
        <w:gridCol w:w="984"/>
        <w:gridCol w:w="1049"/>
        <w:gridCol w:w="1002"/>
        <w:gridCol w:w="1063"/>
      </w:tblGrid>
      <w:tr w:rsidR="00425DED" w:rsidRPr="0061012B" w14:paraId="2042519D" w14:textId="77777777" w:rsidTr="00EE7BAD">
        <w:trPr>
          <w:trHeight w:val="216"/>
          <w:tblHeader/>
          <w:jc w:val="center"/>
        </w:trPr>
        <w:tc>
          <w:tcPr>
            <w:tcW w:w="1555" w:type="dxa"/>
            <w:vMerge w:val="restart"/>
            <w:tcBorders>
              <w:top w:val="single" w:sz="4" w:space="0" w:color="BFBFBF"/>
            </w:tcBorders>
            <w:shd w:val="clear" w:color="000000" w:fill="002060"/>
            <w:noWrap/>
            <w:tcMar>
              <w:top w:w="15" w:type="dxa"/>
              <w:left w:w="15" w:type="dxa"/>
              <w:bottom w:w="0" w:type="dxa"/>
              <w:right w:w="15" w:type="dxa"/>
            </w:tcMar>
            <w:vAlign w:val="center"/>
          </w:tcPr>
          <w:p w14:paraId="079C1490"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Proceso</w:t>
            </w:r>
          </w:p>
        </w:tc>
        <w:tc>
          <w:tcPr>
            <w:tcW w:w="2693" w:type="dxa"/>
            <w:vMerge w:val="restart"/>
            <w:tcBorders>
              <w:top w:val="single" w:sz="4" w:space="0" w:color="BFBFBF"/>
              <w:left w:val="nil"/>
            </w:tcBorders>
            <w:shd w:val="clear" w:color="000000" w:fill="002060"/>
            <w:noWrap/>
            <w:tcMar>
              <w:top w:w="15" w:type="dxa"/>
              <w:left w:w="15" w:type="dxa"/>
              <w:bottom w:w="0" w:type="dxa"/>
              <w:right w:w="15" w:type="dxa"/>
            </w:tcMar>
            <w:vAlign w:val="center"/>
          </w:tcPr>
          <w:p w14:paraId="09CD8439"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Producto</w:t>
            </w:r>
          </w:p>
        </w:tc>
        <w:tc>
          <w:tcPr>
            <w:tcW w:w="992" w:type="dxa"/>
            <w:vMerge w:val="restart"/>
            <w:tcBorders>
              <w:top w:val="single" w:sz="4" w:space="0" w:color="BFBFBF"/>
              <w:left w:val="nil"/>
            </w:tcBorders>
            <w:shd w:val="clear" w:color="000000" w:fill="002060"/>
            <w:noWrap/>
            <w:tcMar>
              <w:top w:w="15" w:type="dxa"/>
              <w:left w:w="15" w:type="dxa"/>
              <w:bottom w:w="0" w:type="dxa"/>
              <w:right w:w="15" w:type="dxa"/>
            </w:tcMar>
            <w:vAlign w:val="center"/>
          </w:tcPr>
          <w:p w14:paraId="2C56431E"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Año de referencia</w:t>
            </w:r>
          </w:p>
        </w:tc>
        <w:tc>
          <w:tcPr>
            <w:tcW w:w="1583" w:type="dxa"/>
            <w:vMerge w:val="restart"/>
            <w:tcBorders>
              <w:top w:val="single" w:sz="4" w:space="0" w:color="BFBFBF"/>
              <w:left w:val="nil"/>
            </w:tcBorders>
            <w:shd w:val="clear" w:color="000000" w:fill="002060"/>
            <w:noWrap/>
            <w:tcMar>
              <w:top w:w="15" w:type="dxa"/>
              <w:left w:w="15" w:type="dxa"/>
              <w:bottom w:w="0" w:type="dxa"/>
              <w:right w:w="15" w:type="dxa"/>
            </w:tcMar>
            <w:vAlign w:val="center"/>
          </w:tcPr>
          <w:p w14:paraId="0459A986"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Dominios de estudio evaluados</w:t>
            </w:r>
          </w:p>
        </w:tc>
        <w:tc>
          <w:tcPr>
            <w:tcW w:w="984" w:type="dxa"/>
            <w:vMerge w:val="restart"/>
            <w:tcBorders>
              <w:top w:val="single" w:sz="4" w:space="0" w:color="BFBFBF"/>
              <w:left w:val="nil"/>
            </w:tcBorders>
            <w:shd w:val="clear" w:color="000000" w:fill="002060"/>
            <w:noWrap/>
            <w:tcMar>
              <w:top w:w="15" w:type="dxa"/>
              <w:left w:w="15" w:type="dxa"/>
              <w:bottom w:w="0" w:type="dxa"/>
              <w:right w:w="15" w:type="dxa"/>
            </w:tcMar>
            <w:vAlign w:val="center"/>
          </w:tcPr>
          <w:p w14:paraId="7EC92210"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Tolerancia</w:t>
            </w:r>
          </w:p>
        </w:tc>
        <w:tc>
          <w:tcPr>
            <w:tcW w:w="3114" w:type="dxa"/>
            <w:gridSpan w:val="3"/>
            <w:tcBorders>
              <w:top w:val="single" w:sz="4" w:space="0" w:color="BFBFBF"/>
              <w:left w:val="nil"/>
            </w:tcBorders>
            <w:shd w:val="clear" w:color="000000" w:fill="002060"/>
            <w:noWrap/>
            <w:tcMar>
              <w:top w:w="15" w:type="dxa"/>
              <w:left w:w="15" w:type="dxa"/>
              <w:bottom w:w="0" w:type="dxa"/>
              <w:right w:w="15" w:type="dxa"/>
            </w:tcMar>
            <w:vAlign w:val="center"/>
          </w:tcPr>
          <w:p w14:paraId="052CBC59" w14:textId="77777777" w:rsidR="00425DED" w:rsidRPr="0061012B" w:rsidRDefault="00425DED" w:rsidP="0093029A">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Promedio de inconsistencias</w:t>
            </w:r>
          </w:p>
        </w:tc>
      </w:tr>
      <w:tr w:rsidR="00425DED" w:rsidRPr="0061012B" w14:paraId="7EB31346" w14:textId="77777777" w:rsidTr="007020E1">
        <w:trPr>
          <w:trHeight w:val="216"/>
          <w:tblHeader/>
          <w:jc w:val="center"/>
        </w:trPr>
        <w:tc>
          <w:tcPr>
            <w:tcW w:w="1555" w:type="dxa"/>
            <w:vMerge/>
            <w:tcBorders>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2B41BF1D" w14:textId="77777777" w:rsidR="00425DED" w:rsidRPr="0061012B" w:rsidRDefault="00425DED" w:rsidP="0093029A">
            <w:pPr>
              <w:spacing w:after="0"/>
              <w:jc w:val="center"/>
              <w:rPr>
                <w:rFonts w:ascii="Garamond" w:hAnsi="Garamond" w:cs="Calibri"/>
                <w:b/>
                <w:bCs/>
                <w:color w:val="FFFFFF"/>
                <w:sz w:val="20"/>
                <w:szCs w:val="20"/>
              </w:rPr>
            </w:pPr>
          </w:p>
        </w:tc>
        <w:tc>
          <w:tcPr>
            <w:tcW w:w="2693" w:type="dxa"/>
            <w:vMerge/>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144D9587" w14:textId="77777777" w:rsidR="00425DED" w:rsidRPr="0061012B" w:rsidRDefault="00425DED" w:rsidP="0093029A">
            <w:pPr>
              <w:spacing w:after="0"/>
              <w:jc w:val="center"/>
              <w:rPr>
                <w:rFonts w:ascii="Garamond" w:hAnsi="Garamond" w:cs="Calibri"/>
                <w:b/>
                <w:bCs/>
                <w:color w:val="FFFFFF"/>
                <w:sz w:val="20"/>
                <w:szCs w:val="20"/>
              </w:rPr>
            </w:pPr>
          </w:p>
        </w:tc>
        <w:tc>
          <w:tcPr>
            <w:tcW w:w="992" w:type="dxa"/>
            <w:vMerge/>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7F6E1549" w14:textId="77777777" w:rsidR="00425DED" w:rsidRPr="0061012B" w:rsidRDefault="00425DED" w:rsidP="0093029A">
            <w:pPr>
              <w:spacing w:after="0"/>
              <w:jc w:val="center"/>
              <w:rPr>
                <w:rFonts w:ascii="Garamond" w:hAnsi="Garamond" w:cs="Calibri"/>
                <w:b/>
                <w:bCs/>
                <w:color w:val="FFFFFF"/>
                <w:sz w:val="20"/>
                <w:szCs w:val="20"/>
              </w:rPr>
            </w:pPr>
          </w:p>
        </w:tc>
        <w:tc>
          <w:tcPr>
            <w:tcW w:w="1583" w:type="dxa"/>
            <w:vMerge/>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3D338908" w14:textId="77777777" w:rsidR="00425DED" w:rsidRPr="0061012B" w:rsidRDefault="00425DED" w:rsidP="0093029A">
            <w:pPr>
              <w:spacing w:after="0"/>
              <w:jc w:val="center"/>
              <w:rPr>
                <w:rFonts w:ascii="Garamond" w:hAnsi="Garamond" w:cs="Calibri"/>
                <w:b/>
                <w:bCs/>
                <w:color w:val="FFFFFF"/>
                <w:sz w:val="20"/>
                <w:szCs w:val="20"/>
              </w:rPr>
            </w:pPr>
          </w:p>
        </w:tc>
        <w:tc>
          <w:tcPr>
            <w:tcW w:w="984" w:type="dxa"/>
            <w:vMerge/>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7D1CC6F4" w14:textId="77777777" w:rsidR="00425DED" w:rsidRPr="0061012B" w:rsidRDefault="00425DED" w:rsidP="0093029A">
            <w:pPr>
              <w:spacing w:after="0"/>
              <w:jc w:val="center"/>
              <w:rPr>
                <w:rFonts w:ascii="Garamond" w:hAnsi="Garamond" w:cs="Calibri"/>
                <w:b/>
                <w:bCs/>
                <w:color w:val="FFFFFF"/>
                <w:sz w:val="20"/>
                <w:szCs w:val="20"/>
              </w:rPr>
            </w:pPr>
          </w:p>
        </w:tc>
        <w:tc>
          <w:tcPr>
            <w:tcW w:w="1049" w:type="dxa"/>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540970AE" w14:textId="77777777" w:rsidR="00425DED" w:rsidRPr="0061012B" w:rsidRDefault="00425DED" w:rsidP="00EE7BAD">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Detectadas</w:t>
            </w:r>
          </w:p>
        </w:tc>
        <w:tc>
          <w:tcPr>
            <w:tcW w:w="1002" w:type="dxa"/>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0934AEBD" w14:textId="77777777" w:rsidR="00425DED" w:rsidRPr="0061012B" w:rsidRDefault="00425DED" w:rsidP="00EE7BAD">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Corregidas</w:t>
            </w:r>
          </w:p>
        </w:tc>
        <w:tc>
          <w:tcPr>
            <w:tcW w:w="1063" w:type="dxa"/>
            <w:tcBorders>
              <w:left w:val="nil"/>
              <w:bottom w:val="single" w:sz="4" w:space="0" w:color="BFBFBF" w:themeColor="background1" w:themeShade="BF"/>
            </w:tcBorders>
            <w:shd w:val="clear" w:color="000000" w:fill="002060"/>
            <w:noWrap/>
            <w:tcMar>
              <w:top w:w="15" w:type="dxa"/>
              <w:left w:w="15" w:type="dxa"/>
              <w:bottom w:w="0" w:type="dxa"/>
              <w:right w:w="15" w:type="dxa"/>
            </w:tcMar>
            <w:vAlign w:val="center"/>
            <w:hideMark/>
          </w:tcPr>
          <w:p w14:paraId="45202EE0" w14:textId="77777777" w:rsidR="00425DED" w:rsidRPr="0061012B" w:rsidRDefault="00425DED" w:rsidP="00EE7BAD">
            <w:pPr>
              <w:spacing w:after="0"/>
              <w:jc w:val="center"/>
              <w:rPr>
                <w:rFonts w:ascii="Garamond" w:hAnsi="Garamond" w:cs="Calibri"/>
                <w:b/>
                <w:bCs/>
                <w:color w:val="FFFFFF"/>
                <w:sz w:val="20"/>
                <w:szCs w:val="20"/>
              </w:rPr>
            </w:pPr>
            <w:r w:rsidRPr="0061012B">
              <w:rPr>
                <w:rFonts w:ascii="Garamond" w:hAnsi="Garamond" w:cs="Calibri"/>
                <w:b/>
                <w:bCs/>
                <w:color w:val="FFFFFF"/>
                <w:sz w:val="20"/>
                <w:szCs w:val="20"/>
              </w:rPr>
              <w:t>Justificadas</w:t>
            </w:r>
          </w:p>
        </w:tc>
      </w:tr>
      <w:tr w:rsidR="00425DED" w:rsidRPr="0061012B" w14:paraId="6F38A41A" w14:textId="77777777" w:rsidTr="007020E1">
        <w:trPr>
          <w:trHeight w:val="216"/>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tcMar>
              <w:top w:w="15" w:type="dxa"/>
              <w:left w:w="15" w:type="dxa"/>
              <w:bottom w:w="0" w:type="dxa"/>
              <w:right w:w="15" w:type="dxa"/>
            </w:tcMar>
            <w:vAlign w:val="center"/>
            <w:hideMark/>
          </w:tcPr>
          <w:p w14:paraId="36F764B5" w14:textId="01EFCF0F" w:rsidR="00425DED" w:rsidRPr="0061012B" w:rsidRDefault="00425DED">
            <w:pPr>
              <w:spacing w:after="0"/>
              <w:rPr>
                <w:rFonts w:ascii="Garamond" w:hAnsi="Garamond" w:cs="Calibri"/>
                <w:color w:val="000000"/>
                <w:sz w:val="20"/>
                <w:szCs w:val="20"/>
              </w:rPr>
            </w:pPr>
            <w:r w:rsidRPr="0061012B">
              <w:rPr>
                <w:rFonts w:ascii="Garamond" w:hAnsi="Garamond" w:cs="Calibri"/>
                <w:color w:val="000000"/>
                <w:sz w:val="20"/>
                <w:szCs w:val="20"/>
              </w:rPr>
              <w:t>Mapa Topográfico</w:t>
            </w:r>
          </w:p>
        </w:tc>
        <w:tc>
          <w:tcPr>
            <w:tcW w:w="2693"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4BDF4C65" w14:textId="7E506C87" w:rsidR="00425DED" w:rsidRPr="0061012B" w:rsidRDefault="00425DED">
            <w:pPr>
              <w:spacing w:after="0"/>
              <w:rPr>
                <w:rFonts w:ascii="Garamond" w:hAnsi="Garamond" w:cs="Calibri"/>
                <w:color w:val="000000"/>
                <w:sz w:val="20"/>
                <w:szCs w:val="20"/>
              </w:rPr>
            </w:pPr>
            <w:r w:rsidRPr="0061012B">
              <w:rPr>
                <w:rFonts w:ascii="Garamond" w:hAnsi="Garamond" w:cs="Calibri"/>
                <w:color w:val="000000"/>
                <w:sz w:val="20"/>
                <w:szCs w:val="20"/>
              </w:rPr>
              <w:t>Conjunto de datos topográficos por polígono</w:t>
            </w:r>
          </w:p>
        </w:tc>
        <w:tc>
          <w:tcPr>
            <w:tcW w:w="992"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508293F6"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583"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3C7312F8"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12</w:t>
            </w:r>
          </w:p>
        </w:tc>
        <w:tc>
          <w:tcPr>
            <w:tcW w:w="984"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25AB7C54"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0.00001</w:t>
            </w:r>
          </w:p>
        </w:tc>
        <w:tc>
          <w:tcPr>
            <w:tcW w:w="1049"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3ECD59E3"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1.3%</w:t>
            </w:r>
          </w:p>
        </w:tc>
        <w:tc>
          <w:tcPr>
            <w:tcW w:w="1002"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66FE3C38"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23%</w:t>
            </w:r>
          </w:p>
        </w:tc>
        <w:tc>
          <w:tcPr>
            <w:tcW w:w="1063" w:type="dxa"/>
            <w:tcBorders>
              <w:top w:val="single" w:sz="4" w:space="0" w:color="BFBFBF" w:themeColor="background1" w:themeShade="BF"/>
              <w:left w:val="nil"/>
              <w:bottom w:val="single" w:sz="4" w:space="0" w:color="BFBFBF"/>
            </w:tcBorders>
            <w:shd w:val="clear" w:color="auto" w:fill="auto"/>
            <w:noWrap/>
            <w:tcMar>
              <w:top w:w="15" w:type="dxa"/>
              <w:left w:w="15" w:type="dxa"/>
              <w:bottom w:w="0" w:type="dxa"/>
              <w:right w:w="15" w:type="dxa"/>
            </w:tcMar>
            <w:vAlign w:val="center"/>
            <w:hideMark/>
          </w:tcPr>
          <w:p w14:paraId="4259199E"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77%</w:t>
            </w:r>
          </w:p>
        </w:tc>
      </w:tr>
      <w:tr w:rsidR="00425DED" w:rsidRPr="0061012B" w14:paraId="56976470" w14:textId="77777777" w:rsidTr="0092009A">
        <w:trPr>
          <w:trHeight w:val="216"/>
          <w:jc w:val="center"/>
        </w:trPr>
        <w:tc>
          <w:tcPr>
            <w:tcW w:w="1555" w:type="dxa"/>
            <w:vMerge w:val="restart"/>
            <w:tcBorders>
              <w:top w:val="nil"/>
              <w:bottom w:val="single" w:sz="4" w:space="0" w:color="BFBFBF" w:themeColor="background1" w:themeShade="BF"/>
            </w:tcBorders>
            <w:shd w:val="clear" w:color="auto" w:fill="auto"/>
            <w:noWrap/>
            <w:tcMar>
              <w:top w:w="15" w:type="dxa"/>
              <w:left w:w="15" w:type="dxa"/>
              <w:bottom w:w="0" w:type="dxa"/>
              <w:right w:w="15" w:type="dxa"/>
            </w:tcMar>
            <w:vAlign w:val="center"/>
            <w:hideMark/>
          </w:tcPr>
          <w:p w14:paraId="6AFC7440" w14:textId="20CD9A33" w:rsidR="00425DED" w:rsidRPr="0061012B" w:rsidRDefault="00425DED">
            <w:pPr>
              <w:spacing w:after="0"/>
              <w:rPr>
                <w:rFonts w:ascii="Garamond" w:hAnsi="Garamond" w:cs="Calibri"/>
                <w:color w:val="000000"/>
                <w:sz w:val="20"/>
                <w:szCs w:val="20"/>
              </w:rPr>
            </w:pPr>
            <w:r w:rsidRPr="0061012B">
              <w:rPr>
                <w:rFonts w:ascii="Garamond" w:hAnsi="Garamond" w:cs="Calibri"/>
                <w:color w:val="000000"/>
                <w:sz w:val="20"/>
                <w:szCs w:val="20"/>
              </w:rPr>
              <w:t>Red Nacional de Caminos</w:t>
            </w:r>
          </w:p>
        </w:tc>
        <w:tc>
          <w:tcPr>
            <w:tcW w:w="2693" w:type="dxa"/>
            <w:vMerge w:val="restart"/>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7204B05C" w14:textId="5BB619F4" w:rsidR="00425DED" w:rsidRPr="0061012B" w:rsidRDefault="00425DED">
            <w:pPr>
              <w:spacing w:after="0"/>
              <w:rPr>
                <w:rFonts w:ascii="Garamond" w:hAnsi="Garamond" w:cs="Calibri"/>
                <w:color w:val="000000"/>
                <w:sz w:val="20"/>
                <w:szCs w:val="20"/>
              </w:rPr>
            </w:pPr>
            <w:r w:rsidRPr="0061012B">
              <w:rPr>
                <w:rFonts w:ascii="Garamond" w:hAnsi="Garamond" w:cs="Calibri"/>
                <w:color w:val="000000"/>
                <w:sz w:val="20"/>
                <w:szCs w:val="20"/>
              </w:rPr>
              <w:t>Red Nacional de Caminos</w:t>
            </w:r>
          </w:p>
        </w:tc>
        <w:tc>
          <w:tcPr>
            <w:tcW w:w="992"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8EEB607"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58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8CA0715"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w:t>
            </w:r>
          </w:p>
        </w:tc>
        <w:tc>
          <w:tcPr>
            <w:tcW w:w="984"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97E709E"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2.775E-07</w:t>
            </w:r>
          </w:p>
        </w:tc>
        <w:tc>
          <w:tcPr>
            <w:tcW w:w="1049"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42B33BE2"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0.1%</w:t>
            </w:r>
          </w:p>
        </w:tc>
        <w:tc>
          <w:tcPr>
            <w:tcW w:w="1002"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710D28D0"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100%</w:t>
            </w:r>
          </w:p>
        </w:tc>
        <w:tc>
          <w:tcPr>
            <w:tcW w:w="106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20E399FE"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0%</w:t>
            </w:r>
          </w:p>
        </w:tc>
      </w:tr>
      <w:tr w:rsidR="00425DED" w:rsidRPr="0061012B" w14:paraId="53881BF5" w14:textId="77777777" w:rsidTr="0092009A">
        <w:trPr>
          <w:trHeight w:val="216"/>
          <w:jc w:val="center"/>
        </w:trPr>
        <w:tc>
          <w:tcPr>
            <w:tcW w:w="1555" w:type="dxa"/>
            <w:vMerge/>
            <w:tcBorders>
              <w:top w:val="nil"/>
              <w:bottom w:val="single" w:sz="4" w:space="0" w:color="BFBFBF" w:themeColor="background1" w:themeShade="BF"/>
            </w:tcBorders>
            <w:shd w:val="clear" w:color="auto" w:fill="auto"/>
            <w:vAlign w:val="center"/>
            <w:hideMark/>
          </w:tcPr>
          <w:p w14:paraId="08F4FB40" w14:textId="77777777" w:rsidR="00425DED" w:rsidRPr="0061012B" w:rsidRDefault="00425DED">
            <w:pPr>
              <w:spacing w:after="0"/>
              <w:rPr>
                <w:rFonts w:ascii="Garamond" w:hAnsi="Garamond" w:cs="Calibri"/>
                <w:color w:val="000000"/>
                <w:sz w:val="20"/>
                <w:szCs w:val="20"/>
              </w:rPr>
            </w:pPr>
          </w:p>
        </w:tc>
        <w:tc>
          <w:tcPr>
            <w:tcW w:w="2693" w:type="dxa"/>
            <w:vMerge/>
            <w:tcBorders>
              <w:top w:val="nil"/>
              <w:left w:val="nil"/>
              <w:bottom w:val="single" w:sz="4" w:space="0" w:color="BFBFBF"/>
            </w:tcBorders>
            <w:shd w:val="clear" w:color="auto" w:fill="auto"/>
            <w:vAlign w:val="center"/>
            <w:hideMark/>
          </w:tcPr>
          <w:p w14:paraId="39578291" w14:textId="77777777" w:rsidR="00425DED" w:rsidRPr="0061012B" w:rsidRDefault="00425DED">
            <w:pPr>
              <w:spacing w:after="0"/>
              <w:rPr>
                <w:rFonts w:ascii="Garamond" w:hAnsi="Garamond" w:cs="Calibri"/>
                <w:color w:val="000000"/>
                <w:sz w:val="20"/>
                <w:szCs w:val="20"/>
              </w:rPr>
            </w:pPr>
          </w:p>
        </w:tc>
        <w:tc>
          <w:tcPr>
            <w:tcW w:w="992"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6D38D6FB"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2023</w:t>
            </w:r>
          </w:p>
        </w:tc>
        <w:tc>
          <w:tcPr>
            <w:tcW w:w="158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89C4103"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w:t>
            </w:r>
          </w:p>
        </w:tc>
        <w:tc>
          <w:tcPr>
            <w:tcW w:w="984"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5D76E43C"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2.775E-07</w:t>
            </w:r>
          </w:p>
        </w:tc>
        <w:tc>
          <w:tcPr>
            <w:tcW w:w="1049"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351EAAF6"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0.002%</w:t>
            </w:r>
          </w:p>
        </w:tc>
        <w:tc>
          <w:tcPr>
            <w:tcW w:w="1002"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74917F0C"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100%</w:t>
            </w:r>
          </w:p>
        </w:tc>
        <w:tc>
          <w:tcPr>
            <w:tcW w:w="106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0CC3EDD7" w14:textId="77777777" w:rsidR="00425DED" w:rsidRPr="0061012B" w:rsidRDefault="00425DED">
            <w:pPr>
              <w:spacing w:after="0"/>
              <w:jc w:val="center"/>
              <w:rPr>
                <w:rFonts w:ascii="Garamond" w:hAnsi="Garamond" w:cs="Calibri"/>
                <w:color w:val="000000"/>
                <w:sz w:val="20"/>
                <w:szCs w:val="20"/>
              </w:rPr>
            </w:pPr>
            <w:r w:rsidRPr="0061012B">
              <w:rPr>
                <w:rFonts w:ascii="Garamond" w:hAnsi="Garamond" w:cs="Calibri"/>
                <w:color w:val="000000"/>
                <w:sz w:val="20"/>
                <w:szCs w:val="20"/>
              </w:rPr>
              <w:t>0%</w:t>
            </w:r>
          </w:p>
        </w:tc>
      </w:tr>
      <w:tr w:rsidR="000D7323" w:rsidRPr="0061012B" w14:paraId="3519BC36" w14:textId="77777777" w:rsidTr="0092009A">
        <w:trPr>
          <w:trHeight w:val="216"/>
          <w:jc w:val="center"/>
        </w:trPr>
        <w:tc>
          <w:tcPr>
            <w:tcW w:w="1555" w:type="dxa"/>
            <w:vMerge w:val="restart"/>
            <w:tcBorders>
              <w:top w:val="nil"/>
              <w:bottom w:val="single" w:sz="4" w:space="0" w:color="BFBFBF" w:themeColor="background1" w:themeShade="BF"/>
            </w:tcBorders>
            <w:shd w:val="clear" w:color="auto" w:fill="auto"/>
            <w:noWrap/>
            <w:tcMar>
              <w:top w:w="15" w:type="dxa"/>
              <w:left w:w="15" w:type="dxa"/>
              <w:bottom w:w="0" w:type="dxa"/>
              <w:right w:w="15" w:type="dxa"/>
            </w:tcMar>
            <w:vAlign w:val="center"/>
            <w:hideMark/>
          </w:tcPr>
          <w:p w14:paraId="27A57174" w14:textId="146FA5CF" w:rsidR="000D7323" w:rsidRPr="0061012B" w:rsidRDefault="000D7323" w:rsidP="000D7323">
            <w:pPr>
              <w:spacing w:after="0"/>
              <w:rPr>
                <w:rFonts w:ascii="Garamond" w:hAnsi="Garamond" w:cs="Calibri"/>
                <w:color w:val="000000"/>
                <w:sz w:val="20"/>
                <w:szCs w:val="20"/>
              </w:rPr>
            </w:pPr>
            <w:r w:rsidRPr="0061012B">
              <w:rPr>
                <w:rFonts w:ascii="Garamond" w:hAnsi="Garamond" w:cs="Calibri"/>
                <w:color w:val="000000"/>
                <w:sz w:val="20"/>
                <w:szCs w:val="20"/>
              </w:rPr>
              <w:t>Topografía</w:t>
            </w:r>
          </w:p>
        </w:tc>
        <w:tc>
          <w:tcPr>
            <w:tcW w:w="269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10FE34C1" w14:textId="3FB563BB" w:rsidR="000D7323" w:rsidRPr="0061012B" w:rsidRDefault="000D7323">
            <w:pPr>
              <w:spacing w:after="0"/>
              <w:rPr>
                <w:rFonts w:ascii="Garamond" w:hAnsi="Garamond" w:cs="Calibri"/>
                <w:color w:val="000000"/>
                <w:sz w:val="20"/>
                <w:szCs w:val="20"/>
              </w:rPr>
            </w:pPr>
            <w:r w:rsidRPr="0061012B">
              <w:rPr>
                <w:rFonts w:ascii="Garamond" w:hAnsi="Garamond" w:cs="Calibri"/>
                <w:color w:val="000000"/>
                <w:sz w:val="20"/>
                <w:szCs w:val="20"/>
              </w:rPr>
              <w:t>Conjunto de datos topográficos a escala 1:250000</w:t>
            </w:r>
          </w:p>
        </w:tc>
        <w:tc>
          <w:tcPr>
            <w:tcW w:w="992"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033A79C7"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58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755E7A77"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32</w:t>
            </w:r>
          </w:p>
        </w:tc>
        <w:tc>
          <w:tcPr>
            <w:tcW w:w="984"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448D29C2"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0.00001</w:t>
            </w:r>
          </w:p>
        </w:tc>
        <w:tc>
          <w:tcPr>
            <w:tcW w:w="1049"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7687D210"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1.9%</w:t>
            </w:r>
          </w:p>
        </w:tc>
        <w:tc>
          <w:tcPr>
            <w:tcW w:w="1002"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5392A0CE"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16%</w:t>
            </w:r>
          </w:p>
        </w:tc>
        <w:tc>
          <w:tcPr>
            <w:tcW w:w="106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B2FD561"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84%</w:t>
            </w:r>
          </w:p>
        </w:tc>
      </w:tr>
      <w:tr w:rsidR="000D7323" w:rsidRPr="0061012B" w14:paraId="1C4537A1" w14:textId="77777777" w:rsidTr="0092009A">
        <w:trPr>
          <w:trHeight w:val="216"/>
          <w:jc w:val="center"/>
        </w:trPr>
        <w:tc>
          <w:tcPr>
            <w:tcW w:w="1555" w:type="dxa"/>
            <w:vMerge/>
            <w:tcBorders>
              <w:bottom w:val="single" w:sz="4" w:space="0" w:color="BFBFBF" w:themeColor="background1" w:themeShade="BF"/>
            </w:tcBorders>
            <w:shd w:val="clear" w:color="auto" w:fill="auto"/>
            <w:noWrap/>
            <w:tcMar>
              <w:top w:w="15" w:type="dxa"/>
              <w:left w:w="15" w:type="dxa"/>
              <w:bottom w:w="0" w:type="dxa"/>
              <w:right w:w="15" w:type="dxa"/>
            </w:tcMar>
            <w:vAlign w:val="center"/>
            <w:hideMark/>
          </w:tcPr>
          <w:p w14:paraId="37563284" w14:textId="5935812F" w:rsidR="000D7323" w:rsidRPr="0061012B" w:rsidRDefault="000D7323">
            <w:pPr>
              <w:spacing w:after="0"/>
              <w:rPr>
                <w:rFonts w:ascii="Garamond" w:hAnsi="Garamond" w:cs="Calibri"/>
                <w:color w:val="000000"/>
                <w:sz w:val="20"/>
                <w:szCs w:val="20"/>
              </w:rPr>
            </w:pPr>
          </w:p>
        </w:tc>
        <w:tc>
          <w:tcPr>
            <w:tcW w:w="269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00DCD610" w14:textId="22386DE8" w:rsidR="000D7323" w:rsidRPr="0061012B" w:rsidRDefault="000D7323">
            <w:pPr>
              <w:spacing w:after="0"/>
              <w:rPr>
                <w:rFonts w:ascii="Garamond" w:hAnsi="Garamond" w:cs="Calibri"/>
                <w:color w:val="000000"/>
                <w:sz w:val="20"/>
                <w:szCs w:val="20"/>
              </w:rPr>
            </w:pPr>
            <w:r w:rsidRPr="0061012B">
              <w:rPr>
                <w:rFonts w:ascii="Garamond" w:hAnsi="Garamond" w:cs="Calibri"/>
                <w:color w:val="000000"/>
                <w:sz w:val="20"/>
                <w:szCs w:val="20"/>
              </w:rPr>
              <w:t>Conjunto de datos topográficos a escala 1:50000</w:t>
            </w:r>
          </w:p>
        </w:tc>
        <w:tc>
          <w:tcPr>
            <w:tcW w:w="992"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330CCAB4"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2022</w:t>
            </w:r>
          </w:p>
        </w:tc>
        <w:tc>
          <w:tcPr>
            <w:tcW w:w="158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0CC91949"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300</w:t>
            </w:r>
          </w:p>
        </w:tc>
        <w:tc>
          <w:tcPr>
            <w:tcW w:w="984"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19DBC5D9"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0.00001</w:t>
            </w:r>
          </w:p>
        </w:tc>
        <w:tc>
          <w:tcPr>
            <w:tcW w:w="1049"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1F41DA22"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2.8%</w:t>
            </w:r>
          </w:p>
        </w:tc>
        <w:tc>
          <w:tcPr>
            <w:tcW w:w="1002" w:type="dxa"/>
            <w:tcBorders>
              <w:top w:val="single" w:sz="4" w:space="0" w:color="BFBFBF"/>
              <w:left w:val="nil"/>
              <w:bottom w:val="single" w:sz="4" w:space="0" w:color="BFBFBF"/>
            </w:tcBorders>
            <w:shd w:val="clear" w:color="auto" w:fill="auto"/>
            <w:noWrap/>
            <w:tcMar>
              <w:top w:w="15" w:type="dxa"/>
              <w:left w:w="15" w:type="dxa"/>
              <w:bottom w:w="0" w:type="dxa"/>
              <w:right w:w="15" w:type="dxa"/>
            </w:tcMar>
            <w:vAlign w:val="center"/>
            <w:hideMark/>
          </w:tcPr>
          <w:p w14:paraId="3C5A0057"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10%</w:t>
            </w:r>
          </w:p>
        </w:tc>
        <w:tc>
          <w:tcPr>
            <w:tcW w:w="1063" w:type="dxa"/>
            <w:tcBorders>
              <w:top w:val="nil"/>
              <w:left w:val="nil"/>
              <w:bottom w:val="single" w:sz="4" w:space="0" w:color="BFBFBF"/>
            </w:tcBorders>
            <w:shd w:val="clear" w:color="auto" w:fill="auto"/>
            <w:noWrap/>
            <w:tcMar>
              <w:top w:w="15" w:type="dxa"/>
              <w:left w:w="15" w:type="dxa"/>
              <w:bottom w:w="0" w:type="dxa"/>
              <w:right w:w="15" w:type="dxa"/>
            </w:tcMar>
            <w:vAlign w:val="center"/>
            <w:hideMark/>
          </w:tcPr>
          <w:p w14:paraId="63CBCB5A" w14:textId="77777777" w:rsidR="000D7323" w:rsidRPr="0061012B" w:rsidRDefault="000D7323">
            <w:pPr>
              <w:spacing w:after="0"/>
              <w:jc w:val="center"/>
              <w:rPr>
                <w:rFonts w:ascii="Garamond" w:hAnsi="Garamond" w:cs="Calibri"/>
                <w:color w:val="000000"/>
                <w:sz w:val="20"/>
                <w:szCs w:val="20"/>
              </w:rPr>
            </w:pPr>
            <w:r w:rsidRPr="0061012B">
              <w:rPr>
                <w:rFonts w:ascii="Garamond" w:hAnsi="Garamond" w:cs="Calibri"/>
                <w:color w:val="000000"/>
                <w:sz w:val="20"/>
                <w:szCs w:val="20"/>
              </w:rPr>
              <w:t>75%</w:t>
            </w:r>
          </w:p>
        </w:tc>
      </w:tr>
    </w:tbl>
    <w:p w14:paraId="2673DF9A" w14:textId="64ED4BC5" w:rsidR="00425DED" w:rsidRPr="0061012B" w:rsidRDefault="00425DED" w:rsidP="0061012B">
      <w:pPr>
        <w:spacing w:after="0"/>
        <w:ind w:right="27"/>
        <w:jc w:val="both"/>
        <w:rPr>
          <w:rFonts w:ascii="Garamond" w:hAnsi="Garamond"/>
          <w:sz w:val="18"/>
          <w:szCs w:val="18"/>
        </w:rPr>
      </w:pPr>
      <w:r w:rsidRPr="0061012B">
        <w:rPr>
          <w:rFonts w:ascii="Garamond" w:hAnsi="Garamond"/>
          <w:sz w:val="18"/>
          <w:szCs w:val="18"/>
        </w:rPr>
        <w:t xml:space="preserve">Tolerancia: </w:t>
      </w:r>
      <w:r w:rsidR="00C67299">
        <w:rPr>
          <w:rFonts w:ascii="Garamond" w:hAnsi="Garamond"/>
          <w:sz w:val="18"/>
          <w:szCs w:val="18"/>
        </w:rPr>
        <w:t>U</w:t>
      </w:r>
      <w:r w:rsidRPr="0061012B">
        <w:rPr>
          <w:rFonts w:ascii="Garamond" w:hAnsi="Garamond"/>
          <w:sz w:val="18"/>
          <w:szCs w:val="18"/>
        </w:rPr>
        <w:t xml:space="preserve">sada para detectar las inconsistencias. </w:t>
      </w:r>
      <w:r w:rsidR="00C65263" w:rsidRPr="0061012B">
        <w:rPr>
          <w:rFonts w:ascii="Garamond" w:hAnsi="Garamond"/>
          <w:sz w:val="18"/>
          <w:szCs w:val="18"/>
        </w:rPr>
        <w:t>De acuerdo con el</w:t>
      </w:r>
      <w:r w:rsidRPr="0061012B">
        <w:rPr>
          <w:rFonts w:ascii="Garamond" w:hAnsi="Garamond"/>
          <w:sz w:val="18"/>
          <w:szCs w:val="18"/>
        </w:rPr>
        <w:t xml:space="preserve"> </w:t>
      </w:r>
      <w:r w:rsidR="00C67299">
        <w:rPr>
          <w:rFonts w:ascii="Garamond" w:hAnsi="Garamond"/>
          <w:sz w:val="18"/>
          <w:szCs w:val="18"/>
        </w:rPr>
        <w:t>proceso</w:t>
      </w:r>
      <w:r w:rsidRPr="0061012B">
        <w:rPr>
          <w:rFonts w:ascii="Garamond" w:hAnsi="Garamond"/>
          <w:sz w:val="18"/>
          <w:szCs w:val="18"/>
        </w:rPr>
        <w:t xml:space="preserve"> </w:t>
      </w:r>
      <w:r w:rsidR="00C67299">
        <w:rPr>
          <w:rFonts w:ascii="Garamond" w:hAnsi="Garamond"/>
          <w:sz w:val="18"/>
          <w:szCs w:val="18"/>
        </w:rPr>
        <w:t>o</w:t>
      </w:r>
      <w:r w:rsidRPr="0061012B">
        <w:rPr>
          <w:rFonts w:ascii="Garamond" w:hAnsi="Garamond"/>
          <w:sz w:val="18"/>
          <w:szCs w:val="18"/>
        </w:rPr>
        <w:t xml:space="preserve"> producto se establece una tolerancia de verificación</w:t>
      </w:r>
      <w:r w:rsidR="00C65263" w:rsidRPr="0061012B">
        <w:rPr>
          <w:rFonts w:ascii="Garamond" w:hAnsi="Garamond"/>
          <w:sz w:val="18"/>
          <w:szCs w:val="18"/>
        </w:rPr>
        <w:t xml:space="preserve"> </w:t>
      </w:r>
      <w:r w:rsidRPr="0061012B">
        <w:rPr>
          <w:rFonts w:ascii="Garamond" w:hAnsi="Garamond"/>
          <w:sz w:val="18"/>
          <w:szCs w:val="18"/>
        </w:rPr>
        <w:t>por cada revisión.</w:t>
      </w:r>
    </w:p>
    <w:p w14:paraId="614939E1" w14:textId="2908E49A" w:rsidR="00973265" w:rsidRPr="00B22C6E" w:rsidRDefault="00425DED" w:rsidP="002901A1">
      <w:pPr>
        <w:pStyle w:val="Ttulo3"/>
        <w:spacing w:before="240"/>
        <w:rPr>
          <w:rFonts w:ascii="Garamond" w:eastAsiaTheme="minorHAnsi" w:hAnsi="Garamond" w:cstheme="minorBidi"/>
          <w:bCs/>
          <w:color w:val="0079BF"/>
          <w:sz w:val="22"/>
          <w:szCs w:val="22"/>
        </w:rPr>
      </w:pPr>
      <w:bookmarkStart w:id="7" w:name="_Toc164684572"/>
      <w:r w:rsidRPr="00B22C6E">
        <w:rPr>
          <w:rFonts w:ascii="Garamond" w:eastAsiaTheme="minorHAnsi" w:hAnsi="Garamond" w:cstheme="minorBidi"/>
          <w:bCs/>
          <w:color w:val="0079BF"/>
          <w:sz w:val="22"/>
          <w:szCs w:val="22"/>
        </w:rPr>
        <w:t>B</w:t>
      </w:r>
      <w:r w:rsidR="00840A53" w:rsidRPr="00B22C6E">
        <w:rPr>
          <w:rFonts w:ascii="Garamond" w:eastAsiaTheme="minorHAnsi" w:hAnsi="Garamond" w:cstheme="minorBidi"/>
          <w:bCs/>
          <w:color w:val="0079BF"/>
          <w:sz w:val="22"/>
          <w:szCs w:val="22"/>
        </w:rPr>
        <w:t xml:space="preserve">. </w:t>
      </w:r>
      <w:r w:rsidR="008015BC" w:rsidRPr="00B22C6E">
        <w:rPr>
          <w:rFonts w:ascii="Garamond" w:eastAsiaTheme="minorHAnsi" w:hAnsi="Garamond" w:cstheme="minorBidi"/>
          <w:bCs/>
          <w:color w:val="0079BF"/>
          <w:sz w:val="22"/>
          <w:szCs w:val="22"/>
        </w:rPr>
        <w:t>Precisión en la información proveniente de</w:t>
      </w:r>
      <w:r w:rsidR="00423204" w:rsidRPr="00B22C6E">
        <w:rPr>
          <w:rFonts w:ascii="Garamond" w:eastAsiaTheme="minorHAnsi" w:hAnsi="Garamond" w:cstheme="minorBidi"/>
          <w:bCs/>
          <w:color w:val="0079BF"/>
          <w:sz w:val="22"/>
          <w:szCs w:val="22"/>
        </w:rPr>
        <w:t>l aprovechamiento de</w:t>
      </w:r>
      <w:r w:rsidR="0004252C" w:rsidRPr="00B22C6E">
        <w:rPr>
          <w:rFonts w:ascii="Garamond" w:eastAsiaTheme="minorHAnsi" w:hAnsi="Garamond" w:cstheme="minorBidi"/>
          <w:bCs/>
          <w:color w:val="0079BF"/>
          <w:sz w:val="22"/>
          <w:szCs w:val="22"/>
        </w:rPr>
        <w:t xml:space="preserve"> registros administrativos</w:t>
      </w:r>
      <w:bookmarkEnd w:id="7"/>
    </w:p>
    <w:p w14:paraId="6327AF54" w14:textId="750E28DF" w:rsidR="00591620" w:rsidRPr="00B22C6E" w:rsidRDefault="00AE46D6" w:rsidP="0084723A">
      <w:pPr>
        <w:spacing w:before="120"/>
        <w:jc w:val="both"/>
        <w:rPr>
          <w:rFonts w:ascii="Garamond" w:hAnsi="Garamond"/>
        </w:rPr>
      </w:pPr>
      <w:r w:rsidRPr="00B22C6E">
        <w:rPr>
          <w:rFonts w:ascii="Garamond" w:hAnsi="Garamond" w:cs="Calibri"/>
          <w:color w:val="000000" w:themeColor="text1"/>
        </w:rPr>
        <w:t>En 2023</w:t>
      </w:r>
      <w:r w:rsidR="001F29D9" w:rsidRPr="00B22C6E">
        <w:rPr>
          <w:rFonts w:ascii="Garamond" w:hAnsi="Garamond" w:cs="Calibri"/>
          <w:color w:val="000000" w:themeColor="text1"/>
        </w:rPr>
        <w:t>,</w:t>
      </w:r>
      <w:r w:rsidR="00BA219C" w:rsidRPr="00B22C6E">
        <w:rPr>
          <w:rFonts w:ascii="Garamond" w:hAnsi="Garamond" w:cs="Calibri"/>
          <w:color w:val="000000" w:themeColor="text1"/>
        </w:rPr>
        <w:t xml:space="preserve"> </w:t>
      </w:r>
      <w:r w:rsidR="001B74BD">
        <w:rPr>
          <w:rFonts w:ascii="Garamond" w:hAnsi="Garamond" w:cs="Calibri"/>
          <w:color w:val="000000" w:themeColor="text1"/>
        </w:rPr>
        <w:t>e</w:t>
      </w:r>
      <w:r w:rsidR="006E7225">
        <w:rPr>
          <w:rFonts w:ascii="Garamond" w:hAnsi="Garamond" w:cs="Calibri"/>
          <w:color w:val="000000" w:themeColor="text1"/>
        </w:rPr>
        <w:t>l</w:t>
      </w:r>
      <w:r w:rsidR="00BA219C" w:rsidRPr="00B22C6E">
        <w:rPr>
          <w:rFonts w:ascii="Garamond" w:hAnsi="Garamond" w:cs="Calibri"/>
          <w:color w:val="000000" w:themeColor="text1"/>
        </w:rPr>
        <w:t xml:space="preserve"> </w:t>
      </w:r>
      <w:r w:rsidR="001B74BD">
        <w:rPr>
          <w:rFonts w:ascii="Garamond" w:hAnsi="Garamond" w:cs="Calibri"/>
          <w:color w:val="000000" w:themeColor="text1"/>
        </w:rPr>
        <w:t>93%</w:t>
      </w:r>
      <w:r w:rsidR="001F29D9" w:rsidRPr="00B22C6E">
        <w:rPr>
          <w:rFonts w:ascii="Garamond" w:hAnsi="Garamond" w:cs="Calibri"/>
          <w:color w:val="000000" w:themeColor="text1"/>
        </w:rPr>
        <w:t xml:space="preserve"> de los procesos de producción</w:t>
      </w:r>
      <w:r w:rsidR="007147FA" w:rsidRPr="00B22C6E">
        <w:rPr>
          <w:rFonts w:ascii="Garamond" w:hAnsi="Garamond" w:cs="Calibri"/>
          <w:color w:val="000000" w:themeColor="text1"/>
        </w:rPr>
        <w:t xml:space="preserve"> </w:t>
      </w:r>
      <w:r w:rsidR="001F29D9" w:rsidRPr="00B22C6E">
        <w:rPr>
          <w:rFonts w:ascii="Garamond" w:hAnsi="Garamond" w:cs="Calibri"/>
          <w:color w:val="000000" w:themeColor="text1"/>
        </w:rPr>
        <w:t>rep</w:t>
      </w:r>
      <w:r w:rsidR="00EA3D44" w:rsidRPr="00B22C6E">
        <w:rPr>
          <w:rFonts w:ascii="Garamond" w:hAnsi="Garamond" w:cs="Calibri"/>
          <w:color w:val="000000" w:themeColor="text1"/>
        </w:rPr>
        <w:t>o</w:t>
      </w:r>
      <w:r w:rsidR="001F29D9" w:rsidRPr="00B22C6E">
        <w:rPr>
          <w:rFonts w:ascii="Garamond" w:hAnsi="Garamond" w:cs="Calibri"/>
          <w:color w:val="000000" w:themeColor="text1"/>
        </w:rPr>
        <w:t xml:space="preserve">rtaron </w:t>
      </w:r>
      <w:r w:rsidRPr="00B22C6E">
        <w:rPr>
          <w:rFonts w:ascii="Garamond" w:hAnsi="Garamond" w:cs="Calibri"/>
          <w:color w:val="000000" w:themeColor="text1"/>
        </w:rPr>
        <w:t>tasa</w:t>
      </w:r>
      <w:r w:rsidR="007C4870" w:rsidRPr="00B22C6E">
        <w:rPr>
          <w:rFonts w:ascii="Garamond" w:hAnsi="Garamond" w:cs="Calibri"/>
          <w:color w:val="000000" w:themeColor="text1"/>
        </w:rPr>
        <w:t>s</w:t>
      </w:r>
      <w:r w:rsidRPr="00B22C6E">
        <w:rPr>
          <w:rFonts w:ascii="Garamond" w:hAnsi="Garamond" w:cs="Calibri"/>
          <w:color w:val="000000" w:themeColor="text1"/>
        </w:rPr>
        <w:t xml:space="preserve"> de </w:t>
      </w:r>
      <w:proofErr w:type="spellStart"/>
      <w:r w:rsidRPr="00B22C6E">
        <w:rPr>
          <w:rFonts w:ascii="Garamond" w:hAnsi="Garamond" w:cs="Calibri"/>
          <w:color w:val="000000" w:themeColor="text1"/>
        </w:rPr>
        <w:t>sobrecobertura</w:t>
      </w:r>
      <w:proofErr w:type="spellEnd"/>
      <w:r w:rsidRPr="00B22C6E">
        <w:rPr>
          <w:rFonts w:ascii="Garamond" w:hAnsi="Garamond" w:cs="Calibri"/>
          <w:color w:val="000000" w:themeColor="text1"/>
        </w:rPr>
        <w:t xml:space="preserve"> a nivel unidad </w:t>
      </w:r>
      <w:r w:rsidR="007C4870" w:rsidRPr="00B22C6E">
        <w:rPr>
          <w:rFonts w:ascii="Garamond" w:hAnsi="Garamond" w:cs="Calibri"/>
          <w:color w:val="000000" w:themeColor="text1"/>
        </w:rPr>
        <w:t>en</w:t>
      </w:r>
      <w:r w:rsidRPr="00B22C6E">
        <w:rPr>
          <w:rFonts w:ascii="Garamond" w:hAnsi="Garamond" w:cs="Calibri"/>
          <w:color w:val="000000" w:themeColor="text1"/>
        </w:rPr>
        <w:t xml:space="preserve"> </w:t>
      </w:r>
      <w:r w:rsidR="00C06EDE" w:rsidRPr="00B22C6E">
        <w:rPr>
          <w:rFonts w:ascii="Garamond" w:hAnsi="Garamond" w:cs="Calibri"/>
          <w:color w:val="000000" w:themeColor="text1"/>
        </w:rPr>
        <w:t xml:space="preserve">cero y </w:t>
      </w:r>
      <w:r w:rsidR="004C5E42">
        <w:rPr>
          <w:rFonts w:ascii="Garamond" w:hAnsi="Garamond" w:cs="Calibri"/>
          <w:color w:val="000000" w:themeColor="text1"/>
        </w:rPr>
        <w:t xml:space="preserve">el </w:t>
      </w:r>
      <w:r w:rsidR="614C60D6" w:rsidRPr="198FF951">
        <w:rPr>
          <w:rFonts w:ascii="Garamond" w:hAnsi="Garamond" w:cs="Calibri"/>
          <w:color w:val="000000" w:themeColor="text1"/>
        </w:rPr>
        <w:t>79</w:t>
      </w:r>
      <w:r w:rsidR="004C5E42">
        <w:rPr>
          <w:rFonts w:ascii="Garamond" w:hAnsi="Garamond" w:cs="Calibri"/>
          <w:color w:val="000000" w:themeColor="text1"/>
        </w:rPr>
        <w:t>% reportaron</w:t>
      </w:r>
      <w:r w:rsidR="00CD2B08">
        <w:rPr>
          <w:rFonts w:ascii="Garamond" w:hAnsi="Garamond" w:cs="Calibri"/>
          <w:color w:val="000000" w:themeColor="text1"/>
        </w:rPr>
        <w:t xml:space="preserve"> </w:t>
      </w:r>
      <w:r w:rsidR="004964CB" w:rsidRPr="00B22C6E">
        <w:rPr>
          <w:rFonts w:ascii="Garamond" w:hAnsi="Garamond" w:cs="Calibri"/>
          <w:color w:val="000000" w:themeColor="text1"/>
        </w:rPr>
        <w:t xml:space="preserve">tasas </w:t>
      </w:r>
      <w:r w:rsidR="00C06EDE" w:rsidRPr="00B22C6E">
        <w:rPr>
          <w:rFonts w:ascii="Garamond" w:hAnsi="Garamond" w:cs="Calibri"/>
          <w:color w:val="000000" w:themeColor="text1"/>
        </w:rPr>
        <w:t xml:space="preserve">de no respuesta a </w:t>
      </w:r>
      <w:r w:rsidR="00C06EDE" w:rsidRPr="000535F2">
        <w:rPr>
          <w:rFonts w:ascii="Garamond" w:hAnsi="Garamond" w:cs="Calibri"/>
          <w:iCs/>
          <w:color w:val="000000" w:themeColor="text1"/>
        </w:rPr>
        <w:t>nivel unidad</w:t>
      </w:r>
      <w:r w:rsidR="00C06EDE" w:rsidRPr="00B22C6E">
        <w:rPr>
          <w:rFonts w:ascii="Garamond" w:hAnsi="Garamond" w:cs="Calibri"/>
          <w:color w:val="000000" w:themeColor="text1"/>
        </w:rPr>
        <w:t xml:space="preserve"> </w:t>
      </w:r>
      <w:r w:rsidR="3945C385" w:rsidRPr="71AFAA67">
        <w:rPr>
          <w:rFonts w:ascii="Garamond" w:hAnsi="Garamond" w:cs="Calibri"/>
          <w:color w:val="000000" w:themeColor="text1"/>
        </w:rPr>
        <w:t xml:space="preserve">en </w:t>
      </w:r>
      <w:r w:rsidR="3945C385" w:rsidRPr="0A852C45">
        <w:rPr>
          <w:rFonts w:ascii="Garamond" w:hAnsi="Garamond" w:cs="Calibri"/>
          <w:color w:val="000000" w:themeColor="text1"/>
        </w:rPr>
        <w:t>cero</w:t>
      </w:r>
      <w:r w:rsidR="00F20DD1" w:rsidRPr="0A852C45">
        <w:rPr>
          <w:rFonts w:ascii="Garamond" w:hAnsi="Garamond" w:cs="Calibri"/>
          <w:color w:val="000000" w:themeColor="text1"/>
        </w:rPr>
        <w:t>.</w:t>
      </w:r>
      <w:r w:rsidR="00F20DD1" w:rsidRPr="00B22C6E">
        <w:rPr>
          <w:rFonts w:ascii="Garamond" w:hAnsi="Garamond" w:cs="Calibri"/>
          <w:color w:val="000000" w:themeColor="text1"/>
        </w:rPr>
        <w:t xml:space="preserve"> </w:t>
      </w:r>
      <w:r w:rsidR="00232B6B">
        <w:rPr>
          <w:rFonts w:ascii="Garamond" w:hAnsi="Garamond" w:cs="Calibri"/>
          <w:color w:val="000000" w:themeColor="text1"/>
        </w:rPr>
        <w:t>Por otro lado</w:t>
      </w:r>
      <w:r w:rsidR="00591620" w:rsidRPr="00B22C6E">
        <w:rPr>
          <w:rFonts w:ascii="Garamond" w:hAnsi="Garamond" w:cs="Calibri"/>
          <w:color w:val="000000" w:themeColor="text1"/>
        </w:rPr>
        <w:t xml:space="preserve">, </w:t>
      </w:r>
      <w:r w:rsidR="00326B36">
        <w:rPr>
          <w:rFonts w:ascii="Garamond" w:hAnsi="Garamond" w:cs="Calibri"/>
          <w:color w:val="000000" w:themeColor="text1"/>
        </w:rPr>
        <w:t xml:space="preserve">en la Tabla 8 se presentan </w:t>
      </w:r>
      <w:r w:rsidR="00222243" w:rsidRPr="00B22C6E">
        <w:rPr>
          <w:rFonts w:ascii="Garamond" w:hAnsi="Garamond"/>
        </w:rPr>
        <w:t xml:space="preserve">los procesos de producción </w:t>
      </w:r>
      <w:r w:rsidR="00761FB4">
        <w:rPr>
          <w:rFonts w:ascii="Garamond" w:hAnsi="Garamond"/>
        </w:rPr>
        <w:t>para los que se</w:t>
      </w:r>
      <w:r w:rsidR="00591620" w:rsidRPr="00B22C6E">
        <w:rPr>
          <w:rFonts w:ascii="Garamond" w:hAnsi="Garamond"/>
        </w:rPr>
        <w:t xml:space="preserve"> observaron tasas medias de no respuesta a </w:t>
      </w:r>
      <w:r w:rsidR="00591620" w:rsidRPr="000535F2">
        <w:rPr>
          <w:rFonts w:ascii="Garamond" w:hAnsi="Garamond"/>
        </w:rPr>
        <w:t>nivel variable</w:t>
      </w:r>
      <w:r w:rsidR="00591620" w:rsidRPr="00B22C6E">
        <w:rPr>
          <w:rFonts w:ascii="Garamond" w:hAnsi="Garamond"/>
        </w:rPr>
        <w:t xml:space="preserve"> superiores a cero</w:t>
      </w:r>
      <w:r w:rsidR="00DB2F83">
        <w:rPr>
          <w:rFonts w:ascii="Garamond" w:hAnsi="Garamond"/>
        </w:rPr>
        <w:t xml:space="preserve">. </w:t>
      </w:r>
      <w:r w:rsidR="00CD10D9">
        <w:rPr>
          <w:rFonts w:ascii="Garamond" w:hAnsi="Garamond"/>
        </w:rPr>
        <w:t xml:space="preserve">Se observa </w:t>
      </w:r>
      <w:r w:rsidR="00605C7D">
        <w:rPr>
          <w:rFonts w:ascii="Garamond" w:hAnsi="Garamond"/>
        </w:rPr>
        <w:t xml:space="preserve">que </w:t>
      </w:r>
      <w:r w:rsidR="00B71907" w:rsidRPr="00B22C6E">
        <w:rPr>
          <w:rFonts w:ascii="Garamond" w:hAnsi="Garamond"/>
        </w:rPr>
        <w:t>persisten</w:t>
      </w:r>
      <w:r w:rsidR="00F74176" w:rsidRPr="00B22C6E">
        <w:rPr>
          <w:rFonts w:ascii="Garamond" w:hAnsi="Garamond"/>
        </w:rPr>
        <w:t xml:space="preserve"> </w:t>
      </w:r>
      <w:r w:rsidR="00C5246D">
        <w:rPr>
          <w:rFonts w:ascii="Garamond" w:hAnsi="Garamond"/>
        </w:rPr>
        <w:t xml:space="preserve">valores máximos de la tasa de no respuesta </w:t>
      </w:r>
      <w:r w:rsidR="008722E1">
        <w:rPr>
          <w:rFonts w:ascii="Garamond" w:hAnsi="Garamond"/>
        </w:rPr>
        <w:t xml:space="preserve">a nivel </w:t>
      </w:r>
      <w:r w:rsidR="00F74176" w:rsidRPr="00B22C6E">
        <w:rPr>
          <w:rFonts w:ascii="Garamond" w:hAnsi="Garamond"/>
        </w:rPr>
        <w:t xml:space="preserve">variable </w:t>
      </w:r>
      <w:r w:rsidR="00C81C46">
        <w:rPr>
          <w:rFonts w:ascii="Garamond" w:hAnsi="Garamond"/>
        </w:rPr>
        <w:t>hasta de 10</w:t>
      </w:r>
      <w:r w:rsidR="00F74176" w:rsidRPr="00B22C6E">
        <w:rPr>
          <w:rFonts w:ascii="Garamond" w:hAnsi="Garamond"/>
        </w:rPr>
        <w:t xml:space="preserve">0%, por lo que </w:t>
      </w:r>
      <w:r w:rsidR="00D96030">
        <w:rPr>
          <w:rFonts w:ascii="Garamond" w:hAnsi="Garamond"/>
        </w:rPr>
        <w:t>conviene</w:t>
      </w:r>
      <w:r w:rsidR="6990AAA0" w:rsidRPr="00B22C6E">
        <w:rPr>
          <w:rFonts w:ascii="Garamond" w:hAnsi="Garamond"/>
        </w:rPr>
        <w:t xml:space="preserve"> </w:t>
      </w:r>
      <w:r w:rsidR="00CB7977">
        <w:rPr>
          <w:rFonts w:ascii="Garamond" w:hAnsi="Garamond"/>
        </w:rPr>
        <w:t>verificar</w:t>
      </w:r>
      <w:r w:rsidR="00F74176" w:rsidRPr="00B22C6E">
        <w:rPr>
          <w:rFonts w:ascii="Garamond" w:hAnsi="Garamond"/>
        </w:rPr>
        <w:t xml:space="preserve"> </w:t>
      </w:r>
      <w:r w:rsidR="00CB7977">
        <w:rPr>
          <w:rFonts w:ascii="Garamond" w:hAnsi="Garamond"/>
        </w:rPr>
        <w:t>la pertinencia de</w:t>
      </w:r>
      <w:r w:rsidR="00F74176" w:rsidRPr="00B22C6E">
        <w:rPr>
          <w:rFonts w:ascii="Garamond" w:hAnsi="Garamond"/>
        </w:rPr>
        <w:t xml:space="preserve"> estas variables </w:t>
      </w:r>
      <w:r w:rsidR="00CB7977">
        <w:rPr>
          <w:rFonts w:ascii="Garamond" w:hAnsi="Garamond"/>
        </w:rPr>
        <w:t>o, en su caso,</w:t>
      </w:r>
      <w:r w:rsidR="00F74176" w:rsidRPr="00B22C6E">
        <w:rPr>
          <w:rFonts w:ascii="Garamond" w:hAnsi="Garamond"/>
        </w:rPr>
        <w:t xml:space="preserve"> definir estrategias para mejorar los niveles de respuesta.</w:t>
      </w:r>
    </w:p>
    <w:p w14:paraId="76E7179A" w14:textId="480AD75F" w:rsidR="00F93170" w:rsidRPr="00B22C6E" w:rsidRDefault="008D4C0C" w:rsidP="0088348D">
      <w:pPr>
        <w:spacing w:before="240" w:after="0"/>
        <w:ind w:left="284" w:firstLine="436"/>
        <w:jc w:val="center"/>
        <w:rPr>
          <w:rFonts w:ascii="Garamond" w:hAnsi="Garamond"/>
          <w:b/>
        </w:rPr>
      </w:pPr>
      <w:r w:rsidRPr="00B22C6E">
        <w:rPr>
          <w:rFonts w:ascii="Garamond" w:hAnsi="Garamond"/>
          <w:b/>
        </w:rPr>
        <w:t>Tabla 8</w:t>
      </w:r>
      <w:r w:rsidR="00F4237F" w:rsidRPr="00B22C6E">
        <w:rPr>
          <w:rFonts w:ascii="Garamond" w:hAnsi="Garamond"/>
          <w:b/>
        </w:rPr>
        <w:t>.</w:t>
      </w:r>
      <w:r w:rsidR="00F93170" w:rsidRPr="00B22C6E">
        <w:rPr>
          <w:rFonts w:ascii="Garamond" w:hAnsi="Garamond"/>
          <w:b/>
        </w:rPr>
        <w:t xml:space="preserve"> </w:t>
      </w:r>
      <w:r w:rsidR="00FB00F6" w:rsidRPr="00B22C6E">
        <w:rPr>
          <w:rFonts w:ascii="Garamond" w:hAnsi="Garamond"/>
          <w:b/>
        </w:rPr>
        <w:t>Procesos de producción</w:t>
      </w:r>
      <w:r w:rsidR="00F93170" w:rsidRPr="00B22C6E">
        <w:rPr>
          <w:rFonts w:ascii="Garamond" w:hAnsi="Garamond"/>
          <w:b/>
        </w:rPr>
        <w:t xml:space="preserve"> con tasas</w:t>
      </w:r>
      <w:r w:rsidR="00E47AFD" w:rsidRPr="00B22C6E">
        <w:rPr>
          <w:rFonts w:ascii="Garamond" w:hAnsi="Garamond"/>
          <w:b/>
        </w:rPr>
        <w:t xml:space="preserve"> medias</w:t>
      </w:r>
      <w:r w:rsidR="00F93170" w:rsidRPr="00B22C6E">
        <w:rPr>
          <w:rFonts w:ascii="Garamond" w:hAnsi="Garamond"/>
          <w:b/>
        </w:rPr>
        <w:t xml:space="preserve"> de no respuesta a nivel variable mayores a cero</w:t>
      </w:r>
      <w:r w:rsidR="00862711">
        <w:rPr>
          <w:rStyle w:val="Refdenotaalpie"/>
          <w:rFonts w:ascii="Garamond" w:hAnsi="Garamond"/>
          <w:b/>
        </w:rPr>
        <w:footnoteReference w:id="12"/>
      </w:r>
    </w:p>
    <w:tbl>
      <w:tblPr>
        <w:tblW w:w="10404" w:type="dxa"/>
        <w:jc w:val="center"/>
        <w:tblCellMar>
          <w:left w:w="70" w:type="dxa"/>
          <w:right w:w="70" w:type="dxa"/>
        </w:tblCellMar>
        <w:tblLook w:val="04A0" w:firstRow="1" w:lastRow="0" w:firstColumn="1" w:lastColumn="0" w:noHBand="0" w:noVBand="1"/>
      </w:tblPr>
      <w:tblGrid>
        <w:gridCol w:w="4962"/>
        <w:gridCol w:w="907"/>
        <w:gridCol w:w="907"/>
        <w:gridCol w:w="907"/>
        <w:gridCol w:w="907"/>
        <w:gridCol w:w="907"/>
        <w:gridCol w:w="907"/>
      </w:tblGrid>
      <w:tr w:rsidR="00C76EA3" w:rsidRPr="00B22C6E" w14:paraId="0A74BC8A" w14:textId="77777777" w:rsidTr="00744DF1">
        <w:trPr>
          <w:trHeight w:val="227"/>
          <w:jc w:val="center"/>
        </w:trPr>
        <w:tc>
          <w:tcPr>
            <w:tcW w:w="4962" w:type="dxa"/>
            <w:vMerge w:val="restart"/>
            <w:tcBorders>
              <w:top w:val="single" w:sz="4" w:space="0" w:color="D0CECE"/>
              <w:bottom w:val="single" w:sz="4" w:space="0" w:color="D0CECE"/>
            </w:tcBorders>
            <w:shd w:val="clear" w:color="000000" w:fill="002060"/>
            <w:vAlign w:val="center"/>
            <w:hideMark/>
          </w:tcPr>
          <w:p w14:paraId="62EBC837" w14:textId="77777777"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Proceso</w:t>
            </w:r>
          </w:p>
        </w:tc>
        <w:tc>
          <w:tcPr>
            <w:tcW w:w="5442" w:type="dxa"/>
            <w:gridSpan w:val="6"/>
            <w:tcBorders>
              <w:top w:val="single" w:sz="4" w:space="0" w:color="D0CECE"/>
              <w:left w:val="nil"/>
              <w:right w:val="single" w:sz="4" w:space="0" w:color="BFBFBF" w:themeColor="background1" w:themeShade="BF"/>
            </w:tcBorders>
            <w:shd w:val="clear" w:color="000000" w:fill="002060"/>
            <w:vAlign w:val="center"/>
            <w:hideMark/>
          </w:tcPr>
          <w:p w14:paraId="0A6CC957" w14:textId="4B8A26A3"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 xml:space="preserve">Tasa de no respuesta </w:t>
            </w:r>
            <w:r w:rsidR="009A33C5">
              <w:rPr>
                <w:rFonts w:ascii="Garamond" w:eastAsia="Times New Roman" w:hAnsi="Garamond" w:cs="Calibri"/>
                <w:b/>
                <w:bCs/>
                <w:color w:val="FFFFFF"/>
                <w:sz w:val="20"/>
                <w:szCs w:val="20"/>
                <w:lang w:eastAsia="es-MX"/>
              </w:rPr>
              <w:t>a nivel</w:t>
            </w:r>
            <w:r w:rsidRPr="00164108">
              <w:rPr>
                <w:rFonts w:ascii="Garamond" w:eastAsia="Times New Roman" w:hAnsi="Garamond" w:cs="Calibri"/>
                <w:b/>
                <w:bCs/>
                <w:color w:val="FFFFFF"/>
                <w:sz w:val="20"/>
                <w:szCs w:val="20"/>
                <w:lang w:eastAsia="es-MX"/>
              </w:rPr>
              <w:t xml:space="preserve"> variable</w:t>
            </w:r>
          </w:p>
        </w:tc>
      </w:tr>
      <w:tr w:rsidR="00CE5DD5" w:rsidRPr="00B22C6E" w14:paraId="7E5EF388" w14:textId="77777777" w:rsidTr="00DF7A1D">
        <w:trPr>
          <w:trHeight w:val="227"/>
          <w:jc w:val="center"/>
        </w:trPr>
        <w:tc>
          <w:tcPr>
            <w:tcW w:w="4962" w:type="dxa"/>
            <w:vMerge/>
            <w:tcBorders>
              <w:top w:val="single" w:sz="4" w:space="0" w:color="D0CECE"/>
              <w:bottom w:val="single" w:sz="4" w:space="0" w:color="D0CECE"/>
            </w:tcBorders>
            <w:vAlign w:val="center"/>
            <w:hideMark/>
          </w:tcPr>
          <w:p w14:paraId="3B71BADF" w14:textId="77777777" w:rsidR="00CE5DD5" w:rsidRPr="00164108" w:rsidRDefault="00CE5DD5">
            <w:pPr>
              <w:spacing w:after="0" w:line="240" w:lineRule="auto"/>
              <w:rPr>
                <w:rFonts w:ascii="Garamond" w:eastAsia="Times New Roman" w:hAnsi="Garamond" w:cs="Calibri"/>
                <w:b/>
                <w:bCs/>
                <w:color w:val="FFFFFF"/>
                <w:sz w:val="20"/>
                <w:szCs w:val="20"/>
                <w:lang w:eastAsia="es-MX"/>
              </w:rPr>
            </w:pPr>
          </w:p>
        </w:tc>
        <w:tc>
          <w:tcPr>
            <w:tcW w:w="2721" w:type="dxa"/>
            <w:gridSpan w:val="3"/>
            <w:tcBorders>
              <w:left w:val="nil"/>
            </w:tcBorders>
            <w:shd w:val="clear" w:color="000000" w:fill="002060"/>
            <w:vAlign w:val="center"/>
            <w:hideMark/>
          </w:tcPr>
          <w:p w14:paraId="45BB87AC" w14:textId="709F739B" w:rsidR="00CE5DD5" w:rsidRPr="00164108" w:rsidRDefault="00CE5DD5">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Media</w:t>
            </w:r>
          </w:p>
        </w:tc>
        <w:tc>
          <w:tcPr>
            <w:tcW w:w="2721" w:type="dxa"/>
            <w:gridSpan w:val="3"/>
            <w:tcBorders>
              <w:left w:val="nil"/>
              <w:right w:val="single" w:sz="4" w:space="0" w:color="BFBFBF" w:themeColor="background1" w:themeShade="BF"/>
            </w:tcBorders>
            <w:shd w:val="clear" w:color="000000" w:fill="002060"/>
            <w:vAlign w:val="center"/>
          </w:tcPr>
          <w:p w14:paraId="41553F01" w14:textId="4156663D" w:rsidR="00CE5DD5" w:rsidRPr="00164108" w:rsidRDefault="00CE5DD5">
            <w:pPr>
              <w:spacing w:after="0" w:line="240" w:lineRule="auto"/>
              <w:jc w:val="center"/>
              <w:rPr>
                <w:rFonts w:ascii="Garamond" w:eastAsia="Times New Roman" w:hAnsi="Garamond" w:cs="Calibri"/>
                <w:b/>
                <w:bCs/>
                <w:color w:val="FFFFFF"/>
                <w:sz w:val="20"/>
                <w:szCs w:val="20"/>
                <w:lang w:eastAsia="es-MX"/>
              </w:rPr>
            </w:pPr>
            <w:r>
              <w:rPr>
                <w:rFonts w:ascii="Garamond" w:eastAsia="Times New Roman" w:hAnsi="Garamond" w:cs="Calibri"/>
                <w:b/>
                <w:bCs/>
                <w:color w:val="FFFFFF"/>
                <w:sz w:val="20"/>
                <w:szCs w:val="20"/>
                <w:lang w:eastAsia="es-MX"/>
              </w:rPr>
              <w:t>Máxima</w:t>
            </w:r>
          </w:p>
        </w:tc>
      </w:tr>
      <w:tr w:rsidR="00527E0D" w:rsidRPr="00B22C6E" w14:paraId="12CC1A43" w14:textId="77777777" w:rsidTr="00744DF1">
        <w:trPr>
          <w:trHeight w:val="227"/>
          <w:jc w:val="center"/>
        </w:trPr>
        <w:tc>
          <w:tcPr>
            <w:tcW w:w="4962" w:type="dxa"/>
            <w:vMerge/>
            <w:tcBorders>
              <w:bottom w:val="single" w:sz="4" w:space="0" w:color="D0CECE"/>
            </w:tcBorders>
            <w:vAlign w:val="center"/>
            <w:hideMark/>
          </w:tcPr>
          <w:p w14:paraId="1BB1B75F" w14:textId="77777777" w:rsidR="00C76EA3" w:rsidRPr="00164108" w:rsidRDefault="00C76EA3">
            <w:pPr>
              <w:spacing w:after="0" w:line="240" w:lineRule="auto"/>
              <w:rPr>
                <w:rFonts w:ascii="Garamond" w:eastAsia="Times New Roman" w:hAnsi="Garamond" w:cs="Calibri"/>
                <w:b/>
                <w:bCs/>
                <w:color w:val="FFFFFF"/>
                <w:sz w:val="20"/>
                <w:szCs w:val="20"/>
                <w:lang w:eastAsia="es-MX"/>
              </w:rPr>
            </w:pPr>
          </w:p>
        </w:tc>
        <w:tc>
          <w:tcPr>
            <w:tcW w:w="907" w:type="dxa"/>
            <w:tcBorders>
              <w:left w:val="nil"/>
              <w:bottom w:val="single" w:sz="4" w:space="0" w:color="D0CECE"/>
            </w:tcBorders>
            <w:shd w:val="clear" w:color="000000" w:fill="002060"/>
            <w:vAlign w:val="center"/>
            <w:hideMark/>
          </w:tcPr>
          <w:p w14:paraId="0BD480DF" w14:textId="3C8F166D" w:rsidR="00AF1C2C" w:rsidRPr="00164108" w:rsidRDefault="00C76EA3" w:rsidP="006B3458">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2019</w:t>
            </w:r>
            <w:r w:rsidR="00492784" w:rsidRPr="00164108">
              <w:rPr>
                <w:rFonts w:ascii="Garamond" w:eastAsia="Times New Roman" w:hAnsi="Garamond" w:cs="Calibri"/>
                <w:b/>
                <w:bCs/>
                <w:color w:val="FFFFFF"/>
                <w:sz w:val="20"/>
                <w:szCs w:val="20"/>
                <w:lang w:eastAsia="es-MX"/>
              </w:rPr>
              <w:t>*</w:t>
            </w:r>
            <w:r w:rsidR="00AD5ECA">
              <w:rPr>
                <w:rFonts w:ascii="Garamond" w:eastAsia="Times New Roman" w:hAnsi="Garamond" w:cs="Calibri"/>
                <w:b/>
                <w:bCs/>
                <w:color w:val="FFFFFF"/>
                <w:sz w:val="20"/>
                <w:szCs w:val="20"/>
                <w:lang w:eastAsia="es-MX"/>
              </w:rPr>
              <w:t>+</w:t>
            </w:r>
          </w:p>
        </w:tc>
        <w:tc>
          <w:tcPr>
            <w:tcW w:w="907" w:type="dxa"/>
            <w:tcBorders>
              <w:left w:val="nil"/>
              <w:bottom w:val="single" w:sz="4" w:space="0" w:color="D0CECE"/>
            </w:tcBorders>
            <w:shd w:val="clear" w:color="000000" w:fill="002060"/>
            <w:vAlign w:val="center"/>
            <w:hideMark/>
          </w:tcPr>
          <w:p w14:paraId="527B75D3" w14:textId="77777777"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2022*</w:t>
            </w:r>
          </w:p>
        </w:tc>
        <w:tc>
          <w:tcPr>
            <w:tcW w:w="907" w:type="dxa"/>
            <w:tcBorders>
              <w:left w:val="nil"/>
              <w:bottom w:val="single" w:sz="4" w:space="0" w:color="D0CECE"/>
            </w:tcBorders>
            <w:shd w:val="clear" w:color="000000" w:fill="002060"/>
            <w:vAlign w:val="center"/>
            <w:hideMark/>
          </w:tcPr>
          <w:p w14:paraId="6563F9F0" w14:textId="77777777"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2023**</w:t>
            </w:r>
          </w:p>
        </w:tc>
        <w:tc>
          <w:tcPr>
            <w:tcW w:w="907" w:type="dxa"/>
            <w:tcBorders>
              <w:left w:val="nil"/>
              <w:bottom w:val="single" w:sz="4" w:space="0" w:color="D0CECE"/>
            </w:tcBorders>
            <w:shd w:val="clear" w:color="000000" w:fill="002060"/>
            <w:vAlign w:val="center"/>
            <w:hideMark/>
          </w:tcPr>
          <w:p w14:paraId="477867AB" w14:textId="61316120" w:rsidR="00AF1C2C" w:rsidRPr="00164108" w:rsidRDefault="00C76EA3" w:rsidP="00AD5ECA">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2019*</w:t>
            </w:r>
            <w:r w:rsidR="00AD5ECA">
              <w:rPr>
                <w:rFonts w:ascii="Garamond" w:eastAsia="Times New Roman" w:hAnsi="Garamond" w:cs="Calibri"/>
                <w:b/>
                <w:bCs/>
                <w:color w:val="FFFFFF"/>
                <w:sz w:val="20"/>
                <w:szCs w:val="20"/>
                <w:lang w:eastAsia="es-MX"/>
              </w:rPr>
              <w:t>+</w:t>
            </w:r>
          </w:p>
        </w:tc>
        <w:tc>
          <w:tcPr>
            <w:tcW w:w="907" w:type="dxa"/>
            <w:tcBorders>
              <w:left w:val="nil"/>
              <w:bottom w:val="single" w:sz="4" w:space="0" w:color="D0CECE"/>
            </w:tcBorders>
            <w:shd w:val="clear" w:color="000000" w:fill="002060"/>
            <w:vAlign w:val="center"/>
            <w:hideMark/>
          </w:tcPr>
          <w:p w14:paraId="06D9BCEF" w14:textId="77777777"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2022*</w:t>
            </w:r>
          </w:p>
        </w:tc>
        <w:tc>
          <w:tcPr>
            <w:tcW w:w="907" w:type="dxa"/>
            <w:tcBorders>
              <w:left w:val="nil"/>
              <w:bottom w:val="single" w:sz="4" w:space="0" w:color="D0CECE"/>
              <w:right w:val="single" w:sz="4" w:space="0" w:color="BFBFBF" w:themeColor="background1" w:themeShade="BF"/>
            </w:tcBorders>
            <w:shd w:val="clear" w:color="000000" w:fill="002060"/>
            <w:vAlign w:val="center"/>
            <w:hideMark/>
          </w:tcPr>
          <w:p w14:paraId="6A31C7D5" w14:textId="77777777" w:rsidR="00C76EA3" w:rsidRPr="00164108" w:rsidRDefault="00C76EA3">
            <w:pPr>
              <w:spacing w:after="0" w:line="240" w:lineRule="auto"/>
              <w:jc w:val="center"/>
              <w:rPr>
                <w:rFonts w:ascii="Garamond" w:eastAsia="Times New Roman" w:hAnsi="Garamond" w:cs="Calibri"/>
                <w:b/>
                <w:bCs/>
                <w:color w:val="FFFFFF"/>
                <w:sz w:val="20"/>
                <w:szCs w:val="20"/>
                <w:lang w:eastAsia="es-MX"/>
              </w:rPr>
            </w:pPr>
            <w:r w:rsidRPr="00164108">
              <w:rPr>
                <w:rFonts w:ascii="Garamond" w:eastAsia="Times New Roman" w:hAnsi="Garamond" w:cs="Calibri"/>
                <w:b/>
                <w:bCs/>
                <w:color w:val="FFFFFF"/>
                <w:sz w:val="20"/>
                <w:szCs w:val="20"/>
                <w:lang w:eastAsia="es-MX"/>
              </w:rPr>
              <w:t>2023**</w:t>
            </w:r>
          </w:p>
        </w:tc>
      </w:tr>
      <w:tr w:rsidR="000370DE" w:rsidRPr="00B22C6E" w14:paraId="6C1D1554"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3B1834B0" w14:textId="4EF283E8"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Estadísticas de Defunciones Registradas</w:t>
            </w:r>
          </w:p>
        </w:tc>
        <w:tc>
          <w:tcPr>
            <w:tcW w:w="907" w:type="dxa"/>
            <w:tcBorders>
              <w:top w:val="single" w:sz="4" w:space="0" w:color="D0CECE"/>
              <w:left w:val="nil"/>
              <w:bottom w:val="single" w:sz="4" w:space="0" w:color="D0CECE"/>
            </w:tcBorders>
            <w:shd w:val="clear" w:color="auto" w:fill="auto"/>
            <w:vAlign w:val="center"/>
            <w:hideMark/>
          </w:tcPr>
          <w:p w14:paraId="2AAA0E31" w14:textId="085B1613"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3C71E50" w14:textId="63CD972A"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3</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8E2B269" w14:textId="59760EDC"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6</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3BE34DB2" w14:textId="273940CF"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13</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73DBB0A0" w14:textId="09C9D55F"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43</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E13E3F5" w14:textId="3C138D95"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49</w:t>
            </w:r>
            <w:r w:rsidR="00880F15">
              <w:rPr>
                <w:rFonts w:ascii="Garamond" w:eastAsia="Times New Roman" w:hAnsi="Garamond" w:cs="Calibri"/>
                <w:sz w:val="20"/>
                <w:szCs w:val="20"/>
                <w:lang w:eastAsia="es-MX"/>
              </w:rPr>
              <w:t>%</w:t>
            </w:r>
          </w:p>
        </w:tc>
      </w:tr>
      <w:tr w:rsidR="00164108" w:rsidRPr="00B22C6E" w14:paraId="6A0D4DE1"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32C823DD" w14:textId="734311E4"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Estadísticas de Defunciones Fetales</w:t>
            </w:r>
          </w:p>
        </w:tc>
        <w:tc>
          <w:tcPr>
            <w:tcW w:w="907" w:type="dxa"/>
            <w:tcBorders>
              <w:top w:val="single" w:sz="4" w:space="0" w:color="D0CECE"/>
              <w:left w:val="nil"/>
              <w:bottom w:val="single" w:sz="4" w:space="0" w:color="D0CECE"/>
            </w:tcBorders>
            <w:shd w:val="clear" w:color="auto" w:fill="auto"/>
            <w:vAlign w:val="center"/>
            <w:hideMark/>
          </w:tcPr>
          <w:p w14:paraId="4314A1F0" w14:textId="296A7F24"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8</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614E8389" w14:textId="612D11C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1C1916E2" w14:textId="77AD48B4"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3</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098F961A" w14:textId="5A780EDA"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70</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1411EB22" w14:textId="1F0B57BC"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54</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0E7643A2" w14:textId="552B5E93"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36</w:t>
            </w:r>
            <w:r w:rsidR="00880F15">
              <w:rPr>
                <w:rFonts w:ascii="Garamond" w:eastAsia="Times New Roman" w:hAnsi="Garamond" w:cs="Calibri"/>
                <w:sz w:val="20"/>
                <w:szCs w:val="20"/>
                <w:lang w:eastAsia="es-MX"/>
              </w:rPr>
              <w:t>%</w:t>
            </w:r>
          </w:p>
        </w:tc>
      </w:tr>
      <w:tr w:rsidR="000370DE" w:rsidRPr="00B22C6E" w14:paraId="31188240"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1B719B24" w14:textId="5C8F8B21"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Estadística de Nacimientos Registrados</w:t>
            </w:r>
          </w:p>
        </w:tc>
        <w:tc>
          <w:tcPr>
            <w:tcW w:w="907" w:type="dxa"/>
            <w:tcBorders>
              <w:top w:val="single" w:sz="4" w:space="0" w:color="D0CECE"/>
              <w:left w:val="nil"/>
              <w:bottom w:val="single" w:sz="4" w:space="0" w:color="D0CECE"/>
            </w:tcBorders>
            <w:shd w:val="clear" w:color="auto" w:fill="auto"/>
            <w:vAlign w:val="center"/>
            <w:hideMark/>
          </w:tcPr>
          <w:p w14:paraId="705964DB" w14:textId="759C504E"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6C27A9D0" w14:textId="190FF23C"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8AA8620" w14:textId="4DCB24BD"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50E85350" w14:textId="4ADEB03D"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78</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4683498" w14:textId="11317FF2"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57</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6CB684FB" w14:textId="7BD8183F"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52</w:t>
            </w:r>
            <w:r w:rsidR="00880F15">
              <w:rPr>
                <w:rFonts w:ascii="Garamond" w:eastAsia="Times New Roman" w:hAnsi="Garamond" w:cs="Calibri"/>
                <w:sz w:val="20"/>
                <w:szCs w:val="20"/>
                <w:lang w:eastAsia="es-MX"/>
              </w:rPr>
              <w:t>%</w:t>
            </w:r>
          </w:p>
        </w:tc>
      </w:tr>
      <w:tr w:rsidR="00164108" w:rsidRPr="00B22C6E" w14:paraId="0E66348B"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1449AED7" w14:textId="2B231E37"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Estadística de Matrimonios</w:t>
            </w:r>
          </w:p>
        </w:tc>
        <w:tc>
          <w:tcPr>
            <w:tcW w:w="907" w:type="dxa"/>
            <w:tcBorders>
              <w:top w:val="single" w:sz="4" w:space="0" w:color="D0CECE"/>
              <w:left w:val="nil"/>
              <w:bottom w:val="single" w:sz="4" w:space="0" w:color="D0CECE"/>
            </w:tcBorders>
            <w:shd w:val="clear" w:color="auto" w:fill="auto"/>
            <w:vAlign w:val="center"/>
            <w:hideMark/>
          </w:tcPr>
          <w:p w14:paraId="69C51C8F" w14:textId="08C1C470"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36194DED" w14:textId="13CCB3B4"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03CF4EA0" w14:textId="054D508A"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307F537" w14:textId="5C1BF55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56</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1ED776AE" w14:textId="330626AE"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48</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AF0AE94" w14:textId="2C2729D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43</w:t>
            </w:r>
            <w:r w:rsidR="00880F15">
              <w:rPr>
                <w:rFonts w:ascii="Garamond" w:eastAsia="Times New Roman" w:hAnsi="Garamond" w:cs="Calibri"/>
                <w:sz w:val="20"/>
                <w:szCs w:val="20"/>
                <w:lang w:eastAsia="es-MX"/>
              </w:rPr>
              <w:t>%</w:t>
            </w:r>
          </w:p>
        </w:tc>
      </w:tr>
      <w:tr w:rsidR="000370DE" w:rsidRPr="00B22C6E" w14:paraId="71CCB941"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01FA64A2" w14:textId="689A5C8A" w:rsidR="00C76EA3" w:rsidRPr="00B22C6E" w:rsidRDefault="00C76EA3">
            <w:pPr>
              <w:spacing w:after="0" w:line="240" w:lineRule="auto"/>
              <w:rPr>
                <w:rFonts w:ascii="Garamond" w:eastAsia="Times New Roman" w:hAnsi="Garamond" w:cs="Calibri"/>
                <w:sz w:val="20"/>
                <w:szCs w:val="20"/>
                <w:lang w:eastAsia="es-MX"/>
              </w:rPr>
            </w:pPr>
            <w:bookmarkStart w:id="8" w:name="_Hlk157501545"/>
            <w:r w:rsidRPr="00B22C6E">
              <w:rPr>
                <w:rFonts w:ascii="Garamond" w:eastAsia="Times New Roman" w:hAnsi="Garamond" w:cs="Calibri"/>
                <w:sz w:val="20"/>
                <w:szCs w:val="20"/>
                <w:lang w:eastAsia="es-MX"/>
              </w:rPr>
              <w:t>Estadística de Divorcios</w:t>
            </w:r>
          </w:p>
        </w:tc>
        <w:tc>
          <w:tcPr>
            <w:tcW w:w="907" w:type="dxa"/>
            <w:tcBorders>
              <w:top w:val="single" w:sz="4" w:space="0" w:color="D0CECE"/>
              <w:left w:val="nil"/>
              <w:bottom w:val="single" w:sz="4" w:space="0" w:color="D0CECE"/>
            </w:tcBorders>
            <w:shd w:val="clear" w:color="auto" w:fill="auto"/>
            <w:vAlign w:val="center"/>
            <w:hideMark/>
          </w:tcPr>
          <w:p w14:paraId="7DF34DCD" w14:textId="0C99B928"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CB7AA31" w14:textId="2F16B3F1"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3D090613" w14:textId="02176480"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7</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1E3ACC70" w14:textId="61DF9578"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44</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13B9285D" w14:textId="0E06AACB"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87</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14E3ED1" w14:textId="757CE7CE"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84</w:t>
            </w:r>
            <w:r w:rsidR="00880F15">
              <w:rPr>
                <w:rFonts w:ascii="Garamond" w:eastAsia="Times New Roman" w:hAnsi="Garamond" w:cs="Calibri"/>
                <w:sz w:val="20"/>
                <w:szCs w:val="20"/>
                <w:lang w:eastAsia="es-MX"/>
              </w:rPr>
              <w:t>%</w:t>
            </w:r>
          </w:p>
        </w:tc>
      </w:tr>
      <w:bookmarkEnd w:id="8"/>
      <w:tr w:rsidR="00164108" w:rsidRPr="00B22C6E" w14:paraId="582B386E"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55EBF0F1" w14:textId="44D6F73E"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Estadísticas sobre Relaciones Laborales de Jurisdicción Local</w:t>
            </w:r>
          </w:p>
        </w:tc>
        <w:tc>
          <w:tcPr>
            <w:tcW w:w="907" w:type="dxa"/>
            <w:tcBorders>
              <w:top w:val="single" w:sz="4" w:space="0" w:color="D0CECE"/>
              <w:left w:val="nil"/>
              <w:bottom w:val="single" w:sz="4" w:space="0" w:color="D0CECE"/>
            </w:tcBorders>
            <w:shd w:val="clear" w:color="auto" w:fill="auto"/>
            <w:vAlign w:val="center"/>
            <w:hideMark/>
          </w:tcPr>
          <w:p w14:paraId="578730FB"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702B3A94" w14:textId="1501FD32"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8</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5734271" w14:textId="567735FA"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11</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71C8BA7F"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7E9D316" w14:textId="30D2EF76"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100</w:t>
            </w:r>
            <w:r w:rsidR="00880F15">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7053C14A" w14:textId="53D5CDB5"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100</w:t>
            </w:r>
            <w:r w:rsidR="00880F15">
              <w:rPr>
                <w:rFonts w:ascii="Garamond" w:eastAsia="Times New Roman" w:hAnsi="Garamond" w:cs="Calibri"/>
                <w:sz w:val="20"/>
                <w:szCs w:val="20"/>
                <w:lang w:eastAsia="es-MX"/>
              </w:rPr>
              <w:t>%</w:t>
            </w:r>
          </w:p>
        </w:tc>
      </w:tr>
      <w:tr w:rsidR="000370DE" w:rsidRPr="00B22C6E" w14:paraId="09D95763" w14:textId="77777777" w:rsidTr="002D57C7">
        <w:trPr>
          <w:trHeight w:val="340"/>
          <w:jc w:val="center"/>
        </w:trPr>
        <w:tc>
          <w:tcPr>
            <w:tcW w:w="4962" w:type="dxa"/>
            <w:tcBorders>
              <w:top w:val="single" w:sz="4" w:space="0" w:color="D0CECE"/>
              <w:bottom w:val="single" w:sz="4" w:space="0" w:color="D0CECE"/>
            </w:tcBorders>
            <w:shd w:val="clear" w:color="auto" w:fill="auto"/>
            <w:vAlign w:val="center"/>
            <w:hideMark/>
          </w:tcPr>
          <w:p w14:paraId="0D20BA3E" w14:textId="2E57ADED" w:rsidR="00C76EA3" w:rsidRPr="00B22C6E" w:rsidRDefault="00C76EA3">
            <w:pPr>
              <w:spacing w:after="0" w:line="240" w:lineRule="auto"/>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Registro Administrativo en Materia de Justicia Laboral Estatal</w:t>
            </w:r>
          </w:p>
        </w:tc>
        <w:tc>
          <w:tcPr>
            <w:tcW w:w="907" w:type="dxa"/>
            <w:tcBorders>
              <w:top w:val="single" w:sz="4" w:space="0" w:color="D0CECE"/>
              <w:left w:val="nil"/>
              <w:bottom w:val="single" w:sz="4" w:space="0" w:color="D0CECE"/>
            </w:tcBorders>
            <w:shd w:val="clear" w:color="auto" w:fill="auto"/>
            <w:vAlign w:val="center"/>
            <w:hideMark/>
          </w:tcPr>
          <w:p w14:paraId="3B958DAD"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225B5577"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24EA8A01" w14:textId="365E897F"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14</w:t>
            </w:r>
            <w:r w:rsidR="00D64E1A">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54BCFEAF"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46270694" w14:textId="77777777"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w:t>
            </w:r>
          </w:p>
        </w:tc>
        <w:tc>
          <w:tcPr>
            <w:tcW w:w="907" w:type="dxa"/>
            <w:tcBorders>
              <w:top w:val="single" w:sz="4" w:space="0" w:color="D0CECE"/>
              <w:left w:val="nil"/>
              <w:bottom w:val="single" w:sz="4" w:space="0" w:color="D0CECE"/>
            </w:tcBorders>
            <w:shd w:val="clear" w:color="auto" w:fill="auto"/>
            <w:vAlign w:val="center"/>
            <w:hideMark/>
          </w:tcPr>
          <w:p w14:paraId="6234421E" w14:textId="4C418CF8" w:rsidR="00C76EA3" w:rsidRPr="00B22C6E" w:rsidRDefault="00C76EA3">
            <w:pPr>
              <w:spacing w:after="0" w:line="240" w:lineRule="auto"/>
              <w:jc w:val="center"/>
              <w:rPr>
                <w:rFonts w:ascii="Garamond" w:eastAsia="Times New Roman" w:hAnsi="Garamond" w:cs="Calibri"/>
                <w:sz w:val="20"/>
                <w:szCs w:val="20"/>
                <w:lang w:eastAsia="es-MX"/>
              </w:rPr>
            </w:pPr>
            <w:r w:rsidRPr="00B22C6E">
              <w:rPr>
                <w:rFonts w:ascii="Garamond" w:eastAsia="Times New Roman" w:hAnsi="Garamond" w:cs="Calibri"/>
                <w:sz w:val="20"/>
                <w:szCs w:val="20"/>
                <w:lang w:eastAsia="es-MX"/>
              </w:rPr>
              <w:t>100</w:t>
            </w:r>
            <w:r w:rsidR="00880F15">
              <w:rPr>
                <w:rFonts w:ascii="Garamond" w:eastAsia="Times New Roman" w:hAnsi="Garamond" w:cs="Calibri"/>
                <w:sz w:val="20"/>
                <w:szCs w:val="20"/>
                <w:lang w:eastAsia="es-MX"/>
              </w:rPr>
              <w:t>%</w:t>
            </w:r>
          </w:p>
        </w:tc>
      </w:tr>
    </w:tbl>
    <w:p w14:paraId="71FA2650" w14:textId="12DF9AC4" w:rsidR="0004492C" w:rsidRPr="00B22C6E" w:rsidRDefault="0004492C" w:rsidP="00B31E08">
      <w:pPr>
        <w:spacing w:after="0"/>
        <w:ind w:left="284" w:right="310"/>
        <w:jc w:val="both"/>
        <w:rPr>
          <w:rFonts w:ascii="Garamond" w:hAnsi="Garamond"/>
          <w:sz w:val="18"/>
          <w:szCs w:val="18"/>
        </w:rPr>
      </w:pPr>
      <w:r w:rsidRPr="00B22C6E">
        <w:rPr>
          <w:rFonts w:ascii="Garamond" w:hAnsi="Garamond"/>
          <w:sz w:val="18"/>
          <w:szCs w:val="18"/>
        </w:rPr>
        <w:t>*</w:t>
      </w:r>
      <w:r w:rsidR="0093029A" w:rsidRPr="00B22C6E">
        <w:rPr>
          <w:rFonts w:ascii="Garamond" w:hAnsi="Garamond"/>
          <w:sz w:val="18"/>
          <w:szCs w:val="18"/>
        </w:rPr>
        <w:t xml:space="preserve"> </w:t>
      </w:r>
      <w:r w:rsidRPr="00B22C6E">
        <w:rPr>
          <w:rFonts w:ascii="Garamond" w:hAnsi="Garamond"/>
          <w:sz w:val="18"/>
          <w:szCs w:val="18"/>
        </w:rPr>
        <w:t xml:space="preserve">Estos datos son los reportados en </w:t>
      </w:r>
      <w:r w:rsidR="008B6D1B" w:rsidRPr="00B22C6E">
        <w:rPr>
          <w:rFonts w:ascii="Garamond" w:hAnsi="Garamond"/>
          <w:sz w:val="18"/>
          <w:szCs w:val="18"/>
        </w:rPr>
        <w:t>los</w:t>
      </w:r>
      <w:r w:rsidRPr="00B22C6E">
        <w:rPr>
          <w:rFonts w:ascii="Garamond" w:hAnsi="Garamond"/>
          <w:sz w:val="18"/>
          <w:szCs w:val="18"/>
        </w:rPr>
        <w:t xml:space="preserve"> </w:t>
      </w:r>
      <w:r w:rsidR="008B6D1B" w:rsidRPr="00B22C6E">
        <w:rPr>
          <w:rFonts w:ascii="Garamond" w:hAnsi="Garamond"/>
          <w:sz w:val="18"/>
          <w:szCs w:val="18"/>
        </w:rPr>
        <w:t>i</w:t>
      </w:r>
      <w:r w:rsidRPr="00B22C6E">
        <w:rPr>
          <w:rFonts w:ascii="Garamond" w:hAnsi="Garamond"/>
          <w:sz w:val="18"/>
          <w:szCs w:val="18"/>
        </w:rPr>
        <w:t>nforme</w:t>
      </w:r>
      <w:r w:rsidR="008B6D1B" w:rsidRPr="00B22C6E">
        <w:rPr>
          <w:rFonts w:ascii="Garamond" w:hAnsi="Garamond"/>
          <w:sz w:val="18"/>
          <w:szCs w:val="18"/>
        </w:rPr>
        <w:t xml:space="preserve">s </w:t>
      </w:r>
      <w:r w:rsidRPr="00B22C6E">
        <w:rPr>
          <w:rFonts w:ascii="Garamond" w:hAnsi="Garamond"/>
          <w:sz w:val="18"/>
          <w:szCs w:val="18"/>
        </w:rPr>
        <w:t xml:space="preserve">de </w:t>
      </w:r>
      <w:r w:rsidR="008B6D1B" w:rsidRPr="00B22C6E">
        <w:rPr>
          <w:rFonts w:ascii="Garamond" w:hAnsi="Garamond"/>
          <w:sz w:val="18"/>
          <w:szCs w:val="18"/>
        </w:rPr>
        <w:t>r</w:t>
      </w:r>
      <w:r w:rsidRPr="00B22C6E">
        <w:rPr>
          <w:rFonts w:ascii="Garamond" w:hAnsi="Garamond"/>
          <w:sz w:val="18"/>
          <w:szCs w:val="18"/>
        </w:rPr>
        <w:t>esultados 2019 y 2022</w:t>
      </w:r>
      <w:r w:rsidR="008B6D1B" w:rsidRPr="00B22C6E">
        <w:rPr>
          <w:rFonts w:ascii="Garamond" w:hAnsi="Garamond"/>
          <w:sz w:val="18"/>
          <w:szCs w:val="18"/>
        </w:rPr>
        <w:t>,</w:t>
      </w:r>
      <w:r w:rsidRPr="00B22C6E">
        <w:rPr>
          <w:rFonts w:ascii="Garamond" w:hAnsi="Garamond"/>
          <w:sz w:val="18"/>
          <w:szCs w:val="18"/>
        </w:rPr>
        <w:t xml:space="preserve"> respectivamente.</w:t>
      </w:r>
    </w:p>
    <w:p w14:paraId="249CB17E" w14:textId="1A7E0A1B" w:rsidR="0004492C" w:rsidRDefault="0004492C" w:rsidP="00B31E08">
      <w:pPr>
        <w:spacing w:after="0"/>
        <w:ind w:left="284" w:right="310"/>
        <w:jc w:val="both"/>
        <w:rPr>
          <w:rFonts w:ascii="Garamond" w:hAnsi="Garamond"/>
          <w:sz w:val="18"/>
          <w:szCs w:val="18"/>
        </w:rPr>
      </w:pPr>
      <w:r w:rsidRPr="00B22C6E">
        <w:rPr>
          <w:rFonts w:ascii="Garamond" w:hAnsi="Garamond"/>
          <w:sz w:val="18"/>
          <w:szCs w:val="18"/>
        </w:rPr>
        <w:t>**</w:t>
      </w:r>
      <w:r w:rsidR="0093029A" w:rsidRPr="00B22C6E">
        <w:rPr>
          <w:rFonts w:ascii="Garamond" w:hAnsi="Garamond"/>
          <w:sz w:val="18"/>
          <w:szCs w:val="18"/>
        </w:rPr>
        <w:t xml:space="preserve"> </w:t>
      </w:r>
      <w:r w:rsidRPr="00B22C6E">
        <w:rPr>
          <w:rFonts w:ascii="Garamond" w:hAnsi="Garamond"/>
          <w:sz w:val="18"/>
          <w:szCs w:val="18"/>
        </w:rPr>
        <w:t>Estos datos corresponden a los indicadores registrados en metadatos durante 2023, independientemente del período de publicación de la información.</w:t>
      </w:r>
    </w:p>
    <w:p w14:paraId="7239501C" w14:textId="662D2BB2" w:rsidR="00136035" w:rsidRPr="00B22C6E" w:rsidRDefault="006B3458" w:rsidP="00B31E08">
      <w:pPr>
        <w:spacing w:after="0"/>
        <w:ind w:left="284" w:right="310"/>
        <w:jc w:val="both"/>
        <w:rPr>
          <w:rFonts w:ascii="Garamond" w:hAnsi="Garamond"/>
          <w:sz w:val="18"/>
          <w:szCs w:val="18"/>
        </w:rPr>
      </w:pPr>
      <w:r>
        <w:rPr>
          <w:rFonts w:ascii="Garamond" w:hAnsi="Garamond"/>
          <w:sz w:val="18"/>
          <w:szCs w:val="18"/>
        </w:rPr>
        <w:t>+ Año base.</w:t>
      </w:r>
    </w:p>
    <w:p w14:paraId="106CF91F" w14:textId="50EE9CE2" w:rsidR="00D57B21" w:rsidRPr="008011EF" w:rsidRDefault="00425DED" w:rsidP="007A4B1D">
      <w:pPr>
        <w:pStyle w:val="Ttulo3"/>
        <w:spacing w:before="240"/>
        <w:rPr>
          <w:rFonts w:ascii="Garamond" w:eastAsiaTheme="minorHAnsi" w:hAnsi="Garamond" w:cstheme="minorBidi"/>
          <w:bCs/>
          <w:color w:val="0079BF"/>
          <w:sz w:val="22"/>
          <w:szCs w:val="22"/>
        </w:rPr>
      </w:pPr>
      <w:bookmarkStart w:id="9" w:name="_Toc164684573"/>
      <w:r w:rsidRPr="008011EF">
        <w:rPr>
          <w:rFonts w:ascii="Garamond" w:hAnsi="Garamond"/>
          <w:color w:val="0079BF"/>
          <w:sz w:val="22"/>
          <w:szCs w:val="22"/>
        </w:rPr>
        <w:t>C</w:t>
      </w:r>
      <w:r w:rsidR="00840A53" w:rsidRPr="008011EF">
        <w:rPr>
          <w:rFonts w:ascii="Garamond" w:hAnsi="Garamond"/>
          <w:color w:val="0079BF"/>
          <w:sz w:val="22"/>
          <w:szCs w:val="22"/>
        </w:rPr>
        <w:t>.</w:t>
      </w:r>
      <w:r w:rsidR="006F28BF" w:rsidRPr="008011EF">
        <w:rPr>
          <w:rFonts w:ascii="Garamond" w:hAnsi="Garamond"/>
          <w:color w:val="0079BF"/>
          <w:sz w:val="22"/>
          <w:szCs w:val="22"/>
        </w:rPr>
        <w:t xml:space="preserve"> </w:t>
      </w:r>
      <w:r w:rsidR="008E060B" w:rsidRPr="008011EF">
        <w:rPr>
          <w:rFonts w:ascii="Garamond" w:hAnsi="Garamond"/>
          <w:color w:val="0079BF"/>
          <w:sz w:val="22"/>
          <w:szCs w:val="22"/>
        </w:rPr>
        <w:t>P</w:t>
      </w:r>
      <w:r w:rsidR="0004252C" w:rsidRPr="008011EF">
        <w:rPr>
          <w:rFonts w:ascii="Garamond" w:hAnsi="Garamond"/>
          <w:color w:val="0079BF"/>
          <w:sz w:val="22"/>
          <w:szCs w:val="22"/>
        </w:rPr>
        <w:t>recisión</w:t>
      </w:r>
      <w:r w:rsidR="008E060B" w:rsidRPr="008011EF">
        <w:rPr>
          <w:rFonts w:ascii="Garamond" w:hAnsi="Garamond"/>
          <w:color w:val="0079BF"/>
          <w:sz w:val="22"/>
          <w:szCs w:val="22"/>
        </w:rPr>
        <w:t xml:space="preserve"> en la información proveniente</w:t>
      </w:r>
      <w:r w:rsidR="0004252C" w:rsidRPr="008011EF">
        <w:rPr>
          <w:rFonts w:ascii="Garamond" w:hAnsi="Garamond"/>
          <w:color w:val="0079BF"/>
          <w:sz w:val="22"/>
          <w:szCs w:val="22"/>
        </w:rPr>
        <w:t xml:space="preserve"> de </w:t>
      </w:r>
      <w:r w:rsidR="00931152" w:rsidRPr="008011EF">
        <w:rPr>
          <w:rFonts w:ascii="Garamond" w:hAnsi="Garamond"/>
          <w:color w:val="0079BF"/>
          <w:sz w:val="22"/>
          <w:szCs w:val="22"/>
        </w:rPr>
        <w:t>censos</w:t>
      </w:r>
      <w:bookmarkEnd w:id="9"/>
    </w:p>
    <w:p w14:paraId="05B9AF87" w14:textId="35197E13" w:rsidR="00743FA7" w:rsidRDefault="00067D44" w:rsidP="000919FA">
      <w:pPr>
        <w:spacing w:before="120" w:after="40"/>
        <w:jc w:val="both"/>
        <w:rPr>
          <w:rFonts w:ascii="Garamond" w:hAnsi="Garamond"/>
        </w:rPr>
      </w:pPr>
      <w:r>
        <w:rPr>
          <w:rFonts w:ascii="Garamond" w:hAnsi="Garamond"/>
        </w:rPr>
        <w:t>Los indicadores</w:t>
      </w:r>
      <w:r w:rsidR="00737F8A">
        <w:rPr>
          <w:rFonts w:ascii="Garamond" w:hAnsi="Garamond"/>
        </w:rPr>
        <w:t>, hasta el momento</w:t>
      </w:r>
      <w:r>
        <w:rPr>
          <w:rFonts w:ascii="Garamond" w:hAnsi="Garamond"/>
        </w:rPr>
        <w:t xml:space="preserve"> aprobados</w:t>
      </w:r>
      <w:r w:rsidR="00EA1B0C">
        <w:rPr>
          <w:rFonts w:ascii="Garamond" w:hAnsi="Garamond"/>
        </w:rPr>
        <w:t xml:space="preserve"> por el </w:t>
      </w:r>
      <w:r w:rsidR="00355496" w:rsidRPr="00355496">
        <w:rPr>
          <w:rFonts w:ascii="Garamond" w:hAnsi="Garamond"/>
        </w:rPr>
        <w:t>Comité</w:t>
      </w:r>
      <w:r w:rsidR="00737F8A">
        <w:rPr>
          <w:rFonts w:ascii="Garamond" w:hAnsi="Garamond"/>
        </w:rPr>
        <w:t>,</w:t>
      </w:r>
      <w:r w:rsidR="00355496" w:rsidRPr="00355496">
        <w:rPr>
          <w:rFonts w:ascii="Garamond" w:hAnsi="Garamond"/>
        </w:rPr>
        <w:t xml:space="preserve"> son: tasa de no respuesta antes de imputación a nivel unidad de observación, tasa de imputación a nivel unidad de observación, tasa de no respuesta después de imputación a nivel unidad de observación, y tasa de no respuesta a nivel variable</w:t>
      </w:r>
      <w:r w:rsidR="001E47E5">
        <w:rPr>
          <w:rFonts w:ascii="Garamond" w:hAnsi="Garamond"/>
        </w:rPr>
        <w:t>)</w:t>
      </w:r>
      <w:r w:rsidR="00580C8B">
        <w:rPr>
          <w:rFonts w:ascii="Garamond" w:hAnsi="Garamond"/>
        </w:rPr>
        <w:t xml:space="preserve">. </w:t>
      </w:r>
      <w:r w:rsidR="008521DA">
        <w:rPr>
          <w:rFonts w:ascii="Garamond" w:hAnsi="Garamond"/>
        </w:rPr>
        <w:t xml:space="preserve">De acuerdo con </w:t>
      </w:r>
      <w:r w:rsidR="00327B4D">
        <w:rPr>
          <w:rFonts w:ascii="Garamond" w:hAnsi="Garamond"/>
        </w:rPr>
        <w:t xml:space="preserve">la mayoría de </w:t>
      </w:r>
      <w:r w:rsidR="008521DA">
        <w:rPr>
          <w:rFonts w:ascii="Garamond" w:hAnsi="Garamond"/>
        </w:rPr>
        <w:t xml:space="preserve">los resultados </w:t>
      </w:r>
      <w:r w:rsidR="006D3336">
        <w:rPr>
          <w:rFonts w:ascii="Garamond" w:hAnsi="Garamond"/>
        </w:rPr>
        <w:t xml:space="preserve">reportados </w:t>
      </w:r>
      <w:r w:rsidR="007757EE">
        <w:rPr>
          <w:rFonts w:ascii="Garamond" w:hAnsi="Garamond"/>
        </w:rPr>
        <w:t xml:space="preserve">de 2021 a </w:t>
      </w:r>
      <w:r w:rsidR="00162DA0" w:rsidRPr="008011EF">
        <w:rPr>
          <w:rFonts w:ascii="Garamond" w:hAnsi="Garamond"/>
        </w:rPr>
        <w:t>2023</w:t>
      </w:r>
      <w:r w:rsidR="00AE4B82">
        <w:rPr>
          <w:rFonts w:ascii="Garamond" w:hAnsi="Garamond"/>
        </w:rPr>
        <w:t xml:space="preserve"> (ver Tabla </w:t>
      </w:r>
      <w:r w:rsidR="00DC5315">
        <w:rPr>
          <w:rFonts w:ascii="Garamond" w:hAnsi="Garamond"/>
        </w:rPr>
        <w:t>9</w:t>
      </w:r>
      <w:r w:rsidR="00BA7780">
        <w:rPr>
          <w:rFonts w:ascii="Garamond" w:hAnsi="Garamond"/>
        </w:rPr>
        <w:t>)</w:t>
      </w:r>
      <w:r w:rsidR="002B70AD" w:rsidRPr="008011EF">
        <w:rPr>
          <w:rFonts w:ascii="Garamond" w:hAnsi="Garamond"/>
        </w:rPr>
        <w:t>,</w:t>
      </w:r>
      <w:r w:rsidR="00327B4D">
        <w:rPr>
          <w:rFonts w:ascii="Garamond" w:hAnsi="Garamond"/>
        </w:rPr>
        <w:t xml:space="preserve"> con valores iguales a cero,</w:t>
      </w:r>
      <w:r w:rsidR="002B70AD" w:rsidRPr="008011EF">
        <w:rPr>
          <w:rFonts w:ascii="Garamond" w:hAnsi="Garamond"/>
        </w:rPr>
        <w:t xml:space="preserve"> </w:t>
      </w:r>
      <w:r w:rsidR="00291BA5">
        <w:rPr>
          <w:rFonts w:ascii="Garamond" w:hAnsi="Garamond"/>
        </w:rPr>
        <w:t>es</w:t>
      </w:r>
      <w:r w:rsidR="007D6D31">
        <w:rPr>
          <w:rFonts w:ascii="Garamond" w:hAnsi="Garamond"/>
        </w:rPr>
        <w:t xml:space="preserve"> necesario </w:t>
      </w:r>
      <w:r w:rsidR="007B7787">
        <w:rPr>
          <w:rFonts w:ascii="Garamond" w:hAnsi="Garamond"/>
        </w:rPr>
        <w:t xml:space="preserve">revisar </w:t>
      </w:r>
      <w:r w:rsidR="00FD556D">
        <w:rPr>
          <w:rFonts w:ascii="Garamond" w:hAnsi="Garamond"/>
        </w:rPr>
        <w:t xml:space="preserve">cómo están siendo calculados </w:t>
      </w:r>
      <w:r w:rsidR="00A94612">
        <w:rPr>
          <w:rFonts w:ascii="Garamond" w:hAnsi="Garamond"/>
        </w:rPr>
        <w:t xml:space="preserve">dichos indicadores; en particular, </w:t>
      </w:r>
      <w:r w:rsidR="00CB5A2F">
        <w:rPr>
          <w:rFonts w:ascii="Garamond" w:hAnsi="Garamond"/>
        </w:rPr>
        <w:t>l</w:t>
      </w:r>
      <w:r w:rsidR="00531A59" w:rsidRPr="008011EF">
        <w:rPr>
          <w:rFonts w:ascii="Garamond" w:hAnsi="Garamond"/>
        </w:rPr>
        <w:t xml:space="preserve">a </w:t>
      </w:r>
      <w:r w:rsidR="008F31C5" w:rsidRPr="008011EF">
        <w:rPr>
          <w:rFonts w:ascii="Garamond" w:hAnsi="Garamond"/>
        </w:rPr>
        <w:lastRenderedPageBreak/>
        <w:t xml:space="preserve">definición de las unidades de observación para el cálculo de la </w:t>
      </w:r>
      <w:r w:rsidR="00531A59" w:rsidRPr="008011EF">
        <w:rPr>
          <w:rFonts w:ascii="Garamond" w:hAnsi="Garamond"/>
        </w:rPr>
        <w:t>tasa de no respuesta</w:t>
      </w:r>
      <w:r w:rsidR="00CB5A2F">
        <w:rPr>
          <w:rFonts w:ascii="Garamond" w:hAnsi="Garamond"/>
        </w:rPr>
        <w:t>, l</w:t>
      </w:r>
      <w:r w:rsidR="00843A7C" w:rsidRPr="008011EF">
        <w:rPr>
          <w:rFonts w:ascii="Garamond" w:hAnsi="Garamond"/>
        </w:rPr>
        <w:t xml:space="preserve">a </w:t>
      </w:r>
      <w:r w:rsidR="00FE1A2F" w:rsidRPr="008011EF">
        <w:rPr>
          <w:rFonts w:ascii="Garamond" w:hAnsi="Garamond"/>
        </w:rPr>
        <w:t xml:space="preserve">interpretación </w:t>
      </w:r>
      <w:r w:rsidR="00C140BF" w:rsidRPr="008011EF">
        <w:rPr>
          <w:rFonts w:ascii="Garamond" w:hAnsi="Garamond"/>
        </w:rPr>
        <w:t>de la no respuesta a nivel variable</w:t>
      </w:r>
      <w:r w:rsidR="000919FA">
        <w:rPr>
          <w:rFonts w:ascii="Garamond" w:hAnsi="Garamond"/>
        </w:rPr>
        <w:t xml:space="preserve"> y l</w:t>
      </w:r>
      <w:r w:rsidR="009B157F" w:rsidRPr="008011EF">
        <w:rPr>
          <w:rFonts w:ascii="Garamond" w:hAnsi="Garamond"/>
        </w:rPr>
        <w:t xml:space="preserve">a </w:t>
      </w:r>
      <w:r w:rsidR="00E12C31" w:rsidRPr="008011EF">
        <w:rPr>
          <w:rFonts w:ascii="Garamond" w:hAnsi="Garamond"/>
        </w:rPr>
        <w:t xml:space="preserve">aplicación de </w:t>
      </w:r>
      <w:r w:rsidR="00FA2125" w:rsidRPr="008011EF">
        <w:rPr>
          <w:rFonts w:ascii="Garamond" w:hAnsi="Garamond"/>
        </w:rPr>
        <w:t>procedimiento</w:t>
      </w:r>
      <w:r w:rsidR="00E12C31" w:rsidRPr="008011EF">
        <w:rPr>
          <w:rFonts w:ascii="Garamond" w:hAnsi="Garamond"/>
        </w:rPr>
        <w:t>s</w:t>
      </w:r>
      <w:r w:rsidR="00FA2125" w:rsidRPr="008011EF">
        <w:rPr>
          <w:rFonts w:ascii="Garamond" w:hAnsi="Garamond"/>
        </w:rPr>
        <w:t xml:space="preserve"> </w:t>
      </w:r>
      <w:r w:rsidR="009B157F" w:rsidRPr="008011EF">
        <w:rPr>
          <w:rFonts w:ascii="Garamond" w:hAnsi="Garamond"/>
        </w:rPr>
        <w:t>de imputación</w:t>
      </w:r>
      <w:r w:rsidR="00FA2125" w:rsidRPr="008011EF">
        <w:rPr>
          <w:rFonts w:ascii="Garamond" w:hAnsi="Garamond"/>
        </w:rPr>
        <w:t>.</w:t>
      </w:r>
    </w:p>
    <w:p w14:paraId="64DA989B" w14:textId="0D7D5B6D" w:rsidR="00E95AED" w:rsidRPr="00232586" w:rsidRDefault="00533075" w:rsidP="002C368C">
      <w:pPr>
        <w:spacing w:before="240" w:after="0"/>
        <w:jc w:val="center"/>
        <w:rPr>
          <w:rFonts w:ascii="Garamond" w:hAnsi="Garamond"/>
          <w:sz w:val="20"/>
          <w:szCs w:val="20"/>
        </w:rPr>
      </w:pPr>
      <w:r w:rsidRPr="00B22C6E">
        <w:rPr>
          <w:rFonts w:ascii="Garamond" w:hAnsi="Garamond"/>
          <w:b/>
        </w:rPr>
        <w:t xml:space="preserve">Tabla </w:t>
      </w:r>
      <w:r>
        <w:rPr>
          <w:rFonts w:ascii="Garamond" w:hAnsi="Garamond"/>
          <w:b/>
        </w:rPr>
        <w:t>9</w:t>
      </w:r>
      <w:r w:rsidRPr="00B22C6E">
        <w:rPr>
          <w:rFonts w:ascii="Garamond" w:hAnsi="Garamond"/>
          <w:b/>
        </w:rPr>
        <w:t xml:space="preserve">. </w:t>
      </w:r>
      <w:r w:rsidR="00E95AED" w:rsidRPr="00533075">
        <w:rPr>
          <w:rFonts w:ascii="Garamond" w:hAnsi="Garamond"/>
          <w:b/>
        </w:rPr>
        <w:t>Resultados generales por unidad administrativa de los indicadores de precisión estadística</w:t>
      </w:r>
      <w:r w:rsidR="00B35AB0">
        <w:rPr>
          <w:rStyle w:val="Refdenotaalpie"/>
          <w:rFonts w:ascii="Garamond" w:hAnsi="Garamond"/>
          <w:b/>
        </w:rPr>
        <w:footnoteReference w:id="13"/>
      </w:r>
    </w:p>
    <w:tbl>
      <w:tblPr>
        <w:tblW w:w="10609" w:type="dxa"/>
        <w:jc w:val="center"/>
        <w:tblCellMar>
          <w:left w:w="70" w:type="dxa"/>
          <w:right w:w="70" w:type="dxa"/>
        </w:tblCellMar>
        <w:tblLook w:val="04A0" w:firstRow="1" w:lastRow="0" w:firstColumn="1" w:lastColumn="0" w:noHBand="0" w:noVBand="1"/>
      </w:tblPr>
      <w:tblGrid>
        <w:gridCol w:w="1009"/>
        <w:gridCol w:w="723"/>
        <w:gridCol w:w="748"/>
        <w:gridCol w:w="929"/>
        <w:gridCol w:w="723"/>
        <w:gridCol w:w="748"/>
        <w:gridCol w:w="929"/>
        <w:gridCol w:w="723"/>
        <w:gridCol w:w="748"/>
        <w:gridCol w:w="929"/>
        <w:gridCol w:w="723"/>
        <w:gridCol w:w="748"/>
        <w:gridCol w:w="929"/>
      </w:tblGrid>
      <w:tr w:rsidR="00E95AED" w:rsidRPr="00803AE0" w14:paraId="479F8AC3" w14:textId="77777777" w:rsidTr="00E12584">
        <w:trPr>
          <w:trHeight w:val="264"/>
          <w:jc w:val="center"/>
        </w:trPr>
        <w:tc>
          <w:tcPr>
            <w:tcW w:w="1009" w:type="dxa"/>
            <w:vMerge w:val="restart"/>
            <w:shd w:val="clear" w:color="000000" w:fill="002060"/>
            <w:noWrap/>
            <w:vAlign w:val="center"/>
            <w:hideMark/>
          </w:tcPr>
          <w:p w14:paraId="311D4D59" w14:textId="77777777" w:rsidR="00E95AED" w:rsidRPr="00803AE0" w:rsidRDefault="00E95AED" w:rsidP="00B36FB4">
            <w:pPr>
              <w:spacing w:after="0" w:line="240" w:lineRule="auto"/>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UA</w:t>
            </w:r>
          </w:p>
        </w:tc>
        <w:tc>
          <w:tcPr>
            <w:tcW w:w="2400" w:type="dxa"/>
            <w:gridSpan w:val="3"/>
            <w:shd w:val="clear" w:color="000000" w:fill="002060"/>
            <w:noWrap/>
            <w:vAlign w:val="center"/>
            <w:hideMark/>
          </w:tcPr>
          <w:p w14:paraId="4C2D1D68"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Tasa de no respuesta antes de imputación</w:t>
            </w:r>
          </w:p>
        </w:tc>
        <w:tc>
          <w:tcPr>
            <w:tcW w:w="2400" w:type="dxa"/>
            <w:gridSpan w:val="3"/>
            <w:shd w:val="clear" w:color="000000" w:fill="002060"/>
            <w:noWrap/>
            <w:vAlign w:val="center"/>
            <w:hideMark/>
          </w:tcPr>
          <w:p w14:paraId="79CE02F5"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Tasa de imputación</w:t>
            </w:r>
          </w:p>
        </w:tc>
        <w:tc>
          <w:tcPr>
            <w:tcW w:w="2400" w:type="dxa"/>
            <w:gridSpan w:val="3"/>
            <w:shd w:val="clear" w:color="000000" w:fill="002060"/>
            <w:noWrap/>
            <w:vAlign w:val="center"/>
            <w:hideMark/>
          </w:tcPr>
          <w:p w14:paraId="6F546B96"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Tasa de no respuesta después de imputación</w:t>
            </w:r>
          </w:p>
        </w:tc>
        <w:tc>
          <w:tcPr>
            <w:tcW w:w="2400" w:type="dxa"/>
            <w:gridSpan w:val="3"/>
            <w:shd w:val="clear" w:color="000000" w:fill="002060"/>
            <w:noWrap/>
            <w:vAlign w:val="center"/>
            <w:hideMark/>
          </w:tcPr>
          <w:p w14:paraId="14B039A1" w14:textId="5D3214C1"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 xml:space="preserve">Tasa de no respuesta por variable </w:t>
            </w:r>
          </w:p>
        </w:tc>
      </w:tr>
      <w:tr w:rsidR="00E95AED" w:rsidRPr="00803AE0" w14:paraId="2D6264FE" w14:textId="77777777" w:rsidTr="00E12584">
        <w:trPr>
          <w:trHeight w:val="264"/>
          <w:jc w:val="center"/>
        </w:trPr>
        <w:tc>
          <w:tcPr>
            <w:tcW w:w="1009" w:type="dxa"/>
            <w:vMerge/>
            <w:tcBorders>
              <w:left w:val="single" w:sz="4" w:space="0" w:color="D9D9D9"/>
            </w:tcBorders>
            <w:vAlign w:val="center"/>
            <w:hideMark/>
          </w:tcPr>
          <w:p w14:paraId="4E9B3A4C" w14:textId="77777777" w:rsidR="00E95AED" w:rsidRPr="00803AE0" w:rsidRDefault="00E95AED" w:rsidP="00B36FB4">
            <w:pPr>
              <w:spacing w:after="0" w:line="240" w:lineRule="auto"/>
              <w:rPr>
                <w:rFonts w:ascii="Garamond" w:eastAsia="Times New Roman" w:hAnsi="Garamond" w:cs="Calibri"/>
                <w:b/>
                <w:bCs/>
                <w:color w:val="FFFFFF"/>
                <w:sz w:val="20"/>
                <w:szCs w:val="20"/>
                <w:lang w:eastAsia="es-MX"/>
              </w:rPr>
            </w:pPr>
          </w:p>
        </w:tc>
        <w:tc>
          <w:tcPr>
            <w:tcW w:w="723" w:type="dxa"/>
            <w:shd w:val="clear" w:color="000000" w:fill="002060"/>
            <w:noWrap/>
            <w:vAlign w:val="center"/>
            <w:hideMark/>
          </w:tcPr>
          <w:p w14:paraId="34185F2F"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2021</w:t>
            </w:r>
          </w:p>
        </w:tc>
        <w:tc>
          <w:tcPr>
            <w:tcW w:w="748" w:type="dxa"/>
            <w:shd w:val="clear" w:color="000000" w:fill="002060"/>
            <w:noWrap/>
            <w:vAlign w:val="center"/>
            <w:hideMark/>
          </w:tcPr>
          <w:p w14:paraId="2608654B"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2022</w:t>
            </w:r>
          </w:p>
        </w:tc>
        <w:tc>
          <w:tcPr>
            <w:tcW w:w="929" w:type="dxa"/>
            <w:shd w:val="clear" w:color="000000" w:fill="002060"/>
            <w:noWrap/>
            <w:vAlign w:val="center"/>
            <w:hideMark/>
          </w:tcPr>
          <w:p w14:paraId="2B22B235"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2023*</w:t>
            </w:r>
          </w:p>
        </w:tc>
        <w:tc>
          <w:tcPr>
            <w:tcW w:w="723" w:type="dxa"/>
            <w:shd w:val="clear" w:color="000000" w:fill="002060"/>
            <w:noWrap/>
            <w:vAlign w:val="center"/>
            <w:hideMark/>
          </w:tcPr>
          <w:p w14:paraId="6D1B6B6D"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2021</w:t>
            </w:r>
          </w:p>
        </w:tc>
        <w:tc>
          <w:tcPr>
            <w:tcW w:w="748" w:type="dxa"/>
            <w:shd w:val="clear" w:color="000000" w:fill="002060"/>
            <w:noWrap/>
            <w:vAlign w:val="center"/>
            <w:hideMark/>
          </w:tcPr>
          <w:p w14:paraId="4FF51C13"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2022</w:t>
            </w:r>
          </w:p>
        </w:tc>
        <w:tc>
          <w:tcPr>
            <w:tcW w:w="929" w:type="dxa"/>
            <w:shd w:val="clear" w:color="000000" w:fill="002060"/>
            <w:noWrap/>
            <w:vAlign w:val="center"/>
            <w:hideMark/>
          </w:tcPr>
          <w:p w14:paraId="0942D8E7"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2023*</w:t>
            </w:r>
          </w:p>
        </w:tc>
        <w:tc>
          <w:tcPr>
            <w:tcW w:w="723" w:type="dxa"/>
            <w:shd w:val="clear" w:color="000000" w:fill="002060"/>
            <w:noWrap/>
            <w:vAlign w:val="center"/>
            <w:hideMark/>
          </w:tcPr>
          <w:p w14:paraId="6487BAC8"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2021</w:t>
            </w:r>
          </w:p>
        </w:tc>
        <w:tc>
          <w:tcPr>
            <w:tcW w:w="748" w:type="dxa"/>
            <w:shd w:val="clear" w:color="000000" w:fill="002060"/>
            <w:noWrap/>
            <w:vAlign w:val="center"/>
            <w:hideMark/>
          </w:tcPr>
          <w:p w14:paraId="46157295"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2022</w:t>
            </w:r>
          </w:p>
        </w:tc>
        <w:tc>
          <w:tcPr>
            <w:tcW w:w="929" w:type="dxa"/>
            <w:shd w:val="clear" w:color="000000" w:fill="002060"/>
            <w:noWrap/>
            <w:vAlign w:val="center"/>
            <w:hideMark/>
          </w:tcPr>
          <w:p w14:paraId="3FD9957F"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2023*</w:t>
            </w:r>
          </w:p>
        </w:tc>
        <w:tc>
          <w:tcPr>
            <w:tcW w:w="723" w:type="dxa"/>
            <w:shd w:val="clear" w:color="000000" w:fill="002060"/>
            <w:noWrap/>
            <w:vAlign w:val="center"/>
            <w:hideMark/>
          </w:tcPr>
          <w:p w14:paraId="1948FB09"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2021</w:t>
            </w:r>
          </w:p>
        </w:tc>
        <w:tc>
          <w:tcPr>
            <w:tcW w:w="748" w:type="dxa"/>
            <w:shd w:val="clear" w:color="000000" w:fill="002060"/>
            <w:noWrap/>
            <w:vAlign w:val="center"/>
            <w:hideMark/>
          </w:tcPr>
          <w:p w14:paraId="1FD35034"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2022</w:t>
            </w:r>
          </w:p>
        </w:tc>
        <w:tc>
          <w:tcPr>
            <w:tcW w:w="929" w:type="dxa"/>
            <w:shd w:val="clear" w:color="000000" w:fill="002060"/>
            <w:noWrap/>
            <w:vAlign w:val="center"/>
            <w:hideMark/>
          </w:tcPr>
          <w:p w14:paraId="08B89CC2" w14:textId="77777777" w:rsidR="00E95AED" w:rsidRPr="00803AE0" w:rsidRDefault="00E95AED" w:rsidP="00B36FB4">
            <w:pPr>
              <w:spacing w:after="0" w:line="240" w:lineRule="auto"/>
              <w:jc w:val="center"/>
              <w:rPr>
                <w:rFonts w:ascii="Garamond" w:eastAsia="Times New Roman" w:hAnsi="Garamond" w:cs="Calibri"/>
                <w:b/>
                <w:bCs/>
                <w:color w:val="FFFFFF"/>
                <w:sz w:val="20"/>
                <w:szCs w:val="20"/>
                <w:lang w:eastAsia="es-MX"/>
              </w:rPr>
            </w:pPr>
            <w:r w:rsidRPr="00803AE0">
              <w:rPr>
                <w:rFonts w:ascii="Garamond" w:eastAsia="Times New Roman" w:hAnsi="Garamond" w:cs="Calibri"/>
                <w:b/>
                <w:bCs/>
                <w:color w:val="FFFFFF"/>
                <w:sz w:val="20"/>
                <w:szCs w:val="20"/>
                <w:lang w:eastAsia="es-MX"/>
              </w:rPr>
              <w:t>2023*</w:t>
            </w:r>
          </w:p>
        </w:tc>
      </w:tr>
      <w:tr w:rsidR="00E95AED" w:rsidRPr="00803AE0" w14:paraId="280EB930" w14:textId="77777777" w:rsidTr="00555DF6">
        <w:trPr>
          <w:trHeight w:val="397"/>
          <w:jc w:val="center"/>
        </w:trPr>
        <w:tc>
          <w:tcPr>
            <w:tcW w:w="1009" w:type="dxa"/>
            <w:tcBorders>
              <w:top w:val="nil"/>
              <w:bottom w:val="single" w:sz="4" w:space="0" w:color="BFBFBF" w:themeColor="background1" w:themeShade="BF"/>
            </w:tcBorders>
            <w:shd w:val="clear" w:color="auto" w:fill="auto"/>
            <w:noWrap/>
            <w:vAlign w:val="center"/>
            <w:hideMark/>
          </w:tcPr>
          <w:p w14:paraId="32C925B0" w14:textId="396CC738" w:rsidR="00E95AED" w:rsidRPr="0055098E" w:rsidRDefault="002A6163" w:rsidP="00B36FB4">
            <w:pPr>
              <w:spacing w:after="0" w:line="240" w:lineRule="auto"/>
              <w:rPr>
                <w:rFonts w:ascii="Garamond" w:eastAsia="Times New Roman" w:hAnsi="Garamond" w:cs="Calibri"/>
                <w:smallCaps/>
                <w:color w:val="000000"/>
                <w:sz w:val="20"/>
                <w:szCs w:val="20"/>
                <w:lang w:eastAsia="es-MX"/>
              </w:rPr>
            </w:pPr>
            <w:proofErr w:type="spellStart"/>
            <w:r w:rsidRPr="0055098E">
              <w:rPr>
                <w:rFonts w:ascii="Garamond" w:eastAsia="Times New Roman" w:hAnsi="Garamond" w:cs="Calibri"/>
                <w:smallCaps/>
                <w:color w:val="000000"/>
                <w:sz w:val="20"/>
                <w:szCs w:val="20"/>
                <w:lang w:eastAsia="es-MX"/>
              </w:rPr>
              <w:t>dgee</w:t>
            </w:r>
            <w:proofErr w:type="spellEnd"/>
          </w:p>
        </w:tc>
        <w:tc>
          <w:tcPr>
            <w:tcW w:w="723" w:type="dxa"/>
            <w:tcBorders>
              <w:top w:val="nil"/>
              <w:bottom w:val="single" w:sz="4" w:space="0" w:color="BFBFBF" w:themeColor="background1" w:themeShade="BF"/>
            </w:tcBorders>
            <w:shd w:val="clear" w:color="auto" w:fill="auto"/>
            <w:noWrap/>
            <w:vAlign w:val="center"/>
            <w:hideMark/>
          </w:tcPr>
          <w:p w14:paraId="69B79A5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nil"/>
              <w:bottom w:val="single" w:sz="4" w:space="0" w:color="BFBFBF" w:themeColor="background1" w:themeShade="BF"/>
            </w:tcBorders>
            <w:shd w:val="clear" w:color="auto" w:fill="auto"/>
            <w:noWrap/>
            <w:vAlign w:val="center"/>
            <w:hideMark/>
          </w:tcPr>
          <w:p w14:paraId="43A9E24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929" w:type="dxa"/>
            <w:tcBorders>
              <w:top w:val="nil"/>
              <w:bottom w:val="single" w:sz="4" w:space="0" w:color="BFBFBF" w:themeColor="background1" w:themeShade="BF"/>
            </w:tcBorders>
            <w:shd w:val="clear" w:color="auto" w:fill="auto"/>
            <w:noWrap/>
            <w:vAlign w:val="center"/>
            <w:hideMark/>
          </w:tcPr>
          <w:p w14:paraId="675AF810"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c>
          <w:tcPr>
            <w:tcW w:w="723" w:type="dxa"/>
            <w:tcBorders>
              <w:top w:val="nil"/>
              <w:bottom w:val="single" w:sz="4" w:space="0" w:color="BFBFBF" w:themeColor="background1" w:themeShade="BF"/>
            </w:tcBorders>
            <w:shd w:val="clear" w:color="auto" w:fill="auto"/>
            <w:noWrap/>
            <w:vAlign w:val="center"/>
            <w:hideMark/>
          </w:tcPr>
          <w:p w14:paraId="27EB6D15"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nil"/>
              <w:bottom w:val="single" w:sz="4" w:space="0" w:color="BFBFBF" w:themeColor="background1" w:themeShade="BF"/>
            </w:tcBorders>
            <w:shd w:val="clear" w:color="auto" w:fill="auto"/>
            <w:noWrap/>
            <w:vAlign w:val="center"/>
            <w:hideMark/>
          </w:tcPr>
          <w:p w14:paraId="0DC48E5B"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929" w:type="dxa"/>
            <w:tcBorders>
              <w:top w:val="nil"/>
              <w:bottom w:val="single" w:sz="4" w:space="0" w:color="BFBFBF" w:themeColor="background1" w:themeShade="BF"/>
            </w:tcBorders>
            <w:shd w:val="clear" w:color="auto" w:fill="auto"/>
            <w:noWrap/>
            <w:vAlign w:val="center"/>
            <w:hideMark/>
          </w:tcPr>
          <w:p w14:paraId="4895F6B9"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nil"/>
              <w:bottom w:val="single" w:sz="4" w:space="0" w:color="BFBFBF" w:themeColor="background1" w:themeShade="BF"/>
            </w:tcBorders>
            <w:shd w:val="clear" w:color="auto" w:fill="auto"/>
            <w:noWrap/>
            <w:vAlign w:val="center"/>
            <w:hideMark/>
          </w:tcPr>
          <w:p w14:paraId="3C2703DB"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nil"/>
              <w:bottom w:val="single" w:sz="4" w:space="0" w:color="BFBFBF" w:themeColor="background1" w:themeShade="BF"/>
            </w:tcBorders>
            <w:shd w:val="clear" w:color="auto" w:fill="auto"/>
            <w:noWrap/>
            <w:vAlign w:val="center"/>
            <w:hideMark/>
          </w:tcPr>
          <w:p w14:paraId="3FCBAA92"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929" w:type="dxa"/>
            <w:tcBorders>
              <w:top w:val="nil"/>
              <w:bottom w:val="single" w:sz="4" w:space="0" w:color="BFBFBF" w:themeColor="background1" w:themeShade="BF"/>
            </w:tcBorders>
            <w:shd w:val="clear" w:color="auto" w:fill="auto"/>
            <w:noWrap/>
            <w:vAlign w:val="center"/>
            <w:hideMark/>
          </w:tcPr>
          <w:p w14:paraId="035B7DDB"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c>
          <w:tcPr>
            <w:tcW w:w="723" w:type="dxa"/>
            <w:tcBorders>
              <w:top w:val="nil"/>
              <w:bottom w:val="single" w:sz="4" w:space="0" w:color="BFBFBF" w:themeColor="background1" w:themeShade="BF"/>
            </w:tcBorders>
            <w:shd w:val="clear" w:color="auto" w:fill="auto"/>
            <w:noWrap/>
            <w:vAlign w:val="center"/>
            <w:hideMark/>
          </w:tcPr>
          <w:p w14:paraId="67F7F3B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nil"/>
              <w:bottom w:val="single" w:sz="4" w:space="0" w:color="BFBFBF" w:themeColor="background1" w:themeShade="BF"/>
            </w:tcBorders>
            <w:shd w:val="clear" w:color="auto" w:fill="auto"/>
            <w:noWrap/>
            <w:vAlign w:val="center"/>
            <w:hideMark/>
          </w:tcPr>
          <w:p w14:paraId="2E4E171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929" w:type="dxa"/>
            <w:tcBorders>
              <w:top w:val="nil"/>
              <w:bottom w:val="single" w:sz="4" w:space="0" w:color="BFBFBF" w:themeColor="background1" w:themeShade="BF"/>
            </w:tcBorders>
            <w:shd w:val="clear" w:color="auto" w:fill="auto"/>
            <w:noWrap/>
            <w:vAlign w:val="center"/>
            <w:hideMark/>
          </w:tcPr>
          <w:p w14:paraId="04D986A2"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r>
      <w:tr w:rsidR="00F52383" w:rsidRPr="00803AE0" w14:paraId="03EB06E6" w14:textId="77777777" w:rsidTr="00555DF6">
        <w:trPr>
          <w:trHeight w:val="397"/>
          <w:jc w:val="center"/>
        </w:trPr>
        <w:tc>
          <w:tcPr>
            <w:tcW w:w="10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E33317" w14:textId="1082A73D" w:rsidR="00E95AED" w:rsidRPr="0055098E" w:rsidRDefault="00302CEB" w:rsidP="00B36FB4">
            <w:pPr>
              <w:spacing w:after="0" w:line="240" w:lineRule="auto"/>
              <w:rPr>
                <w:rFonts w:ascii="Garamond" w:eastAsia="Times New Roman" w:hAnsi="Garamond" w:cs="Calibri"/>
                <w:smallCaps/>
                <w:color w:val="000000"/>
                <w:sz w:val="20"/>
                <w:szCs w:val="20"/>
                <w:lang w:eastAsia="es-MX"/>
              </w:rPr>
            </w:pPr>
            <w:proofErr w:type="spellStart"/>
            <w:r w:rsidRPr="0055098E">
              <w:rPr>
                <w:rFonts w:ascii="Garamond" w:eastAsia="Times New Roman" w:hAnsi="Garamond" w:cs="Calibri"/>
                <w:smallCaps/>
                <w:color w:val="000000"/>
                <w:sz w:val="20"/>
                <w:szCs w:val="20"/>
                <w:lang w:eastAsia="es-MX"/>
              </w:rPr>
              <w:t>dges</w:t>
            </w:r>
            <w:proofErr w:type="spellEnd"/>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22BCC3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46A2D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1E2D14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8448B9"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E69B34"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DCE3FF"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2379C4"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4031CA9"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6F4BAC"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6B6DBE1"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1E0AC7"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902513"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r>
      <w:tr w:rsidR="00E95AED" w:rsidRPr="00803AE0" w14:paraId="60DA7CC1" w14:textId="77777777" w:rsidTr="00555DF6">
        <w:trPr>
          <w:trHeight w:val="397"/>
          <w:jc w:val="center"/>
        </w:trPr>
        <w:tc>
          <w:tcPr>
            <w:tcW w:w="10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7461DF" w14:textId="7A3B7EFA" w:rsidR="00E95AED" w:rsidRPr="0055098E" w:rsidRDefault="00302CEB" w:rsidP="00B36FB4">
            <w:pPr>
              <w:spacing w:after="0" w:line="240" w:lineRule="auto"/>
              <w:rPr>
                <w:rFonts w:ascii="Garamond" w:eastAsia="Times New Roman" w:hAnsi="Garamond" w:cs="Calibri"/>
                <w:smallCaps/>
                <w:color w:val="000000"/>
                <w:sz w:val="20"/>
                <w:szCs w:val="20"/>
                <w:lang w:eastAsia="es-MX"/>
              </w:rPr>
            </w:pPr>
            <w:proofErr w:type="spellStart"/>
            <w:r w:rsidRPr="0055098E">
              <w:rPr>
                <w:rFonts w:ascii="Garamond" w:eastAsia="Times New Roman" w:hAnsi="Garamond" w:cs="Calibri"/>
                <w:smallCaps/>
                <w:color w:val="000000"/>
                <w:sz w:val="20"/>
                <w:szCs w:val="20"/>
                <w:lang w:eastAsia="es-MX"/>
              </w:rPr>
              <w:t>dge</w:t>
            </w:r>
            <w:r w:rsidR="00121CBA" w:rsidRPr="0055098E">
              <w:rPr>
                <w:rFonts w:ascii="Garamond" w:eastAsia="Times New Roman" w:hAnsi="Garamond" w:cs="Calibri"/>
                <w:smallCaps/>
                <w:color w:val="000000"/>
                <w:sz w:val="20"/>
                <w:szCs w:val="20"/>
                <w:lang w:eastAsia="es-MX"/>
              </w:rPr>
              <w:t>gspj</w:t>
            </w:r>
            <w:proofErr w:type="spellEnd"/>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DDB8A52"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A562B41"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2%</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6C630B0"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C467BC5"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07185F"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1%</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3ECC40"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22EA7F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EF6EC0"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788D6C"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D6419F"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A0655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5CF973"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r>
      <w:tr w:rsidR="00F52383" w:rsidRPr="00803AE0" w14:paraId="3E4516AF" w14:textId="77777777" w:rsidTr="00555DF6">
        <w:trPr>
          <w:trHeight w:val="397"/>
          <w:jc w:val="center"/>
        </w:trPr>
        <w:tc>
          <w:tcPr>
            <w:tcW w:w="10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F0D8FF" w14:textId="7A7FA335" w:rsidR="00E95AED" w:rsidRPr="0055098E" w:rsidRDefault="0055098E" w:rsidP="00B36FB4">
            <w:pPr>
              <w:spacing w:after="0" w:line="240" w:lineRule="auto"/>
              <w:rPr>
                <w:rFonts w:ascii="Garamond" w:eastAsia="Times New Roman" w:hAnsi="Garamond" w:cs="Calibri"/>
                <w:smallCaps/>
                <w:color w:val="000000"/>
                <w:sz w:val="20"/>
                <w:szCs w:val="20"/>
                <w:lang w:eastAsia="es-MX"/>
              </w:rPr>
            </w:pPr>
            <w:proofErr w:type="spellStart"/>
            <w:r w:rsidRPr="0055098E">
              <w:rPr>
                <w:rFonts w:ascii="Garamond" w:eastAsia="Times New Roman" w:hAnsi="Garamond" w:cs="Calibri"/>
                <w:smallCaps/>
                <w:color w:val="000000"/>
                <w:sz w:val="20"/>
                <w:szCs w:val="20"/>
                <w:lang w:eastAsia="es-MX"/>
              </w:rPr>
              <w:t>dggma</w:t>
            </w:r>
            <w:proofErr w:type="spellEnd"/>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AC18329"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CD16B2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09686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8F7F797"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E2151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505798"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43D3131"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950FDF"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38ECD94"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72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71925D"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w:t>
            </w:r>
          </w:p>
        </w:tc>
        <w:tc>
          <w:tcPr>
            <w:tcW w:w="74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08CD54"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c>
          <w:tcPr>
            <w:tcW w:w="92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4B9FDAA" w14:textId="77777777" w:rsidR="00E95AED" w:rsidRPr="00803AE0" w:rsidRDefault="00E95AED" w:rsidP="00B36FB4">
            <w:pPr>
              <w:spacing w:after="0" w:line="240" w:lineRule="auto"/>
              <w:jc w:val="center"/>
              <w:rPr>
                <w:rFonts w:ascii="Garamond" w:eastAsia="Times New Roman" w:hAnsi="Garamond" w:cs="Calibri"/>
                <w:color w:val="000000"/>
                <w:sz w:val="20"/>
                <w:szCs w:val="20"/>
                <w:lang w:eastAsia="es-MX"/>
              </w:rPr>
            </w:pPr>
            <w:r w:rsidRPr="00803AE0">
              <w:rPr>
                <w:rFonts w:ascii="Garamond" w:eastAsia="Times New Roman" w:hAnsi="Garamond" w:cs="Calibri"/>
                <w:color w:val="000000"/>
                <w:sz w:val="20"/>
                <w:szCs w:val="20"/>
                <w:lang w:eastAsia="es-MX"/>
              </w:rPr>
              <w:t>0%</w:t>
            </w:r>
          </w:p>
        </w:tc>
      </w:tr>
    </w:tbl>
    <w:p w14:paraId="7B840CB0" w14:textId="36A915C6" w:rsidR="00E95AED" w:rsidRPr="00232586" w:rsidRDefault="00E95AED" w:rsidP="00E95AED">
      <w:pPr>
        <w:spacing w:after="0"/>
        <w:ind w:left="142"/>
        <w:jc w:val="both"/>
        <w:rPr>
          <w:rFonts w:ascii="Garamond" w:hAnsi="Garamond"/>
          <w:sz w:val="16"/>
          <w:szCs w:val="16"/>
        </w:rPr>
      </w:pPr>
      <w:r w:rsidRPr="00232586">
        <w:rPr>
          <w:rFonts w:ascii="Garamond" w:hAnsi="Garamond"/>
          <w:sz w:val="16"/>
          <w:szCs w:val="16"/>
        </w:rPr>
        <w:t>*</w:t>
      </w:r>
      <w:r w:rsidR="006732CA">
        <w:rPr>
          <w:rFonts w:ascii="Garamond" w:hAnsi="Garamond"/>
          <w:sz w:val="16"/>
          <w:szCs w:val="16"/>
        </w:rPr>
        <w:t xml:space="preserve"> </w:t>
      </w:r>
      <w:r w:rsidRPr="00232586">
        <w:rPr>
          <w:rFonts w:ascii="Garamond" w:hAnsi="Garamond"/>
          <w:sz w:val="16"/>
          <w:szCs w:val="16"/>
        </w:rPr>
        <w:t>Estos datos corresponden a los indicadores registrados en metadatos durante 2023, independientemente del período de publicación de la información.</w:t>
      </w:r>
    </w:p>
    <w:p w14:paraId="4033C3D9" w14:textId="2578C121" w:rsidR="00840A53" w:rsidRPr="008011EF" w:rsidRDefault="00425DED" w:rsidP="007A4B1D">
      <w:pPr>
        <w:pStyle w:val="Ttulo3"/>
        <w:spacing w:before="240"/>
        <w:rPr>
          <w:rFonts w:ascii="Garamond" w:eastAsiaTheme="minorHAnsi" w:hAnsi="Garamond" w:cstheme="minorBidi"/>
          <w:bCs/>
          <w:color w:val="0079BF"/>
          <w:sz w:val="22"/>
          <w:szCs w:val="22"/>
        </w:rPr>
      </w:pPr>
      <w:bookmarkStart w:id="10" w:name="_Toc164684574"/>
      <w:r w:rsidRPr="008011EF">
        <w:rPr>
          <w:rFonts w:ascii="Garamond" w:hAnsi="Garamond"/>
          <w:color w:val="0079BF"/>
          <w:sz w:val="22"/>
          <w:szCs w:val="22"/>
        </w:rPr>
        <w:t>D</w:t>
      </w:r>
      <w:r w:rsidR="00840A53" w:rsidRPr="008011EF">
        <w:rPr>
          <w:rFonts w:ascii="Garamond" w:hAnsi="Garamond"/>
          <w:color w:val="0079BF"/>
          <w:sz w:val="22"/>
          <w:szCs w:val="22"/>
        </w:rPr>
        <w:t xml:space="preserve">. </w:t>
      </w:r>
      <w:r w:rsidR="00DE64FB" w:rsidRPr="008011EF">
        <w:rPr>
          <w:rFonts w:ascii="Garamond" w:hAnsi="Garamond"/>
          <w:color w:val="0079BF"/>
          <w:sz w:val="22"/>
          <w:szCs w:val="22"/>
        </w:rPr>
        <w:t>Precisión en la información proveniente</w:t>
      </w:r>
      <w:r w:rsidR="00840A53" w:rsidRPr="008011EF">
        <w:rPr>
          <w:rFonts w:ascii="Garamond" w:hAnsi="Garamond"/>
          <w:color w:val="0079BF"/>
          <w:sz w:val="22"/>
          <w:szCs w:val="22"/>
        </w:rPr>
        <w:t xml:space="preserve"> de </w:t>
      </w:r>
      <w:r w:rsidR="00931152" w:rsidRPr="008011EF">
        <w:rPr>
          <w:rFonts w:ascii="Garamond" w:hAnsi="Garamond"/>
          <w:color w:val="0079BF"/>
          <w:sz w:val="22"/>
          <w:szCs w:val="22"/>
        </w:rPr>
        <w:t>encuestas</w:t>
      </w:r>
      <w:bookmarkEnd w:id="10"/>
    </w:p>
    <w:p w14:paraId="01E256A4" w14:textId="3A2BAEA1" w:rsidR="007A4B1D" w:rsidRPr="008011EF" w:rsidRDefault="004A0E82" w:rsidP="008A6641">
      <w:pPr>
        <w:spacing w:before="120"/>
        <w:jc w:val="both"/>
        <w:rPr>
          <w:rFonts w:ascii="Garamond" w:hAnsi="Garamond" w:cstheme="minorHAnsi"/>
        </w:rPr>
      </w:pPr>
      <w:r w:rsidRPr="008011EF">
        <w:rPr>
          <w:rFonts w:ascii="Garamond" w:hAnsi="Garamond" w:cstheme="minorHAnsi"/>
        </w:rPr>
        <w:t xml:space="preserve">El porcentaje de dominios de estudio de encuestas no probabilísticas que presentaron alta calidad estadística en la </w:t>
      </w:r>
      <w:r w:rsidR="002F1D0D" w:rsidRPr="008011EF">
        <w:rPr>
          <w:rFonts w:ascii="Garamond" w:hAnsi="Garamond" w:cstheme="minorHAnsi"/>
        </w:rPr>
        <w:t>c</w:t>
      </w:r>
      <w:r w:rsidRPr="008011EF">
        <w:rPr>
          <w:rFonts w:ascii="Garamond" w:hAnsi="Garamond" w:cstheme="minorHAnsi"/>
        </w:rPr>
        <w:t xml:space="preserve">obertura de la </w:t>
      </w:r>
      <w:r w:rsidR="002F1D0D" w:rsidRPr="008011EF">
        <w:rPr>
          <w:rFonts w:ascii="Garamond" w:hAnsi="Garamond" w:cstheme="minorHAnsi"/>
        </w:rPr>
        <w:t>v</w:t>
      </w:r>
      <w:r w:rsidRPr="008011EF">
        <w:rPr>
          <w:rFonts w:ascii="Garamond" w:hAnsi="Garamond" w:cstheme="minorHAnsi"/>
        </w:rPr>
        <w:t xml:space="preserve">ariable de </w:t>
      </w:r>
      <w:r w:rsidR="002F1D0D" w:rsidRPr="008011EF">
        <w:rPr>
          <w:rFonts w:ascii="Garamond" w:hAnsi="Garamond" w:cstheme="minorHAnsi"/>
        </w:rPr>
        <w:t>d</w:t>
      </w:r>
      <w:r w:rsidRPr="008011EF">
        <w:rPr>
          <w:rFonts w:ascii="Garamond" w:hAnsi="Garamond" w:cstheme="minorHAnsi"/>
        </w:rPr>
        <w:t>iseño se increment</w:t>
      </w:r>
      <w:r w:rsidR="003170D8" w:rsidRPr="008011EF">
        <w:rPr>
          <w:rFonts w:ascii="Garamond" w:hAnsi="Garamond" w:cstheme="minorHAnsi"/>
        </w:rPr>
        <w:t>ó</w:t>
      </w:r>
      <w:r w:rsidRPr="008011EF">
        <w:rPr>
          <w:rFonts w:ascii="Garamond" w:hAnsi="Garamond" w:cstheme="minorHAnsi"/>
        </w:rPr>
        <w:t xml:space="preserve"> </w:t>
      </w:r>
      <w:r w:rsidR="003170D8" w:rsidRPr="008011EF">
        <w:rPr>
          <w:rFonts w:ascii="Garamond" w:hAnsi="Garamond" w:cstheme="minorHAnsi"/>
        </w:rPr>
        <w:t>en</w:t>
      </w:r>
      <w:r w:rsidRPr="008011EF">
        <w:rPr>
          <w:rFonts w:ascii="Garamond" w:hAnsi="Garamond" w:cstheme="minorHAnsi"/>
        </w:rPr>
        <w:t xml:space="preserve"> 2023 (ver </w:t>
      </w:r>
      <w:r w:rsidR="0002039F" w:rsidRPr="008011EF">
        <w:rPr>
          <w:rFonts w:ascii="Garamond" w:hAnsi="Garamond" w:cstheme="minorHAnsi"/>
        </w:rPr>
        <w:t>Tabla</w:t>
      </w:r>
      <w:r w:rsidRPr="008011EF">
        <w:rPr>
          <w:rFonts w:ascii="Garamond" w:hAnsi="Garamond" w:cstheme="minorHAnsi"/>
        </w:rPr>
        <w:t xml:space="preserve"> </w:t>
      </w:r>
      <w:r w:rsidR="001E47E5">
        <w:rPr>
          <w:rFonts w:ascii="Garamond" w:hAnsi="Garamond" w:cstheme="minorHAnsi"/>
        </w:rPr>
        <w:t>10</w:t>
      </w:r>
      <w:r w:rsidRPr="008011EF">
        <w:rPr>
          <w:rFonts w:ascii="Garamond" w:hAnsi="Garamond" w:cstheme="minorHAnsi"/>
        </w:rPr>
        <w:t xml:space="preserve">), </w:t>
      </w:r>
      <w:r w:rsidR="00F535E8" w:rsidRPr="008011EF">
        <w:rPr>
          <w:rFonts w:ascii="Garamond" w:hAnsi="Garamond" w:cstheme="minorHAnsi"/>
        </w:rPr>
        <w:t xml:space="preserve">lo cual es resultado del </w:t>
      </w:r>
      <w:r w:rsidRPr="008011EF">
        <w:rPr>
          <w:rFonts w:ascii="Garamond" w:hAnsi="Garamond" w:cstheme="minorHAnsi"/>
        </w:rPr>
        <w:t xml:space="preserve">cambio de serie de 2013 a 2018 de las encuestas económicas </w:t>
      </w:r>
      <w:r w:rsidR="000010ED">
        <w:rPr>
          <w:rFonts w:ascii="Garamond" w:hAnsi="Garamond" w:cstheme="minorHAnsi"/>
        </w:rPr>
        <w:t xml:space="preserve">nacionales </w:t>
      </w:r>
      <w:r w:rsidR="00A93961" w:rsidRPr="008011EF">
        <w:rPr>
          <w:rFonts w:ascii="Garamond" w:hAnsi="Garamond" w:cstheme="minorHAnsi"/>
        </w:rPr>
        <w:t xml:space="preserve">en las que se </w:t>
      </w:r>
      <w:r w:rsidRPr="008011EF">
        <w:rPr>
          <w:rFonts w:ascii="Garamond" w:hAnsi="Garamond" w:cstheme="minorHAnsi"/>
        </w:rPr>
        <w:t>aument</w:t>
      </w:r>
      <w:r w:rsidR="00A93961" w:rsidRPr="008011EF">
        <w:rPr>
          <w:rFonts w:ascii="Garamond" w:hAnsi="Garamond" w:cstheme="minorHAnsi"/>
        </w:rPr>
        <w:t>ó</w:t>
      </w:r>
      <w:r w:rsidRPr="008011EF">
        <w:rPr>
          <w:rFonts w:ascii="Garamond" w:hAnsi="Garamond" w:cstheme="minorHAnsi"/>
        </w:rPr>
        <w:t xml:space="preserve"> la captación de dominios de estudio probabilístic</w:t>
      </w:r>
      <w:r w:rsidR="00D23596" w:rsidRPr="008011EF">
        <w:rPr>
          <w:rFonts w:ascii="Garamond" w:hAnsi="Garamond" w:cstheme="minorHAnsi"/>
        </w:rPr>
        <w:t>os</w:t>
      </w:r>
      <w:r w:rsidRPr="008011EF">
        <w:rPr>
          <w:rFonts w:ascii="Garamond" w:hAnsi="Garamond" w:cstheme="minorHAnsi"/>
        </w:rPr>
        <w:t>.</w:t>
      </w:r>
    </w:p>
    <w:p w14:paraId="724395D7" w14:textId="36111B1E" w:rsidR="00931152" w:rsidRPr="008011EF" w:rsidRDefault="0002039F" w:rsidP="003F486F">
      <w:pPr>
        <w:spacing w:before="240" w:after="0"/>
        <w:jc w:val="center"/>
        <w:rPr>
          <w:rFonts w:ascii="Garamond" w:hAnsi="Garamond"/>
        </w:rPr>
      </w:pPr>
      <w:r w:rsidRPr="008011EF">
        <w:rPr>
          <w:rFonts w:ascii="Garamond" w:hAnsi="Garamond"/>
          <w:b/>
        </w:rPr>
        <w:t xml:space="preserve">Tabla </w:t>
      </w:r>
      <w:r w:rsidR="001E47E5">
        <w:rPr>
          <w:rFonts w:ascii="Garamond" w:hAnsi="Garamond"/>
          <w:b/>
        </w:rPr>
        <w:t>10</w:t>
      </w:r>
      <w:r w:rsidR="0020777A" w:rsidRPr="008011EF">
        <w:rPr>
          <w:rFonts w:ascii="Garamond" w:hAnsi="Garamond"/>
          <w:b/>
        </w:rPr>
        <w:t>.</w:t>
      </w:r>
      <w:r w:rsidR="00931152" w:rsidRPr="008011EF">
        <w:rPr>
          <w:rFonts w:ascii="Garamond" w:hAnsi="Garamond"/>
          <w:b/>
        </w:rPr>
        <w:t xml:space="preserve"> Resultados </w:t>
      </w:r>
      <w:r w:rsidR="00E85F89" w:rsidRPr="008011EF">
        <w:rPr>
          <w:rFonts w:ascii="Garamond" w:hAnsi="Garamond"/>
          <w:b/>
        </w:rPr>
        <w:t>g</w:t>
      </w:r>
      <w:r w:rsidR="00931152" w:rsidRPr="008011EF">
        <w:rPr>
          <w:rFonts w:ascii="Garamond" w:hAnsi="Garamond"/>
          <w:b/>
        </w:rPr>
        <w:t xml:space="preserve">enerales </w:t>
      </w:r>
      <w:r w:rsidR="00DF7DB0" w:rsidRPr="008011EF">
        <w:rPr>
          <w:rFonts w:ascii="Garamond" w:hAnsi="Garamond"/>
          <w:b/>
        </w:rPr>
        <w:t>en</w:t>
      </w:r>
      <w:r w:rsidR="00931152" w:rsidRPr="008011EF">
        <w:rPr>
          <w:rFonts w:ascii="Garamond" w:hAnsi="Garamond"/>
          <w:b/>
        </w:rPr>
        <w:t xml:space="preserve"> la </w:t>
      </w:r>
      <w:r w:rsidR="00E85F89" w:rsidRPr="008011EF">
        <w:rPr>
          <w:rFonts w:ascii="Garamond" w:hAnsi="Garamond"/>
          <w:b/>
        </w:rPr>
        <w:t>c</w:t>
      </w:r>
      <w:r w:rsidR="00931152" w:rsidRPr="008011EF">
        <w:rPr>
          <w:rFonts w:ascii="Garamond" w:hAnsi="Garamond"/>
          <w:b/>
        </w:rPr>
        <w:t xml:space="preserve">obertura de la </w:t>
      </w:r>
      <w:r w:rsidR="00DF7DB0" w:rsidRPr="008011EF">
        <w:rPr>
          <w:rFonts w:ascii="Garamond" w:hAnsi="Garamond"/>
          <w:b/>
        </w:rPr>
        <w:t>v</w:t>
      </w:r>
      <w:r w:rsidR="00931152" w:rsidRPr="008011EF">
        <w:rPr>
          <w:rFonts w:ascii="Garamond" w:hAnsi="Garamond"/>
          <w:b/>
        </w:rPr>
        <w:t xml:space="preserve">ariable de </w:t>
      </w:r>
      <w:r w:rsidR="00DF7DB0" w:rsidRPr="008011EF">
        <w:rPr>
          <w:rFonts w:ascii="Garamond" w:hAnsi="Garamond"/>
          <w:b/>
        </w:rPr>
        <w:t>d</w:t>
      </w:r>
      <w:r w:rsidR="00931152" w:rsidRPr="008011EF">
        <w:rPr>
          <w:rFonts w:ascii="Garamond" w:hAnsi="Garamond"/>
          <w:b/>
        </w:rPr>
        <w:t xml:space="preserve">iseño y los </w:t>
      </w:r>
      <w:r w:rsidR="00DF7DB0" w:rsidRPr="008011EF">
        <w:rPr>
          <w:rFonts w:ascii="Garamond" w:hAnsi="Garamond"/>
          <w:b/>
        </w:rPr>
        <w:t>c</w:t>
      </w:r>
      <w:r w:rsidR="00931152" w:rsidRPr="008011EF">
        <w:rPr>
          <w:rFonts w:ascii="Garamond" w:hAnsi="Garamond"/>
          <w:b/>
        </w:rPr>
        <w:t xml:space="preserve">oeficientes de </w:t>
      </w:r>
      <w:r w:rsidR="00DF7DB0" w:rsidRPr="008011EF">
        <w:rPr>
          <w:rFonts w:ascii="Garamond" w:hAnsi="Garamond"/>
          <w:b/>
        </w:rPr>
        <w:t>v</w:t>
      </w:r>
      <w:r w:rsidR="00931152" w:rsidRPr="008011EF">
        <w:rPr>
          <w:rFonts w:ascii="Garamond" w:hAnsi="Garamond"/>
          <w:b/>
        </w:rPr>
        <w:t>ariación</w:t>
      </w:r>
      <w:r w:rsidR="00472DF7">
        <w:rPr>
          <w:rStyle w:val="Refdenotaalpie"/>
          <w:rFonts w:ascii="Garamond" w:hAnsi="Garamond"/>
          <w:b/>
        </w:rPr>
        <w:footnoteReference w:id="14"/>
      </w:r>
    </w:p>
    <w:tbl>
      <w:tblPr>
        <w:tblW w:w="10082" w:type="dxa"/>
        <w:jc w:val="center"/>
        <w:tblBorders>
          <w:top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946"/>
        <w:gridCol w:w="1140"/>
        <w:gridCol w:w="998"/>
        <w:gridCol w:w="998"/>
      </w:tblGrid>
      <w:tr w:rsidR="0032058E" w:rsidRPr="008011EF" w14:paraId="528DEE01" w14:textId="77777777" w:rsidTr="000370DE">
        <w:trPr>
          <w:trHeight w:val="284"/>
          <w:tblHeader/>
          <w:jc w:val="center"/>
        </w:trPr>
        <w:tc>
          <w:tcPr>
            <w:tcW w:w="6946" w:type="dxa"/>
            <w:tcBorders>
              <w:bottom w:val="single" w:sz="4" w:space="0" w:color="BFBFBF" w:themeColor="background1" w:themeShade="BF"/>
              <w:right w:val="nil"/>
            </w:tcBorders>
            <w:shd w:val="clear" w:color="000000" w:fill="002060"/>
            <w:vAlign w:val="center"/>
            <w:hideMark/>
          </w:tcPr>
          <w:p w14:paraId="25D83E7C" w14:textId="27503A11" w:rsidR="0032058E" w:rsidRPr="008011EF" w:rsidRDefault="0032058E" w:rsidP="004A0E82">
            <w:pPr>
              <w:spacing w:after="0"/>
              <w:contextualSpacing/>
              <w:jc w:val="center"/>
              <w:rPr>
                <w:rFonts w:ascii="Garamond" w:hAnsi="Garamond" w:cs="Calibri"/>
                <w:b/>
                <w:bCs/>
                <w:color w:val="FFFFFF"/>
                <w:sz w:val="20"/>
                <w:szCs w:val="20"/>
              </w:rPr>
            </w:pPr>
            <w:r w:rsidRPr="008011EF">
              <w:rPr>
                <w:rFonts w:ascii="Garamond" w:hAnsi="Garamond" w:cs="Calibri"/>
                <w:b/>
                <w:bCs/>
                <w:color w:val="FFFFFF"/>
                <w:sz w:val="20"/>
                <w:szCs w:val="20"/>
              </w:rPr>
              <w:t>Indicador</w:t>
            </w:r>
          </w:p>
        </w:tc>
        <w:tc>
          <w:tcPr>
            <w:tcW w:w="1140" w:type="dxa"/>
            <w:tcBorders>
              <w:left w:val="nil"/>
              <w:bottom w:val="single" w:sz="4" w:space="0" w:color="BFBFBF" w:themeColor="background1" w:themeShade="BF"/>
              <w:right w:val="nil"/>
            </w:tcBorders>
            <w:shd w:val="clear" w:color="000000" w:fill="002060"/>
            <w:vAlign w:val="center"/>
          </w:tcPr>
          <w:p w14:paraId="73E1EBBE" w14:textId="018C7B77" w:rsidR="0032058E" w:rsidRPr="008011EF" w:rsidRDefault="0032058E" w:rsidP="00B31E08">
            <w:pPr>
              <w:spacing w:after="0"/>
              <w:contextualSpacing/>
              <w:jc w:val="center"/>
              <w:rPr>
                <w:rFonts w:ascii="Garamond" w:hAnsi="Garamond" w:cs="Calibri"/>
                <w:b/>
                <w:bCs/>
                <w:color w:val="FFFFFF"/>
                <w:sz w:val="20"/>
                <w:szCs w:val="20"/>
              </w:rPr>
            </w:pPr>
            <w:r w:rsidRPr="008011EF">
              <w:rPr>
                <w:rFonts w:ascii="Garamond" w:hAnsi="Garamond" w:cs="Calibri"/>
                <w:b/>
                <w:bCs/>
                <w:color w:val="FFFFFF"/>
                <w:sz w:val="20"/>
                <w:szCs w:val="20"/>
              </w:rPr>
              <w:t>2019</w:t>
            </w:r>
            <w:r w:rsidR="00561025">
              <w:rPr>
                <w:rFonts w:ascii="Garamond" w:hAnsi="Garamond" w:cs="Calibri"/>
                <w:b/>
                <w:bCs/>
                <w:color w:val="FFFFFF"/>
                <w:sz w:val="20"/>
                <w:szCs w:val="20"/>
              </w:rPr>
              <w:t>+</w:t>
            </w:r>
          </w:p>
        </w:tc>
        <w:tc>
          <w:tcPr>
            <w:tcW w:w="998" w:type="dxa"/>
            <w:tcBorders>
              <w:left w:val="nil"/>
              <w:bottom w:val="single" w:sz="4" w:space="0" w:color="BFBFBF" w:themeColor="background1" w:themeShade="BF"/>
              <w:right w:val="nil"/>
            </w:tcBorders>
            <w:shd w:val="clear" w:color="000000" w:fill="002060"/>
            <w:vAlign w:val="center"/>
          </w:tcPr>
          <w:p w14:paraId="1D6B2296" w14:textId="59D3A7E0" w:rsidR="0032058E" w:rsidRPr="008011EF" w:rsidRDefault="0032058E" w:rsidP="004A0E82">
            <w:pPr>
              <w:spacing w:after="0"/>
              <w:contextualSpacing/>
              <w:jc w:val="center"/>
              <w:rPr>
                <w:rFonts w:ascii="Garamond" w:hAnsi="Garamond" w:cs="Calibri"/>
                <w:b/>
                <w:bCs/>
                <w:color w:val="FFFFFF"/>
                <w:sz w:val="20"/>
                <w:szCs w:val="20"/>
              </w:rPr>
            </w:pPr>
            <w:r w:rsidRPr="008011EF">
              <w:rPr>
                <w:rFonts w:ascii="Garamond" w:hAnsi="Garamond" w:cs="Calibri"/>
                <w:b/>
                <w:bCs/>
                <w:color w:val="FFFFFF"/>
                <w:sz w:val="20"/>
                <w:szCs w:val="20"/>
              </w:rPr>
              <w:t>2022</w:t>
            </w:r>
          </w:p>
        </w:tc>
        <w:tc>
          <w:tcPr>
            <w:tcW w:w="998" w:type="dxa"/>
            <w:tcBorders>
              <w:left w:val="nil"/>
            </w:tcBorders>
            <w:shd w:val="clear" w:color="000000" w:fill="002060"/>
            <w:vAlign w:val="center"/>
          </w:tcPr>
          <w:p w14:paraId="3D1DC9EA" w14:textId="210ED142" w:rsidR="0032058E" w:rsidRPr="008011EF" w:rsidRDefault="0032058E" w:rsidP="004A0E82">
            <w:pPr>
              <w:spacing w:after="0"/>
              <w:contextualSpacing/>
              <w:jc w:val="center"/>
              <w:rPr>
                <w:rFonts w:ascii="Garamond" w:hAnsi="Garamond" w:cs="Calibri"/>
                <w:b/>
                <w:bCs/>
                <w:color w:val="FFFFFF"/>
                <w:sz w:val="20"/>
                <w:szCs w:val="20"/>
              </w:rPr>
            </w:pPr>
            <w:r w:rsidRPr="008011EF">
              <w:rPr>
                <w:rFonts w:ascii="Garamond" w:hAnsi="Garamond" w:cs="Calibri"/>
                <w:b/>
                <w:bCs/>
                <w:color w:val="FFFFFF"/>
                <w:sz w:val="20"/>
                <w:szCs w:val="20"/>
              </w:rPr>
              <w:t>2023</w:t>
            </w:r>
          </w:p>
        </w:tc>
      </w:tr>
      <w:tr w:rsidR="0032058E" w:rsidRPr="008011EF" w14:paraId="5D13CA31" w14:textId="77777777" w:rsidTr="000370DE">
        <w:trPr>
          <w:trHeight w:val="567"/>
          <w:jc w:val="center"/>
        </w:trPr>
        <w:tc>
          <w:tcPr>
            <w:tcW w:w="6946" w:type="dxa"/>
            <w:tcBorders>
              <w:bottom w:val="single" w:sz="4" w:space="0" w:color="BFBFBF" w:themeColor="background1" w:themeShade="BF"/>
              <w:right w:val="nil"/>
            </w:tcBorders>
            <w:shd w:val="clear" w:color="auto" w:fill="auto"/>
            <w:noWrap/>
            <w:vAlign w:val="center"/>
          </w:tcPr>
          <w:p w14:paraId="29F07C93" w14:textId="1E9C5DB0" w:rsidR="0032058E" w:rsidRPr="008011EF" w:rsidRDefault="0032058E" w:rsidP="002225F3">
            <w:pPr>
              <w:spacing w:after="0"/>
              <w:ind w:left="142"/>
              <w:rPr>
                <w:rFonts w:ascii="Garamond" w:hAnsi="Garamond"/>
                <w:sz w:val="20"/>
                <w:szCs w:val="20"/>
              </w:rPr>
            </w:pPr>
            <w:r w:rsidRPr="008011EF">
              <w:rPr>
                <w:rFonts w:ascii="Garamond" w:hAnsi="Garamond"/>
                <w:sz w:val="20"/>
                <w:szCs w:val="20"/>
              </w:rPr>
              <w:t xml:space="preserve">Porcentaje de dominios de estudio de encuestas no probabilísticas que presentaron alta calidad estadística en </w:t>
            </w:r>
            <w:r w:rsidR="009E7BBF" w:rsidRPr="008011EF">
              <w:rPr>
                <w:rFonts w:ascii="Garamond" w:hAnsi="Garamond"/>
                <w:sz w:val="20"/>
                <w:szCs w:val="20"/>
              </w:rPr>
              <w:t xml:space="preserve">la </w:t>
            </w:r>
            <w:r w:rsidR="00DF7DB0" w:rsidRPr="008011EF">
              <w:rPr>
                <w:rFonts w:ascii="Garamond" w:hAnsi="Garamond"/>
                <w:sz w:val="20"/>
                <w:szCs w:val="20"/>
              </w:rPr>
              <w:t>c</w:t>
            </w:r>
            <w:r w:rsidRPr="008011EF">
              <w:rPr>
                <w:rFonts w:ascii="Garamond" w:hAnsi="Garamond"/>
                <w:sz w:val="20"/>
                <w:szCs w:val="20"/>
              </w:rPr>
              <w:t xml:space="preserve">obertura de la </w:t>
            </w:r>
            <w:r w:rsidR="00DF7DB0" w:rsidRPr="008011EF">
              <w:rPr>
                <w:rFonts w:ascii="Garamond" w:hAnsi="Garamond"/>
                <w:sz w:val="20"/>
                <w:szCs w:val="20"/>
              </w:rPr>
              <w:t>v</w:t>
            </w:r>
            <w:r w:rsidRPr="008011EF">
              <w:rPr>
                <w:rFonts w:ascii="Garamond" w:hAnsi="Garamond"/>
                <w:sz w:val="20"/>
                <w:szCs w:val="20"/>
              </w:rPr>
              <w:t xml:space="preserve">ariable de </w:t>
            </w:r>
            <w:r w:rsidR="00DF7DB0" w:rsidRPr="008011EF">
              <w:rPr>
                <w:rFonts w:ascii="Garamond" w:hAnsi="Garamond"/>
                <w:sz w:val="20"/>
                <w:szCs w:val="20"/>
              </w:rPr>
              <w:t>d</w:t>
            </w:r>
            <w:r w:rsidRPr="008011EF">
              <w:rPr>
                <w:rFonts w:ascii="Garamond" w:hAnsi="Garamond"/>
                <w:sz w:val="20"/>
                <w:szCs w:val="20"/>
              </w:rPr>
              <w:t>iseño para los indicadores-objetivo publicados</w:t>
            </w:r>
          </w:p>
        </w:tc>
        <w:tc>
          <w:tcPr>
            <w:tcW w:w="1140" w:type="dxa"/>
            <w:tcBorders>
              <w:left w:val="nil"/>
              <w:bottom w:val="single" w:sz="4" w:space="0" w:color="BFBFBF" w:themeColor="background1" w:themeShade="BF"/>
              <w:right w:val="nil"/>
            </w:tcBorders>
            <w:shd w:val="clear" w:color="auto" w:fill="auto"/>
            <w:vAlign w:val="center"/>
          </w:tcPr>
          <w:p w14:paraId="09E7CF93" w14:textId="77777777" w:rsidR="0032058E" w:rsidRPr="008011EF" w:rsidRDefault="0032058E" w:rsidP="004A0E82">
            <w:pPr>
              <w:spacing w:after="0"/>
              <w:contextualSpacing/>
              <w:jc w:val="center"/>
              <w:rPr>
                <w:rFonts w:ascii="Garamond" w:hAnsi="Garamond"/>
                <w:b/>
                <w:sz w:val="20"/>
                <w:szCs w:val="20"/>
              </w:rPr>
            </w:pPr>
            <w:r w:rsidRPr="008011EF">
              <w:rPr>
                <w:rFonts w:ascii="Garamond" w:hAnsi="Garamond" w:cs="Calibri"/>
                <w:sz w:val="20"/>
                <w:szCs w:val="20"/>
              </w:rPr>
              <w:t>75%</w:t>
            </w:r>
          </w:p>
        </w:tc>
        <w:tc>
          <w:tcPr>
            <w:tcW w:w="998" w:type="dxa"/>
            <w:tcBorders>
              <w:left w:val="nil"/>
              <w:bottom w:val="single" w:sz="4" w:space="0" w:color="BFBFBF" w:themeColor="background1" w:themeShade="BF"/>
              <w:right w:val="nil"/>
            </w:tcBorders>
            <w:vAlign w:val="center"/>
          </w:tcPr>
          <w:p w14:paraId="55BF7BD5" w14:textId="27DC2B7F" w:rsidR="0032058E" w:rsidRPr="008011EF" w:rsidRDefault="0032058E" w:rsidP="004A0E82">
            <w:pPr>
              <w:spacing w:after="0"/>
              <w:contextualSpacing/>
              <w:jc w:val="center"/>
              <w:rPr>
                <w:rFonts w:ascii="Garamond" w:hAnsi="Garamond"/>
                <w:b/>
                <w:sz w:val="20"/>
                <w:szCs w:val="20"/>
              </w:rPr>
            </w:pPr>
            <w:r w:rsidRPr="008011EF">
              <w:rPr>
                <w:rFonts w:ascii="Garamond" w:hAnsi="Garamond" w:cs="Calibri"/>
                <w:sz w:val="20"/>
                <w:szCs w:val="20"/>
              </w:rPr>
              <w:t>75%</w:t>
            </w:r>
          </w:p>
        </w:tc>
        <w:tc>
          <w:tcPr>
            <w:tcW w:w="998" w:type="dxa"/>
            <w:tcBorders>
              <w:left w:val="nil"/>
              <w:bottom w:val="single" w:sz="4" w:space="0" w:color="BFBFBF" w:themeColor="background1" w:themeShade="BF"/>
            </w:tcBorders>
            <w:shd w:val="clear" w:color="auto" w:fill="auto"/>
            <w:vAlign w:val="center"/>
          </w:tcPr>
          <w:p w14:paraId="1D12E869" w14:textId="29036276" w:rsidR="0032058E" w:rsidRPr="008011EF" w:rsidRDefault="0032058E" w:rsidP="004A0E82">
            <w:pPr>
              <w:spacing w:after="0"/>
              <w:contextualSpacing/>
              <w:jc w:val="center"/>
              <w:rPr>
                <w:rFonts w:ascii="Garamond" w:hAnsi="Garamond"/>
                <w:bCs/>
                <w:sz w:val="20"/>
                <w:szCs w:val="20"/>
              </w:rPr>
            </w:pPr>
            <w:r w:rsidRPr="008011EF">
              <w:rPr>
                <w:rFonts w:ascii="Garamond" w:hAnsi="Garamond"/>
                <w:bCs/>
                <w:sz w:val="20"/>
                <w:szCs w:val="20"/>
              </w:rPr>
              <w:t>93%</w:t>
            </w:r>
          </w:p>
        </w:tc>
      </w:tr>
      <w:tr w:rsidR="0032058E" w:rsidRPr="008011EF" w14:paraId="1E57C4D6" w14:textId="77777777" w:rsidTr="000370DE">
        <w:trPr>
          <w:trHeight w:val="567"/>
          <w:jc w:val="center"/>
        </w:trPr>
        <w:tc>
          <w:tcPr>
            <w:tcW w:w="6946" w:type="dxa"/>
            <w:tcBorders>
              <w:bottom w:val="single" w:sz="4" w:space="0" w:color="BFBFBF" w:themeColor="background1" w:themeShade="BF"/>
              <w:right w:val="nil"/>
            </w:tcBorders>
            <w:shd w:val="clear" w:color="auto" w:fill="auto"/>
            <w:noWrap/>
            <w:vAlign w:val="center"/>
          </w:tcPr>
          <w:p w14:paraId="5B40A074" w14:textId="60A5914D" w:rsidR="0032058E" w:rsidRPr="008011EF" w:rsidRDefault="0032058E" w:rsidP="002225F3">
            <w:pPr>
              <w:spacing w:after="0"/>
              <w:ind w:left="142"/>
              <w:rPr>
                <w:rFonts w:ascii="Garamond" w:hAnsi="Garamond" w:cs="Calibri"/>
                <w:sz w:val="20"/>
                <w:szCs w:val="20"/>
              </w:rPr>
            </w:pPr>
            <w:r w:rsidRPr="008011EF">
              <w:rPr>
                <w:rFonts w:ascii="Garamond" w:hAnsi="Garamond"/>
                <w:sz w:val="20"/>
                <w:szCs w:val="20"/>
              </w:rPr>
              <w:t xml:space="preserve">Porcentaje de dominios de estudio de encuestas probabilísticas que presentaron alta calidad estadística en los </w:t>
            </w:r>
            <w:r w:rsidR="00DF7DB0" w:rsidRPr="008011EF">
              <w:rPr>
                <w:rFonts w:ascii="Garamond" w:hAnsi="Garamond"/>
                <w:sz w:val="20"/>
                <w:szCs w:val="20"/>
              </w:rPr>
              <w:t>c</w:t>
            </w:r>
            <w:r w:rsidRPr="008011EF">
              <w:rPr>
                <w:rFonts w:ascii="Garamond" w:hAnsi="Garamond"/>
                <w:sz w:val="20"/>
                <w:szCs w:val="20"/>
              </w:rPr>
              <w:t xml:space="preserve">oeficientes de </w:t>
            </w:r>
            <w:r w:rsidR="00DF7DB0" w:rsidRPr="008011EF">
              <w:rPr>
                <w:rFonts w:ascii="Garamond" w:hAnsi="Garamond"/>
                <w:sz w:val="20"/>
                <w:szCs w:val="20"/>
              </w:rPr>
              <w:t>v</w:t>
            </w:r>
            <w:r w:rsidRPr="008011EF">
              <w:rPr>
                <w:rFonts w:ascii="Garamond" w:hAnsi="Garamond"/>
                <w:sz w:val="20"/>
                <w:szCs w:val="20"/>
              </w:rPr>
              <w:t>ariación para los indicadores-objetivo publicados</w:t>
            </w:r>
          </w:p>
        </w:tc>
        <w:tc>
          <w:tcPr>
            <w:tcW w:w="1140" w:type="dxa"/>
            <w:tcBorders>
              <w:left w:val="nil"/>
              <w:bottom w:val="single" w:sz="4" w:space="0" w:color="BFBFBF" w:themeColor="background1" w:themeShade="BF"/>
              <w:right w:val="nil"/>
            </w:tcBorders>
            <w:shd w:val="clear" w:color="auto" w:fill="auto"/>
            <w:vAlign w:val="center"/>
          </w:tcPr>
          <w:p w14:paraId="59585622" w14:textId="56629F3F" w:rsidR="0032058E" w:rsidRPr="008011EF" w:rsidRDefault="0032058E" w:rsidP="004A0E82">
            <w:pPr>
              <w:spacing w:after="0"/>
              <w:contextualSpacing/>
              <w:jc w:val="center"/>
              <w:rPr>
                <w:rFonts w:ascii="Garamond" w:hAnsi="Garamond" w:cs="Calibri"/>
                <w:sz w:val="20"/>
                <w:szCs w:val="20"/>
              </w:rPr>
            </w:pPr>
            <w:r w:rsidRPr="008011EF">
              <w:rPr>
                <w:rFonts w:ascii="Garamond" w:hAnsi="Garamond" w:cs="Calibri"/>
                <w:sz w:val="20"/>
                <w:szCs w:val="20"/>
              </w:rPr>
              <w:t>91%</w:t>
            </w:r>
          </w:p>
        </w:tc>
        <w:tc>
          <w:tcPr>
            <w:tcW w:w="998" w:type="dxa"/>
            <w:tcBorders>
              <w:left w:val="nil"/>
              <w:bottom w:val="single" w:sz="4" w:space="0" w:color="BFBFBF" w:themeColor="background1" w:themeShade="BF"/>
              <w:right w:val="nil"/>
            </w:tcBorders>
            <w:shd w:val="clear" w:color="auto" w:fill="auto"/>
            <w:vAlign w:val="center"/>
          </w:tcPr>
          <w:p w14:paraId="06EF024D" w14:textId="76094409" w:rsidR="0032058E" w:rsidRPr="008011EF" w:rsidRDefault="0032058E" w:rsidP="004A0E82">
            <w:pPr>
              <w:spacing w:after="0"/>
              <w:contextualSpacing/>
              <w:jc w:val="center"/>
              <w:rPr>
                <w:rFonts w:ascii="Garamond" w:hAnsi="Garamond" w:cs="Calibri"/>
                <w:sz w:val="20"/>
                <w:szCs w:val="20"/>
              </w:rPr>
            </w:pPr>
            <w:r w:rsidRPr="008011EF">
              <w:rPr>
                <w:rFonts w:ascii="Garamond" w:hAnsi="Garamond" w:cs="Calibri"/>
                <w:sz w:val="20"/>
                <w:szCs w:val="20"/>
              </w:rPr>
              <w:t>91%</w:t>
            </w:r>
          </w:p>
        </w:tc>
        <w:tc>
          <w:tcPr>
            <w:tcW w:w="998" w:type="dxa"/>
            <w:tcBorders>
              <w:left w:val="nil"/>
              <w:bottom w:val="single" w:sz="4" w:space="0" w:color="BFBFBF" w:themeColor="background1" w:themeShade="BF"/>
            </w:tcBorders>
            <w:shd w:val="clear" w:color="auto" w:fill="auto"/>
            <w:vAlign w:val="center"/>
          </w:tcPr>
          <w:p w14:paraId="2CED47F2" w14:textId="273B3E8D" w:rsidR="0032058E" w:rsidRPr="008011EF" w:rsidRDefault="0032058E" w:rsidP="004A0E82">
            <w:pPr>
              <w:spacing w:after="0"/>
              <w:contextualSpacing/>
              <w:jc w:val="center"/>
              <w:rPr>
                <w:rFonts w:ascii="Garamond" w:hAnsi="Garamond" w:cs="Calibri"/>
                <w:sz w:val="20"/>
                <w:szCs w:val="20"/>
              </w:rPr>
            </w:pPr>
            <w:r w:rsidRPr="008011EF">
              <w:rPr>
                <w:rFonts w:ascii="Garamond" w:hAnsi="Garamond" w:cs="Calibri"/>
                <w:sz w:val="20"/>
                <w:szCs w:val="20"/>
              </w:rPr>
              <w:t>91%</w:t>
            </w:r>
          </w:p>
        </w:tc>
      </w:tr>
    </w:tbl>
    <w:p w14:paraId="0EBA6AE9" w14:textId="1E0FDC92" w:rsidR="00F07E98" w:rsidRDefault="00F07E98" w:rsidP="00F305CE">
      <w:pPr>
        <w:spacing w:after="0"/>
        <w:ind w:left="426" w:right="452"/>
        <w:jc w:val="both"/>
        <w:rPr>
          <w:rFonts w:ascii="Garamond" w:hAnsi="Garamond" w:cstheme="majorHAnsi"/>
          <w:sz w:val="18"/>
          <w:szCs w:val="18"/>
        </w:rPr>
      </w:pPr>
      <w:r w:rsidRPr="008011EF">
        <w:rPr>
          <w:rFonts w:ascii="Garamond" w:hAnsi="Garamond" w:cstheme="majorHAnsi"/>
          <w:sz w:val="18"/>
          <w:szCs w:val="18"/>
        </w:rPr>
        <w:t xml:space="preserve">Nota: </w:t>
      </w:r>
      <w:r w:rsidR="00B06713">
        <w:rPr>
          <w:rFonts w:ascii="Garamond" w:hAnsi="Garamond" w:cstheme="majorHAnsi"/>
          <w:sz w:val="18"/>
          <w:szCs w:val="18"/>
        </w:rPr>
        <w:t>D</w:t>
      </w:r>
      <w:r w:rsidRPr="008011EF">
        <w:rPr>
          <w:rFonts w:ascii="Garamond" w:hAnsi="Garamond" w:cstheme="majorHAnsi"/>
          <w:sz w:val="18"/>
          <w:szCs w:val="18"/>
        </w:rPr>
        <w:t>urante 2023 se realizó una actualización de indicadores de precisión estadística conforme a entregas posteriores para publicaciones de todos los años anteriores de reporte, por tal motivo, pueden presentarse diferencias en cifras publicadas en informes de resultados anteriores.</w:t>
      </w:r>
    </w:p>
    <w:p w14:paraId="30658E1C" w14:textId="2259B7BB" w:rsidR="00561025" w:rsidRPr="008011EF" w:rsidRDefault="00561025" w:rsidP="00F305CE">
      <w:pPr>
        <w:spacing w:after="0"/>
        <w:ind w:left="426" w:right="452"/>
        <w:jc w:val="both"/>
        <w:rPr>
          <w:rFonts w:ascii="Garamond" w:hAnsi="Garamond" w:cstheme="majorHAnsi"/>
          <w:sz w:val="18"/>
          <w:szCs w:val="18"/>
        </w:rPr>
      </w:pPr>
      <w:r>
        <w:rPr>
          <w:rFonts w:ascii="Garamond" w:hAnsi="Garamond" w:cstheme="majorHAnsi"/>
          <w:sz w:val="18"/>
          <w:szCs w:val="18"/>
        </w:rPr>
        <w:t>+ Año base.</w:t>
      </w:r>
    </w:p>
    <w:p w14:paraId="1F2D6134" w14:textId="04DFBD24" w:rsidR="00931152" w:rsidRPr="008011EF" w:rsidRDefault="00D55C61" w:rsidP="00664A1D">
      <w:pPr>
        <w:spacing w:before="240"/>
        <w:jc w:val="both"/>
        <w:rPr>
          <w:rFonts w:ascii="Garamond" w:hAnsi="Garamond" w:cstheme="majorHAnsi"/>
        </w:rPr>
      </w:pPr>
      <w:r w:rsidRPr="008011EF">
        <w:rPr>
          <w:rFonts w:ascii="Garamond" w:hAnsi="Garamond" w:cstheme="majorHAnsi"/>
        </w:rPr>
        <w:t>En el caso de las encuestas probabilísticas, el porcentaje total de dominios de estudio que presentaron una alta calidad estadística para los indicadores</w:t>
      </w:r>
      <w:r w:rsidR="00C65263" w:rsidRPr="008011EF">
        <w:rPr>
          <w:rFonts w:ascii="Garamond" w:hAnsi="Garamond" w:cstheme="majorHAnsi"/>
        </w:rPr>
        <w:t>-</w:t>
      </w:r>
      <w:r w:rsidRPr="008011EF">
        <w:rPr>
          <w:rFonts w:ascii="Garamond" w:hAnsi="Garamond" w:cstheme="majorHAnsi"/>
        </w:rPr>
        <w:t xml:space="preserve">objetivo publicados se ha mantenido en un 91% a nivel institucional (ver </w:t>
      </w:r>
      <w:r w:rsidR="003677C3" w:rsidRPr="008011EF">
        <w:rPr>
          <w:rFonts w:ascii="Garamond" w:hAnsi="Garamond" w:cstheme="majorHAnsi"/>
        </w:rPr>
        <w:t>Tabla 9</w:t>
      </w:r>
      <w:r w:rsidRPr="008011EF">
        <w:rPr>
          <w:rFonts w:ascii="Garamond" w:hAnsi="Garamond" w:cstheme="majorHAnsi"/>
        </w:rPr>
        <w:t>). El cambio de serie de 2013 a 2018 para las encuestas económicas nacionales implicó un incremento en el número de dominios de estudio captados</w:t>
      </w:r>
      <w:r w:rsidR="00977DEF" w:rsidRPr="008011EF">
        <w:rPr>
          <w:rFonts w:ascii="Garamond" w:hAnsi="Garamond" w:cstheme="majorHAnsi"/>
        </w:rPr>
        <w:t>;</w:t>
      </w:r>
      <w:r w:rsidRPr="008011EF">
        <w:rPr>
          <w:rFonts w:ascii="Garamond" w:hAnsi="Garamond" w:cstheme="majorHAnsi"/>
        </w:rPr>
        <w:t xml:space="preserve"> a pesar de esto, se observa estabilidad en los </w:t>
      </w:r>
      <w:r w:rsidR="0095662F" w:rsidRPr="008011EF">
        <w:rPr>
          <w:rFonts w:ascii="Garamond" w:hAnsi="Garamond" w:cstheme="majorHAnsi"/>
        </w:rPr>
        <w:t>c</w:t>
      </w:r>
      <w:r w:rsidRPr="008011EF">
        <w:rPr>
          <w:rFonts w:ascii="Garamond" w:hAnsi="Garamond" w:cstheme="majorHAnsi"/>
        </w:rPr>
        <w:t xml:space="preserve">oeficientes de </w:t>
      </w:r>
      <w:r w:rsidR="0095662F" w:rsidRPr="008011EF">
        <w:rPr>
          <w:rFonts w:ascii="Garamond" w:hAnsi="Garamond" w:cstheme="majorHAnsi"/>
        </w:rPr>
        <w:t>v</w:t>
      </w:r>
      <w:r w:rsidRPr="008011EF">
        <w:rPr>
          <w:rFonts w:ascii="Garamond" w:hAnsi="Garamond" w:cstheme="majorHAnsi"/>
        </w:rPr>
        <w:t>ariación, lo que muestra el esfuerzo realizado por mantener alta calidad estadística.</w:t>
      </w:r>
    </w:p>
    <w:p w14:paraId="590D539C" w14:textId="52B36AE1" w:rsidR="3CF845DB" w:rsidRDefault="00C73E9C" w:rsidP="00172CFA">
      <w:pPr>
        <w:spacing w:before="240"/>
        <w:jc w:val="both"/>
        <w:rPr>
          <w:rFonts w:ascii="Garamond" w:hAnsi="Garamond" w:cstheme="majorBidi"/>
        </w:rPr>
      </w:pPr>
      <w:r w:rsidRPr="3CF845DB">
        <w:rPr>
          <w:rFonts w:ascii="Garamond" w:hAnsi="Garamond" w:cstheme="majorBidi"/>
        </w:rPr>
        <w:t xml:space="preserve">En la </w:t>
      </w:r>
      <w:r w:rsidR="003677C3" w:rsidRPr="3CF845DB">
        <w:rPr>
          <w:rFonts w:ascii="Garamond" w:hAnsi="Garamond" w:cstheme="majorBidi"/>
        </w:rPr>
        <w:t>Figura</w:t>
      </w:r>
      <w:r w:rsidRPr="3CF845DB">
        <w:rPr>
          <w:rFonts w:ascii="Garamond" w:hAnsi="Garamond" w:cstheme="majorBidi"/>
        </w:rPr>
        <w:t xml:space="preserve"> </w:t>
      </w:r>
      <w:r w:rsidR="00C63002">
        <w:rPr>
          <w:rFonts w:ascii="Garamond" w:hAnsi="Garamond" w:cstheme="majorBidi"/>
        </w:rPr>
        <w:t>8</w:t>
      </w:r>
      <w:r w:rsidRPr="3CF845DB">
        <w:rPr>
          <w:rFonts w:ascii="Garamond" w:hAnsi="Garamond" w:cstheme="majorBidi"/>
        </w:rPr>
        <w:t xml:space="preserve"> se presenta la distribución del coeficiente de variación para las encuestas en las que se distingue una mejora de precisión estadística en sus dominios de estudio, tal es el caso de la Encuesta Nacional de Empresas Constructoras (</w:t>
      </w:r>
      <w:proofErr w:type="spellStart"/>
      <w:r w:rsidR="00687F1D" w:rsidRPr="3CF845DB">
        <w:rPr>
          <w:rFonts w:ascii="Garamond" w:hAnsi="Garamond" w:cstheme="majorBidi"/>
          <w:smallCaps/>
        </w:rPr>
        <w:t>enec</w:t>
      </w:r>
      <w:proofErr w:type="spellEnd"/>
      <w:r w:rsidRPr="3CF845DB">
        <w:rPr>
          <w:rFonts w:ascii="Garamond" w:hAnsi="Garamond" w:cstheme="majorBidi"/>
        </w:rPr>
        <w:t>), la Encuesta de Comercio Internacional de Servicios (</w:t>
      </w:r>
      <w:proofErr w:type="spellStart"/>
      <w:r w:rsidR="00687F1D" w:rsidRPr="3CF845DB">
        <w:rPr>
          <w:rFonts w:ascii="Garamond" w:hAnsi="Garamond" w:cstheme="majorBidi"/>
          <w:smallCaps/>
        </w:rPr>
        <w:t>ecis</w:t>
      </w:r>
      <w:proofErr w:type="spellEnd"/>
      <w:r w:rsidRPr="3CF845DB">
        <w:rPr>
          <w:rFonts w:ascii="Garamond" w:hAnsi="Garamond" w:cstheme="majorBidi"/>
        </w:rPr>
        <w:t>), la Encuesta Anual de Comercio (</w:t>
      </w:r>
      <w:proofErr w:type="spellStart"/>
      <w:r w:rsidR="00687F1D" w:rsidRPr="3CF845DB">
        <w:rPr>
          <w:rFonts w:ascii="Garamond" w:hAnsi="Garamond" w:cstheme="majorBidi"/>
          <w:smallCaps/>
        </w:rPr>
        <w:t>eac</w:t>
      </w:r>
      <w:proofErr w:type="spellEnd"/>
      <w:r w:rsidRPr="3CF845DB">
        <w:rPr>
          <w:rFonts w:ascii="Garamond" w:hAnsi="Garamond" w:cstheme="majorBidi"/>
        </w:rPr>
        <w:t>), la Encuesta Anual de Servicios Privados no Financieros (</w:t>
      </w:r>
      <w:proofErr w:type="spellStart"/>
      <w:r w:rsidR="00AA7F17" w:rsidRPr="3CF845DB">
        <w:rPr>
          <w:rFonts w:ascii="Garamond" w:hAnsi="Garamond" w:cstheme="majorBidi"/>
          <w:smallCaps/>
        </w:rPr>
        <w:t>easpnf</w:t>
      </w:r>
      <w:proofErr w:type="spellEnd"/>
      <w:r w:rsidRPr="3CF845DB">
        <w:rPr>
          <w:rFonts w:ascii="Garamond" w:hAnsi="Garamond" w:cstheme="majorBidi"/>
        </w:rPr>
        <w:t>) y la Encuesta Nacional de Adolescentes en el Sistema de Justicia Penal (</w:t>
      </w:r>
      <w:proofErr w:type="spellStart"/>
      <w:r w:rsidR="00AA7F17" w:rsidRPr="3CF845DB">
        <w:rPr>
          <w:rFonts w:ascii="Garamond" w:hAnsi="Garamond" w:cstheme="majorBidi"/>
          <w:smallCaps/>
        </w:rPr>
        <w:t>enasjup</w:t>
      </w:r>
      <w:proofErr w:type="spellEnd"/>
      <w:r w:rsidRPr="3CF845DB">
        <w:rPr>
          <w:rFonts w:ascii="Garamond" w:hAnsi="Garamond" w:cstheme="majorBidi"/>
        </w:rPr>
        <w:t>).</w:t>
      </w:r>
    </w:p>
    <w:p w14:paraId="7775111C" w14:textId="611E4B24" w:rsidR="001B29CB" w:rsidRDefault="001B29CB">
      <w:pPr>
        <w:rPr>
          <w:rFonts w:ascii="Garamond" w:hAnsi="Garamond" w:cstheme="majorBidi"/>
        </w:rPr>
      </w:pPr>
      <w:r>
        <w:rPr>
          <w:rFonts w:ascii="Garamond" w:hAnsi="Garamond" w:cstheme="majorBidi"/>
        </w:rPr>
        <w:br w:type="page"/>
      </w:r>
    </w:p>
    <w:p w14:paraId="23F0694A" w14:textId="0CD53BF4" w:rsidR="00931152" w:rsidRPr="00395213" w:rsidRDefault="003677C3" w:rsidP="00813CB8">
      <w:pPr>
        <w:spacing w:after="0"/>
        <w:jc w:val="center"/>
      </w:pPr>
      <w:r w:rsidRPr="008011EF">
        <w:rPr>
          <w:rFonts w:ascii="Garamond" w:hAnsi="Garamond" w:cstheme="majorHAnsi"/>
          <w:b/>
        </w:rPr>
        <w:lastRenderedPageBreak/>
        <w:t xml:space="preserve">Figura </w:t>
      </w:r>
      <w:r w:rsidR="00C63002">
        <w:rPr>
          <w:rFonts w:ascii="Garamond" w:hAnsi="Garamond" w:cstheme="majorHAnsi"/>
          <w:b/>
        </w:rPr>
        <w:t>8</w:t>
      </w:r>
      <w:r w:rsidR="0020777A" w:rsidRPr="008011EF">
        <w:rPr>
          <w:rFonts w:ascii="Garamond" w:hAnsi="Garamond" w:cstheme="majorHAnsi"/>
          <w:b/>
        </w:rPr>
        <w:t xml:space="preserve">. </w:t>
      </w:r>
      <w:r w:rsidR="00931152" w:rsidRPr="008011EF">
        <w:rPr>
          <w:rFonts w:ascii="Garamond" w:hAnsi="Garamond" w:cstheme="majorHAnsi"/>
          <w:b/>
        </w:rPr>
        <w:t xml:space="preserve">Distribución del coeficiente de variación en encuestas que </w:t>
      </w:r>
      <w:r w:rsidR="00504AE0" w:rsidRPr="008011EF">
        <w:rPr>
          <w:rFonts w:ascii="Garamond" w:hAnsi="Garamond" w:cstheme="majorHAnsi"/>
          <w:b/>
        </w:rPr>
        <w:t>mejoraron</w:t>
      </w:r>
      <w:r w:rsidR="00931152" w:rsidRPr="008011EF">
        <w:rPr>
          <w:rFonts w:ascii="Garamond" w:hAnsi="Garamond" w:cstheme="majorHAnsi"/>
          <w:b/>
        </w:rPr>
        <w:t xml:space="preserve"> precisión</w:t>
      </w:r>
      <w:r w:rsidR="005B4E90">
        <w:rPr>
          <w:rFonts w:ascii="Garamond" w:hAnsi="Garamond" w:cstheme="majorHAnsi"/>
          <w:b/>
        </w:rPr>
        <w:t xml:space="preserve">, </w:t>
      </w:r>
      <w:r w:rsidR="00931152" w:rsidRPr="008011EF">
        <w:rPr>
          <w:rFonts w:ascii="Garamond" w:hAnsi="Garamond" w:cstheme="majorHAnsi"/>
          <w:b/>
        </w:rPr>
        <w:t>202</w:t>
      </w:r>
      <w:r w:rsidR="00504AE0" w:rsidRPr="008011EF">
        <w:rPr>
          <w:rFonts w:ascii="Garamond" w:hAnsi="Garamond" w:cstheme="majorHAnsi"/>
          <w:b/>
        </w:rPr>
        <w:t>3</w:t>
      </w:r>
    </w:p>
    <w:p w14:paraId="10C95AEA" w14:textId="77777777" w:rsidR="00813CB8" w:rsidRPr="00395213" w:rsidRDefault="00813CB8" w:rsidP="00813CB8">
      <w:pPr>
        <w:spacing w:after="0"/>
        <w:jc w:val="center"/>
      </w:pPr>
      <w:r>
        <w:rPr>
          <w:noProof/>
        </w:rPr>
        <w:drawing>
          <wp:inline distT="0" distB="0" distL="0" distR="0" wp14:anchorId="251F63A7" wp14:editId="403EC872">
            <wp:extent cx="4657977" cy="2859482"/>
            <wp:effectExtent l="0" t="0" r="9525" b="0"/>
            <wp:docPr id="1606986862" name="Picture 2039591778"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86862" name="Picture 2039591778" descr="Imagen que contiene Calendari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1349" cy="2886108"/>
                    </a:xfrm>
                    <a:prstGeom prst="rect">
                      <a:avLst/>
                    </a:prstGeom>
                  </pic:spPr>
                </pic:pic>
              </a:graphicData>
            </a:graphic>
          </wp:inline>
        </w:drawing>
      </w:r>
    </w:p>
    <w:p w14:paraId="17B18CD1" w14:textId="77777777" w:rsidR="00813CB8" w:rsidRPr="008011EF" w:rsidRDefault="00813CB8" w:rsidP="001B29CB">
      <w:pPr>
        <w:tabs>
          <w:tab w:val="left" w:pos="567"/>
        </w:tabs>
        <w:spacing w:after="0"/>
        <w:ind w:left="567" w:right="594"/>
        <w:jc w:val="both"/>
        <w:rPr>
          <w:rFonts w:ascii="Garamond" w:hAnsi="Garamond" w:cstheme="majorBidi"/>
          <w:sz w:val="18"/>
          <w:szCs w:val="18"/>
        </w:rPr>
      </w:pPr>
      <w:r w:rsidRPr="59411EC1">
        <w:rPr>
          <w:rFonts w:ascii="Garamond" w:hAnsi="Garamond" w:cstheme="majorBidi"/>
          <w:sz w:val="18"/>
          <w:szCs w:val="18"/>
        </w:rPr>
        <w:t xml:space="preserve">Nota </w:t>
      </w:r>
      <w:r w:rsidRPr="1FC137D0">
        <w:rPr>
          <w:rFonts w:ascii="Garamond" w:hAnsi="Garamond" w:cstheme="majorBidi"/>
          <w:sz w:val="18"/>
          <w:szCs w:val="18"/>
        </w:rPr>
        <w:t>1</w:t>
      </w:r>
      <w:r w:rsidRPr="59411EC1">
        <w:rPr>
          <w:rFonts w:ascii="Garamond" w:hAnsi="Garamond" w:cstheme="majorBidi"/>
          <w:sz w:val="18"/>
          <w:szCs w:val="18"/>
        </w:rPr>
        <w:t>: Para el caso de las encuestas económicas nacionales, la información considerada para el año de publicación 2023 corresponde a la Serie 2018, en tanto que la información considerada para años anteriores corresponde a la Serie 2013.</w:t>
      </w:r>
    </w:p>
    <w:p w14:paraId="1173DE2F" w14:textId="13ECE6B1" w:rsidR="00813CB8" w:rsidRPr="003E23EA" w:rsidRDefault="00813CB8" w:rsidP="001B29CB">
      <w:pPr>
        <w:tabs>
          <w:tab w:val="left" w:pos="567"/>
        </w:tabs>
        <w:spacing w:after="0"/>
        <w:ind w:left="567" w:right="594"/>
        <w:jc w:val="both"/>
        <w:rPr>
          <w:rFonts w:ascii="Garamond" w:hAnsi="Garamond" w:cstheme="majorBidi"/>
          <w:sz w:val="18"/>
          <w:szCs w:val="18"/>
        </w:rPr>
      </w:pPr>
      <w:r w:rsidRPr="003E23EA">
        <w:rPr>
          <w:rFonts w:ascii="Garamond" w:hAnsi="Garamond" w:cstheme="majorBidi"/>
          <w:sz w:val="18"/>
          <w:szCs w:val="18"/>
        </w:rPr>
        <w:t xml:space="preserve">Nota 2: En el acuerdo </w:t>
      </w:r>
      <w:r w:rsidR="000C6832" w:rsidRPr="000C6832">
        <w:rPr>
          <w:rFonts w:ascii="Garamond" w:hAnsi="Garamond" w:cstheme="majorBidi"/>
          <w:smallCaps/>
          <w:sz w:val="18"/>
          <w:szCs w:val="18"/>
        </w:rPr>
        <w:t>cac</w:t>
      </w:r>
      <w:r w:rsidRPr="003E23EA">
        <w:rPr>
          <w:rFonts w:ascii="Garamond" w:hAnsi="Garamond" w:cstheme="majorBidi"/>
          <w:sz w:val="18"/>
          <w:szCs w:val="18"/>
        </w:rPr>
        <w:t>-006/01/2018 se aprobaron los umbrales del Coeficiente de Variación (</w:t>
      </w:r>
      <w:proofErr w:type="spellStart"/>
      <w:r w:rsidR="00061F4D" w:rsidRPr="00061F4D">
        <w:rPr>
          <w:rFonts w:ascii="Garamond" w:hAnsi="Garamond" w:cstheme="majorBidi"/>
          <w:smallCaps/>
          <w:sz w:val="18"/>
          <w:szCs w:val="18"/>
        </w:rPr>
        <w:t>cv</w:t>
      </w:r>
      <w:proofErr w:type="spellEnd"/>
      <w:r w:rsidRPr="003E23EA">
        <w:rPr>
          <w:rFonts w:ascii="Garamond" w:hAnsi="Garamond" w:cstheme="majorBidi"/>
          <w:sz w:val="18"/>
          <w:szCs w:val="18"/>
        </w:rPr>
        <w:t>) y los colores para su semaforización.</w:t>
      </w:r>
    </w:p>
    <w:p w14:paraId="4EACBA28" w14:textId="51390E7D" w:rsidR="00A55CFF" w:rsidRPr="008011EF" w:rsidRDefault="005C65AD" w:rsidP="0032327A">
      <w:pPr>
        <w:spacing w:before="240"/>
        <w:jc w:val="both"/>
        <w:rPr>
          <w:rFonts w:ascii="Garamond" w:hAnsi="Garamond" w:cstheme="majorHAnsi"/>
          <w:sz w:val="18"/>
          <w:szCs w:val="18"/>
        </w:rPr>
      </w:pPr>
      <w:r w:rsidRPr="008011EF">
        <w:rPr>
          <w:rFonts w:ascii="Garamond" w:hAnsi="Garamond" w:cstheme="majorHAnsi"/>
        </w:rPr>
        <w:t xml:space="preserve">En la </w:t>
      </w:r>
      <w:r w:rsidR="003677C3" w:rsidRPr="008011EF">
        <w:rPr>
          <w:rFonts w:ascii="Garamond" w:hAnsi="Garamond" w:cstheme="majorHAnsi"/>
        </w:rPr>
        <w:t xml:space="preserve">Figura </w:t>
      </w:r>
      <w:r w:rsidR="00E12B71">
        <w:rPr>
          <w:rFonts w:ascii="Garamond" w:hAnsi="Garamond" w:cstheme="majorHAnsi"/>
        </w:rPr>
        <w:t>9</w:t>
      </w:r>
      <w:r w:rsidRPr="008011EF">
        <w:rPr>
          <w:rFonts w:ascii="Garamond" w:hAnsi="Garamond" w:cstheme="majorHAnsi"/>
        </w:rPr>
        <w:t xml:space="preserve"> se </w:t>
      </w:r>
      <w:r w:rsidR="0044728F" w:rsidRPr="008011EF">
        <w:rPr>
          <w:rFonts w:ascii="Garamond" w:hAnsi="Garamond" w:cstheme="majorHAnsi"/>
        </w:rPr>
        <w:t>muestra</w:t>
      </w:r>
      <w:r w:rsidRPr="008011EF">
        <w:rPr>
          <w:rFonts w:ascii="Garamond" w:hAnsi="Garamond" w:cstheme="majorHAnsi"/>
        </w:rPr>
        <w:t xml:space="preserve"> la distribución del coeficiente de variación para las encuestas que </w:t>
      </w:r>
      <w:r w:rsidR="00297D39" w:rsidRPr="008011EF">
        <w:rPr>
          <w:rFonts w:ascii="Garamond" w:hAnsi="Garamond" w:cstheme="majorHAnsi"/>
        </w:rPr>
        <w:t>reportan</w:t>
      </w:r>
      <w:r w:rsidRPr="008011EF">
        <w:rPr>
          <w:rFonts w:ascii="Garamond" w:hAnsi="Garamond" w:cstheme="majorHAnsi"/>
        </w:rPr>
        <w:t xml:space="preserve"> una pérdida de precisión o que reportan precisión moderada </w:t>
      </w:r>
      <w:r w:rsidR="00440DAE" w:rsidRPr="008011EF">
        <w:rPr>
          <w:rFonts w:ascii="Garamond" w:hAnsi="Garamond" w:cstheme="majorHAnsi"/>
        </w:rPr>
        <w:t>o</w:t>
      </w:r>
      <w:r w:rsidRPr="008011EF">
        <w:rPr>
          <w:rFonts w:ascii="Garamond" w:hAnsi="Garamond" w:cstheme="majorHAnsi"/>
        </w:rPr>
        <w:t xml:space="preserve"> baja </w:t>
      </w:r>
      <w:r w:rsidR="00440DAE" w:rsidRPr="008011EF">
        <w:rPr>
          <w:rFonts w:ascii="Garamond" w:hAnsi="Garamond" w:cstheme="majorHAnsi"/>
        </w:rPr>
        <w:t>en</w:t>
      </w:r>
      <w:r w:rsidRPr="008011EF">
        <w:rPr>
          <w:rFonts w:ascii="Garamond" w:hAnsi="Garamond" w:cstheme="majorHAnsi"/>
        </w:rPr>
        <w:t xml:space="preserve"> </w:t>
      </w:r>
      <w:r w:rsidR="00440DAE" w:rsidRPr="008011EF">
        <w:rPr>
          <w:rFonts w:ascii="Garamond" w:hAnsi="Garamond" w:cstheme="majorHAnsi"/>
        </w:rPr>
        <w:t xml:space="preserve">algunos </w:t>
      </w:r>
      <w:r w:rsidRPr="008011EF">
        <w:rPr>
          <w:rFonts w:ascii="Garamond" w:hAnsi="Garamond" w:cstheme="majorHAnsi"/>
        </w:rPr>
        <w:t xml:space="preserve">dominios de estudio. </w:t>
      </w:r>
      <w:r w:rsidR="00BE13A7" w:rsidRPr="008011EF">
        <w:rPr>
          <w:rFonts w:ascii="Garamond" w:hAnsi="Garamond" w:cstheme="majorHAnsi"/>
        </w:rPr>
        <w:t>Para l</w:t>
      </w:r>
      <w:r w:rsidRPr="008011EF">
        <w:rPr>
          <w:rFonts w:ascii="Garamond" w:hAnsi="Garamond" w:cstheme="majorHAnsi"/>
        </w:rPr>
        <w:t>a Encuesta Nacional de Seguridad Pública Urbana (</w:t>
      </w:r>
      <w:proofErr w:type="spellStart"/>
      <w:r w:rsidR="00AA7F17" w:rsidRPr="008011EF">
        <w:rPr>
          <w:rFonts w:ascii="Garamond" w:hAnsi="Garamond" w:cstheme="majorHAnsi"/>
          <w:smallCaps/>
        </w:rPr>
        <w:t>ensu</w:t>
      </w:r>
      <w:proofErr w:type="spellEnd"/>
      <w:r w:rsidRPr="008011EF">
        <w:rPr>
          <w:rFonts w:ascii="Garamond" w:hAnsi="Garamond" w:cstheme="majorHAnsi"/>
        </w:rPr>
        <w:t>) y la Encuesta Nacional sobre Discriminación (</w:t>
      </w:r>
      <w:proofErr w:type="spellStart"/>
      <w:r w:rsidR="00AA7F17" w:rsidRPr="008011EF">
        <w:rPr>
          <w:rFonts w:ascii="Garamond" w:hAnsi="Garamond" w:cstheme="majorHAnsi"/>
          <w:smallCaps/>
        </w:rPr>
        <w:t>enadis</w:t>
      </w:r>
      <w:proofErr w:type="spellEnd"/>
      <w:r w:rsidRPr="008011EF">
        <w:rPr>
          <w:rFonts w:ascii="Garamond" w:hAnsi="Garamond" w:cstheme="majorHAnsi"/>
        </w:rPr>
        <w:t xml:space="preserve">), </w:t>
      </w:r>
      <w:r w:rsidR="00DA3D39" w:rsidRPr="008011EF">
        <w:rPr>
          <w:rFonts w:ascii="Garamond" w:hAnsi="Garamond" w:cstheme="majorHAnsi"/>
        </w:rPr>
        <w:t xml:space="preserve">se </w:t>
      </w:r>
      <w:r w:rsidRPr="008011EF">
        <w:rPr>
          <w:rFonts w:ascii="Garamond" w:hAnsi="Garamond" w:cstheme="majorHAnsi"/>
        </w:rPr>
        <w:t>realizaron análisis de identificación y completitud de indicadores</w:t>
      </w:r>
      <w:r w:rsidR="003C1DEE" w:rsidRPr="008011EF">
        <w:rPr>
          <w:rFonts w:ascii="Garamond" w:hAnsi="Garamond" w:cstheme="majorHAnsi"/>
        </w:rPr>
        <w:t>-</w:t>
      </w:r>
      <w:r w:rsidRPr="008011EF">
        <w:rPr>
          <w:rFonts w:ascii="Garamond" w:hAnsi="Garamond" w:cstheme="majorHAnsi"/>
        </w:rPr>
        <w:t xml:space="preserve">objetivo, </w:t>
      </w:r>
      <w:r w:rsidR="00FD2493" w:rsidRPr="008011EF">
        <w:rPr>
          <w:rFonts w:ascii="Garamond" w:hAnsi="Garamond" w:cstheme="majorHAnsi"/>
        </w:rPr>
        <w:t xml:space="preserve">lo que </w:t>
      </w:r>
      <w:r w:rsidRPr="008011EF">
        <w:rPr>
          <w:rFonts w:ascii="Garamond" w:hAnsi="Garamond" w:cstheme="majorHAnsi"/>
        </w:rPr>
        <w:t>increment</w:t>
      </w:r>
      <w:r w:rsidR="00FD2493" w:rsidRPr="008011EF">
        <w:rPr>
          <w:rFonts w:ascii="Garamond" w:hAnsi="Garamond" w:cstheme="majorHAnsi"/>
        </w:rPr>
        <w:t>ó</w:t>
      </w:r>
      <w:r w:rsidRPr="008011EF">
        <w:rPr>
          <w:rFonts w:ascii="Garamond" w:hAnsi="Garamond" w:cstheme="majorHAnsi"/>
        </w:rPr>
        <w:t xml:space="preserve"> sustancialmente tanto las variables como los dominios de estudio para los cuales </w:t>
      </w:r>
      <w:r w:rsidR="00370FBF">
        <w:rPr>
          <w:rFonts w:ascii="Garamond" w:hAnsi="Garamond" w:cstheme="majorHAnsi"/>
        </w:rPr>
        <w:t>se</w:t>
      </w:r>
      <w:r w:rsidR="00C6561F">
        <w:rPr>
          <w:rFonts w:ascii="Garamond" w:hAnsi="Garamond" w:cstheme="majorHAnsi"/>
        </w:rPr>
        <w:t xml:space="preserve"> </w:t>
      </w:r>
      <w:r w:rsidRPr="008011EF">
        <w:rPr>
          <w:rFonts w:ascii="Garamond" w:hAnsi="Garamond" w:cstheme="majorHAnsi"/>
        </w:rPr>
        <w:t>calcula y reporta</w:t>
      </w:r>
      <w:r w:rsidR="000E1A59" w:rsidRPr="008011EF">
        <w:rPr>
          <w:rFonts w:ascii="Garamond" w:hAnsi="Garamond" w:cstheme="majorHAnsi"/>
        </w:rPr>
        <w:t xml:space="preserve"> la</w:t>
      </w:r>
      <w:r w:rsidRPr="008011EF">
        <w:rPr>
          <w:rFonts w:ascii="Garamond" w:hAnsi="Garamond" w:cstheme="majorHAnsi"/>
        </w:rPr>
        <w:t xml:space="preserve"> precisi</w:t>
      </w:r>
      <w:r w:rsidR="000E1A59" w:rsidRPr="008011EF">
        <w:rPr>
          <w:rFonts w:ascii="Garamond" w:hAnsi="Garamond" w:cstheme="majorHAnsi"/>
        </w:rPr>
        <w:t>ón</w:t>
      </w:r>
      <w:r w:rsidRPr="008011EF">
        <w:rPr>
          <w:rFonts w:ascii="Garamond" w:hAnsi="Garamond" w:cstheme="majorHAnsi"/>
        </w:rPr>
        <w:t>. La Encuesta Mensual sobre Empresas Comerciales (</w:t>
      </w:r>
      <w:proofErr w:type="spellStart"/>
      <w:r w:rsidR="00AA7F17" w:rsidRPr="008011EF">
        <w:rPr>
          <w:rFonts w:ascii="Garamond" w:hAnsi="Garamond" w:cstheme="majorHAnsi"/>
          <w:smallCaps/>
        </w:rPr>
        <w:t>emec</w:t>
      </w:r>
      <w:proofErr w:type="spellEnd"/>
      <w:r w:rsidRPr="008011EF">
        <w:rPr>
          <w:rFonts w:ascii="Garamond" w:hAnsi="Garamond" w:cstheme="majorHAnsi"/>
        </w:rPr>
        <w:t>), la Encuesta Anual de Transportes (</w:t>
      </w:r>
      <w:proofErr w:type="spellStart"/>
      <w:r w:rsidR="00AA7F17" w:rsidRPr="008011EF">
        <w:rPr>
          <w:rFonts w:ascii="Garamond" w:hAnsi="Garamond" w:cstheme="majorHAnsi"/>
          <w:smallCaps/>
        </w:rPr>
        <w:t>eat</w:t>
      </w:r>
      <w:proofErr w:type="spellEnd"/>
      <w:r w:rsidRPr="008011EF">
        <w:rPr>
          <w:rFonts w:ascii="Garamond" w:hAnsi="Garamond" w:cstheme="majorHAnsi"/>
        </w:rPr>
        <w:t>) y la Encuesta Anual de Empresas Constructoras (</w:t>
      </w:r>
      <w:proofErr w:type="spellStart"/>
      <w:r w:rsidR="00AA7F17" w:rsidRPr="008011EF">
        <w:rPr>
          <w:rFonts w:ascii="Garamond" w:hAnsi="Garamond" w:cstheme="majorHAnsi"/>
          <w:smallCaps/>
        </w:rPr>
        <w:t>eaec</w:t>
      </w:r>
      <w:proofErr w:type="spellEnd"/>
      <w:r w:rsidRPr="008011EF">
        <w:rPr>
          <w:rFonts w:ascii="Garamond" w:hAnsi="Garamond" w:cstheme="majorHAnsi"/>
        </w:rPr>
        <w:t>) forman parte de las encuestas económicas</w:t>
      </w:r>
      <w:r w:rsidR="00084256">
        <w:rPr>
          <w:rFonts w:ascii="Garamond" w:hAnsi="Garamond" w:cstheme="majorHAnsi"/>
        </w:rPr>
        <w:t xml:space="preserve"> nacionales</w:t>
      </w:r>
      <w:r w:rsidRPr="008011EF">
        <w:rPr>
          <w:rFonts w:ascii="Garamond" w:hAnsi="Garamond" w:cstheme="majorHAnsi"/>
        </w:rPr>
        <w:t xml:space="preserve"> que realizaron un cambio de serie, que implicó un incremento en el número de dominios de estudio </w:t>
      </w:r>
      <w:r w:rsidR="006A1AA8" w:rsidRPr="008011EF">
        <w:rPr>
          <w:rFonts w:ascii="Garamond" w:hAnsi="Garamond" w:cstheme="majorHAnsi"/>
        </w:rPr>
        <w:t>probabilísticos</w:t>
      </w:r>
      <w:r w:rsidRPr="008011EF">
        <w:rPr>
          <w:rFonts w:ascii="Garamond" w:hAnsi="Garamond" w:cstheme="majorHAnsi"/>
        </w:rPr>
        <w:t>.</w:t>
      </w:r>
    </w:p>
    <w:p w14:paraId="21340C76" w14:textId="47352943" w:rsidR="00F327DA" w:rsidRPr="008011EF" w:rsidRDefault="003677C3" w:rsidP="005C65AD">
      <w:pPr>
        <w:spacing w:after="0"/>
        <w:jc w:val="center"/>
        <w:rPr>
          <w:rFonts w:ascii="Garamond" w:hAnsi="Garamond" w:cstheme="majorHAnsi"/>
          <w:b/>
        </w:rPr>
      </w:pPr>
      <w:r w:rsidRPr="2D1FF5C3">
        <w:rPr>
          <w:rFonts w:ascii="Garamond" w:hAnsi="Garamond" w:cstheme="majorBidi"/>
          <w:b/>
        </w:rPr>
        <w:t xml:space="preserve">Figura </w:t>
      </w:r>
      <w:r w:rsidR="00E12B71">
        <w:rPr>
          <w:rFonts w:ascii="Garamond" w:hAnsi="Garamond" w:cstheme="majorBidi"/>
          <w:b/>
        </w:rPr>
        <w:t>9</w:t>
      </w:r>
      <w:r w:rsidR="005C65AD" w:rsidRPr="2D1FF5C3">
        <w:rPr>
          <w:rFonts w:ascii="Garamond" w:hAnsi="Garamond" w:cstheme="majorBidi"/>
          <w:b/>
        </w:rPr>
        <w:t>.</w:t>
      </w:r>
      <w:r w:rsidR="00F327DA" w:rsidRPr="2D1FF5C3">
        <w:rPr>
          <w:rFonts w:ascii="Garamond" w:hAnsi="Garamond" w:cstheme="majorBidi"/>
          <w:b/>
        </w:rPr>
        <w:t xml:space="preserve"> Distribución del coeficiente de variación en encuestas que </w:t>
      </w:r>
      <w:r w:rsidR="00E17FAA" w:rsidRPr="2D1FF5C3">
        <w:rPr>
          <w:rFonts w:ascii="Garamond" w:hAnsi="Garamond" w:cstheme="majorBidi"/>
          <w:b/>
        </w:rPr>
        <w:t>perdieron</w:t>
      </w:r>
      <w:r w:rsidR="00F327DA" w:rsidRPr="2D1FF5C3">
        <w:rPr>
          <w:rFonts w:ascii="Garamond" w:hAnsi="Garamond" w:cstheme="majorBidi"/>
          <w:b/>
        </w:rPr>
        <w:t xml:space="preserve"> precisión</w:t>
      </w:r>
      <w:r w:rsidR="005B4E90">
        <w:rPr>
          <w:rFonts w:ascii="Garamond" w:hAnsi="Garamond" w:cstheme="majorBidi"/>
          <w:b/>
        </w:rPr>
        <w:t xml:space="preserve">, </w:t>
      </w:r>
      <w:r w:rsidR="00F327DA" w:rsidRPr="2D1FF5C3">
        <w:rPr>
          <w:rFonts w:ascii="Garamond" w:hAnsi="Garamond" w:cstheme="majorBidi"/>
          <w:b/>
        </w:rPr>
        <w:t>202</w:t>
      </w:r>
      <w:r w:rsidR="00E17FAA" w:rsidRPr="2D1FF5C3">
        <w:rPr>
          <w:rFonts w:ascii="Garamond" w:hAnsi="Garamond" w:cstheme="majorBidi"/>
          <w:b/>
        </w:rPr>
        <w:t>3</w:t>
      </w:r>
    </w:p>
    <w:p w14:paraId="272E8AAD" w14:textId="77777777" w:rsidR="00DE4A0D" w:rsidRPr="00395213" w:rsidRDefault="00DE4A0D" w:rsidP="00DE4A0D">
      <w:pPr>
        <w:spacing w:after="0" w:line="240" w:lineRule="auto"/>
        <w:jc w:val="center"/>
      </w:pPr>
      <w:r>
        <w:rPr>
          <w:noProof/>
        </w:rPr>
        <w:drawing>
          <wp:inline distT="0" distB="0" distL="0" distR="0" wp14:anchorId="657373CF" wp14:editId="54EE7C4B">
            <wp:extent cx="4282189" cy="2628789"/>
            <wp:effectExtent l="0" t="0" r="4445" b="635"/>
            <wp:docPr id="209462883" name="Picture 682534608" descr="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883" name="Picture 682534608" descr="Gráfico de barras&#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328" cy="2650974"/>
                    </a:xfrm>
                    <a:prstGeom prst="rect">
                      <a:avLst/>
                    </a:prstGeom>
                  </pic:spPr>
                </pic:pic>
              </a:graphicData>
            </a:graphic>
          </wp:inline>
        </w:drawing>
      </w:r>
    </w:p>
    <w:p w14:paraId="3F8ACB64" w14:textId="77777777" w:rsidR="00DE4A0D" w:rsidRDefault="00DE4A0D" w:rsidP="008D1690">
      <w:pPr>
        <w:spacing w:after="0"/>
        <w:ind w:left="567" w:right="594"/>
        <w:jc w:val="both"/>
        <w:rPr>
          <w:rFonts w:ascii="Garamond" w:hAnsi="Garamond" w:cstheme="majorBidi"/>
          <w:sz w:val="18"/>
          <w:szCs w:val="18"/>
        </w:rPr>
      </w:pPr>
      <w:r w:rsidRPr="1D0CD1B7">
        <w:rPr>
          <w:rFonts w:ascii="Garamond" w:hAnsi="Garamond" w:cstheme="majorBidi"/>
          <w:sz w:val="18"/>
          <w:szCs w:val="18"/>
        </w:rPr>
        <w:t>Nota</w:t>
      </w:r>
      <w:r w:rsidRPr="084EFFFB">
        <w:rPr>
          <w:rFonts w:ascii="Garamond" w:hAnsi="Garamond" w:cstheme="majorBidi"/>
          <w:sz w:val="18"/>
          <w:szCs w:val="18"/>
        </w:rPr>
        <w:t xml:space="preserve"> </w:t>
      </w:r>
      <w:r w:rsidRPr="6B015A43">
        <w:rPr>
          <w:rFonts w:ascii="Garamond" w:hAnsi="Garamond" w:cstheme="majorBidi"/>
          <w:sz w:val="18"/>
          <w:szCs w:val="18"/>
        </w:rPr>
        <w:t>1</w:t>
      </w:r>
      <w:r w:rsidRPr="1D0CD1B7">
        <w:rPr>
          <w:rFonts w:ascii="Garamond" w:hAnsi="Garamond" w:cstheme="majorBidi"/>
          <w:sz w:val="18"/>
          <w:szCs w:val="18"/>
        </w:rPr>
        <w:t>: Para el caso de las encuestas económicas nacionales, la información considerada para el año de publicación 2023 corresponde a la Serie 2018, en tanto que la información considerada para años anteriores corresponde a la Serie 2013.</w:t>
      </w:r>
      <w:r w:rsidRPr="33155508">
        <w:rPr>
          <w:rFonts w:ascii="Garamond" w:hAnsi="Garamond" w:cstheme="majorBidi"/>
          <w:sz w:val="18"/>
          <w:szCs w:val="18"/>
        </w:rPr>
        <w:t xml:space="preserve"> </w:t>
      </w:r>
    </w:p>
    <w:p w14:paraId="4AA98C2D" w14:textId="208D6584" w:rsidR="00DE4A0D" w:rsidRPr="003E23EA" w:rsidRDefault="00DE4A0D" w:rsidP="008D1690">
      <w:pPr>
        <w:spacing w:after="0"/>
        <w:ind w:left="567" w:right="594"/>
        <w:jc w:val="both"/>
        <w:rPr>
          <w:rFonts w:ascii="Garamond" w:hAnsi="Garamond" w:cstheme="majorBidi"/>
          <w:sz w:val="18"/>
          <w:szCs w:val="18"/>
        </w:rPr>
      </w:pPr>
      <w:r w:rsidRPr="003E23EA">
        <w:rPr>
          <w:rFonts w:ascii="Garamond" w:hAnsi="Garamond" w:cstheme="majorBidi"/>
          <w:sz w:val="18"/>
          <w:szCs w:val="18"/>
        </w:rPr>
        <w:t xml:space="preserve">Nota 2: En el acuerdo </w:t>
      </w:r>
      <w:r w:rsidR="000C6832" w:rsidRPr="000C6832">
        <w:rPr>
          <w:rFonts w:ascii="Garamond" w:hAnsi="Garamond" w:cstheme="majorBidi"/>
          <w:smallCaps/>
          <w:sz w:val="18"/>
          <w:szCs w:val="18"/>
        </w:rPr>
        <w:t>cac</w:t>
      </w:r>
      <w:r w:rsidRPr="003E23EA">
        <w:rPr>
          <w:rFonts w:ascii="Garamond" w:hAnsi="Garamond" w:cstheme="majorBidi"/>
          <w:sz w:val="18"/>
          <w:szCs w:val="18"/>
        </w:rPr>
        <w:t>-006/01/2018 se aprobaron los umbrales del Coeficiente de Variación (</w:t>
      </w:r>
      <w:proofErr w:type="spellStart"/>
      <w:r w:rsidR="00061F4D" w:rsidRPr="00061F4D">
        <w:rPr>
          <w:rFonts w:ascii="Garamond" w:hAnsi="Garamond" w:cstheme="majorBidi"/>
          <w:smallCaps/>
          <w:sz w:val="18"/>
          <w:szCs w:val="18"/>
        </w:rPr>
        <w:t>cv</w:t>
      </w:r>
      <w:proofErr w:type="spellEnd"/>
      <w:r w:rsidRPr="003E23EA">
        <w:rPr>
          <w:rFonts w:ascii="Garamond" w:hAnsi="Garamond" w:cstheme="majorBidi"/>
          <w:sz w:val="18"/>
          <w:szCs w:val="18"/>
        </w:rPr>
        <w:t>) y los colores para su semaforización.</w:t>
      </w:r>
    </w:p>
    <w:p w14:paraId="0E2DC5BD" w14:textId="3AFC4B9F" w:rsidR="00F327DA" w:rsidRPr="008011EF" w:rsidRDefault="00F47DBE" w:rsidP="00664A1D">
      <w:pPr>
        <w:spacing w:before="240"/>
        <w:jc w:val="both"/>
        <w:rPr>
          <w:rFonts w:ascii="Garamond" w:hAnsi="Garamond"/>
        </w:rPr>
      </w:pPr>
      <w:r w:rsidRPr="008011EF">
        <w:rPr>
          <w:rFonts w:ascii="Garamond" w:hAnsi="Garamond"/>
        </w:rPr>
        <w:lastRenderedPageBreak/>
        <w:t xml:space="preserve">Por otra parte, se mantiene una tendencia a la baja en el número de procesos </w:t>
      </w:r>
      <w:r w:rsidR="003E0B9E" w:rsidRPr="008011EF">
        <w:rPr>
          <w:rFonts w:ascii="Garamond" w:hAnsi="Garamond"/>
        </w:rPr>
        <w:t xml:space="preserve">de producción </w:t>
      </w:r>
      <w:r w:rsidRPr="008011EF">
        <w:rPr>
          <w:rFonts w:ascii="Garamond" w:hAnsi="Garamond"/>
        </w:rPr>
        <w:t>cuyas tasas de no respuesta antes de imputación superan a las esperadas en los diseños muestrales. Los procesos para los que se observa una tasa de no respuesta antes de imputación superior a la máxima esperada en el diseño muestral son: Encuesta Nacional de Trabajo Infantil, Encuesta Nacional sobre Discriminación y Encuesta Nacional de Ocupación y Empleo</w:t>
      </w:r>
      <w:r w:rsidR="00F13DDB" w:rsidRPr="008011EF">
        <w:rPr>
          <w:rFonts w:ascii="Garamond" w:hAnsi="Garamond"/>
        </w:rPr>
        <w:t>;</w:t>
      </w:r>
      <w:r w:rsidR="005D512B" w:rsidRPr="008011EF">
        <w:rPr>
          <w:rFonts w:ascii="Garamond" w:hAnsi="Garamond"/>
        </w:rPr>
        <w:t xml:space="preserve"> </w:t>
      </w:r>
      <w:r w:rsidRPr="008011EF">
        <w:rPr>
          <w:rFonts w:ascii="Garamond" w:hAnsi="Garamond"/>
        </w:rPr>
        <w:t xml:space="preserve">esta última tanto en sus publicaciones trimestrales como mensuales. </w:t>
      </w:r>
      <w:r w:rsidR="007F1EC1" w:rsidRPr="008011EF">
        <w:rPr>
          <w:rFonts w:ascii="Garamond" w:hAnsi="Garamond"/>
        </w:rPr>
        <w:t xml:space="preserve">La tendencia de mejoría en el indicador anterior se complementa al analizar las tasas de cumplimiento de la muestra mínima, donde se mantiene una recuperación respecto a años anteriores y superando incluso el nivel observado </w:t>
      </w:r>
      <w:r w:rsidR="0032594F" w:rsidRPr="008011EF">
        <w:rPr>
          <w:rFonts w:ascii="Garamond" w:hAnsi="Garamond"/>
        </w:rPr>
        <w:t>previo a la pandemia</w:t>
      </w:r>
      <w:r w:rsidR="007F1EC1" w:rsidRPr="008011EF">
        <w:rPr>
          <w:rFonts w:ascii="Garamond" w:hAnsi="Garamond"/>
        </w:rPr>
        <w:t xml:space="preserve">. Esta recuperación y mejora paulatina refleja el esfuerzo realizado por las áreas para mantener un estándar alto de calidad en los </w:t>
      </w:r>
      <w:r w:rsidR="00A17CE7" w:rsidRPr="008011EF">
        <w:rPr>
          <w:rFonts w:ascii="Garamond" w:hAnsi="Garamond"/>
        </w:rPr>
        <w:t>p</w:t>
      </w:r>
      <w:r w:rsidR="007F1EC1" w:rsidRPr="008011EF">
        <w:rPr>
          <w:rFonts w:ascii="Garamond" w:hAnsi="Garamond"/>
        </w:rPr>
        <w:t xml:space="preserve">rocesos </w:t>
      </w:r>
      <w:r w:rsidR="00A17CE7" w:rsidRPr="008011EF">
        <w:rPr>
          <w:rFonts w:ascii="Garamond" w:hAnsi="Garamond"/>
        </w:rPr>
        <w:t>de pro</w:t>
      </w:r>
      <w:r w:rsidR="004C30E6" w:rsidRPr="008011EF">
        <w:rPr>
          <w:rFonts w:ascii="Garamond" w:hAnsi="Garamond"/>
        </w:rPr>
        <w:t>ducción</w:t>
      </w:r>
      <w:r w:rsidR="00E232C4" w:rsidRPr="008011EF">
        <w:rPr>
          <w:rFonts w:ascii="Garamond" w:hAnsi="Garamond"/>
        </w:rPr>
        <w:t xml:space="preserve"> (ver </w:t>
      </w:r>
      <w:r w:rsidR="00486806" w:rsidRPr="008011EF">
        <w:rPr>
          <w:rFonts w:ascii="Garamond" w:hAnsi="Garamond"/>
        </w:rPr>
        <w:t>Tabla</w:t>
      </w:r>
      <w:r w:rsidR="005C65AD" w:rsidRPr="008011EF">
        <w:rPr>
          <w:rFonts w:ascii="Garamond" w:hAnsi="Garamond"/>
        </w:rPr>
        <w:t xml:space="preserve"> 1</w:t>
      </w:r>
      <w:r w:rsidR="008D1690">
        <w:rPr>
          <w:rFonts w:ascii="Garamond" w:hAnsi="Garamond"/>
        </w:rPr>
        <w:t>1</w:t>
      </w:r>
      <w:r w:rsidR="005C65AD" w:rsidRPr="008011EF">
        <w:rPr>
          <w:rFonts w:ascii="Garamond" w:hAnsi="Garamond"/>
        </w:rPr>
        <w:t>)</w:t>
      </w:r>
      <w:r w:rsidR="00486806" w:rsidRPr="008011EF">
        <w:rPr>
          <w:rFonts w:ascii="Garamond" w:hAnsi="Garamond"/>
        </w:rPr>
        <w:t>.</w:t>
      </w:r>
    </w:p>
    <w:p w14:paraId="3850EF54" w14:textId="324ED939" w:rsidR="00931152" w:rsidRPr="008011EF" w:rsidRDefault="00486806" w:rsidP="003F486F">
      <w:pPr>
        <w:spacing w:before="240" w:after="0"/>
        <w:jc w:val="center"/>
        <w:rPr>
          <w:rFonts w:ascii="Garamond" w:hAnsi="Garamond"/>
        </w:rPr>
      </w:pPr>
      <w:r w:rsidRPr="008011EF">
        <w:rPr>
          <w:rFonts w:ascii="Garamond" w:hAnsi="Garamond"/>
          <w:b/>
        </w:rPr>
        <w:t>Tabla 1</w:t>
      </w:r>
      <w:r w:rsidR="008D1690">
        <w:rPr>
          <w:rFonts w:ascii="Garamond" w:hAnsi="Garamond"/>
          <w:b/>
        </w:rPr>
        <w:t>1</w:t>
      </w:r>
      <w:r w:rsidR="005C65AD" w:rsidRPr="008011EF">
        <w:rPr>
          <w:rFonts w:ascii="Garamond" w:hAnsi="Garamond"/>
          <w:b/>
        </w:rPr>
        <w:t>.</w:t>
      </w:r>
      <w:r w:rsidR="00931152" w:rsidRPr="008011EF">
        <w:rPr>
          <w:rFonts w:ascii="Garamond" w:hAnsi="Garamond"/>
          <w:b/>
        </w:rPr>
        <w:t xml:space="preserve"> Resultados generales de la tasa de no respuesta</w:t>
      </w:r>
      <w:r w:rsidR="00B2052C" w:rsidRPr="008011EF">
        <w:rPr>
          <w:rFonts w:ascii="Garamond" w:hAnsi="Garamond"/>
          <w:b/>
        </w:rPr>
        <w:t xml:space="preserve"> y cumplimiento de la muestra mínima</w:t>
      </w:r>
      <w:r w:rsidR="00FD27CB">
        <w:rPr>
          <w:rStyle w:val="Refdenotaalpie"/>
          <w:rFonts w:ascii="Garamond" w:hAnsi="Garamond"/>
          <w:b/>
        </w:rPr>
        <w:footnoteReference w:id="15"/>
      </w:r>
    </w:p>
    <w:tbl>
      <w:tblPr>
        <w:tblStyle w:val="Tablaconcuadrcula"/>
        <w:tblW w:w="0" w:type="auto"/>
        <w:jc w:val="center"/>
        <w:tblBorders>
          <w:top w:val="single" w:sz="4" w:space="0" w:color="BFBFBF" w:themeColor="background1" w:themeShade="BF"/>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87"/>
        <w:gridCol w:w="597"/>
        <w:gridCol w:w="597"/>
        <w:gridCol w:w="610"/>
        <w:gridCol w:w="597"/>
        <w:gridCol w:w="610"/>
        <w:gridCol w:w="597"/>
      </w:tblGrid>
      <w:tr w:rsidR="003F6E03" w:rsidRPr="008011EF" w14:paraId="17249993" w14:textId="7B710476" w:rsidTr="00333E94">
        <w:trPr>
          <w:trHeight w:val="397"/>
          <w:jc w:val="center"/>
        </w:trPr>
        <w:tc>
          <w:tcPr>
            <w:tcW w:w="7192" w:type="dxa"/>
            <w:tcBorders>
              <w:bottom w:val="single" w:sz="4" w:space="0" w:color="BFBFBF" w:themeColor="background1" w:themeShade="BF"/>
              <w:right w:val="nil"/>
            </w:tcBorders>
            <w:shd w:val="clear" w:color="auto" w:fill="002060"/>
            <w:vAlign w:val="center"/>
          </w:tcPr>
          <w:p w14:paraId="71EB9F00" w14:textId="56530F9F" w:rsidR="003F6E03" w:rsidRPr="008011EF" w:rsidRDefault="003F6E03" w:rsidP="003F6E03">
            <w:pPr>
              <w:jc w:val="center"/>
              <w:rPr>
                <w:rFonts w:ascii="Garamond" w:hAnsi="Garamond"/>
                <w:b/>
                <w:bCs/>
                <w:color w:val="FFFFFF" w:themeColor="background1"/>
                <w:sz w:val="20"/>
                <w:szCs w:val="20"/>
              </w:rPr>
            </w:pPr>
            <w:r w:rsidRPr="008011EF">
              <w:rPr>
                <w:rFonts w:ascii="Garamond" w:hAnsi="Garamond"/>
                <w:b/>
                <w:bCs/>
                <w:color w:val="FFFFFF" w:themeColor="background1"/>
                <w:sz w:val="20"/>
                <w:szCs w:val="20"/>
              </w:rPr>
              <w:t>Indicador</w:t>
            </w:r>
          </w:p>
        </w:tc>
        <w:tc>
          <w:tcPr>
            <w:tcW w:w="597" w:type="dxa"/>
            <w:tcBorders>
              <w:left w:val="nil"/>
              <w:bottom w:val="single" w:sz="4" w:space="0" w:color="BFBFBF" w:themeColor="background1" w:themeShade="BF"/>
              <w:right w:val="nil"/>
            </w:tcBorders>
            <w:shd w:val="clear" w:color="auto" w:fill="002060"/>
            <w:vAlign w:val="center"/>
          </w:tcPr>
          <w:p w14:paraId="2710A41F" w14:textId="3A278339"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2018</w:t>
            </w:r>
          </w:p>
        </w:tc>
        <w:tc>
          <w:tcPr>
            <w:tcW w:w="597" w:type="dxa"/>
            <w:tcBorders>
              <w:left w:val="nil"/>
              <w:bottom w:val="single" w:sz="4" w:space="0" w:color="BFBFBF" w:themeColor="background1" w:themeShade="BF"/>
              <w:right w:val="nil"/>
            </w:tcBorders>
            <w:shd w:val="clear" w:color="auto" w:fill="002060"/>
            <w:vAlign w:val="center"/>
          </w:tcPr>
          <w:p w14:paraId="773FBD18" w14:textId="2EF50D1F"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2019</w:t>
            </w:r>
          </w:p>
        </w:tc>
        <w:tc>
          <w:tcPr>
            <w:tcW w:w="610" w:type="dxa"/>
            <w:tcBorders>
              <w:left w:val="nil"/>
              <w:bottom w:val="single" w:sz="4" w:space="0" w:color="BFBFBF" w:themeColor="background1" w:themeShade="BF"/>
              <w:right w:val="nil"/>
            </w:tcBorders>
            <w:shd w:val="clear" w:color="auto" w:fill="002060"/>
            <w:vAlign w:val="center"/>
          </w:tcPr>
          <w:p w14:paraId="63462E23" w14:textId="02F5E9C3"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2020</w:t>
            </w:r>
          </w:p>
        </w:tc>
        <w:tc>
          <w:tcPr>
            <w:tcW w:w="597" w:type="dxa"/>
            <w:tcBorders>
              <w:left w:val="nil"/>
              <w:bottom w:val="single" w:sz="4" w:space="0" w:color="BFBFBF" w:themeColor="background1" w:themeShade="BF"/>
              <w:right w:val="nil"/>
            </w:tcBorders>
            <w:shd w:val="clear" w:color="auto" w:fill="002060"/>
            <w:vAlign w:val="center"/>
          </w:tcPr>
          <w:p w14:paraId="1664EEA0" w14:textId="6A211A57"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2021</w:t>
            </w:r>
          </w:p>
        </w:tc>
        <w:tc>
          <w:tcPr>
            <w:tcW w:w="610" w:type="dxa"/>
            <w:tcBorders>
              <w:left w:val="nil"/>
              <w:bottom w:val="single" w:sz="4" w:space="0" w:color="BFBFBF" w:themeColor="background1" w:themeShade="BF"/>
              <w:right w:val="nil"/>
            </w:tcBorders>
            <w:shd w:val="clear" w:color="auto" w:fill="002060"/>
            <w:vAlign w:val="center"/>
          </w:tcPr>
          <w:p w14:paraId="392337E8" w14:textId="76389EA4"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2022</w:t>
            </w:r>
          </w:p>
        </w:tc>
        <w:tc>
          <w:tcPr>
            <w:tcW w:w="597" w:type="dxa"/>
            <w:tcBorders>
              <w:left w:val="nil"/>
              <w:bottom w:val="single" w:sz="4" w:space="0" w:color="BFBFBF" w:themeColor="background1" w:themeShade="BF"/>
              <w:right w:val="single" w:sz="4" w:space="0" w:color="BFBFBF" w:themeColor="background1" w:themeShade="BF"/>
            </w:tcBorders>
            <w:shd w:val="clear" w:color="auto" w:fill="002060"/>
            <w:vAlign w:val="center"/>
          </w:tcPr>
          <w:p w14:paraId="39C52F22" w14:textId="752AFF66" w:rsidR="003F6E03" w:rsidRPr="008011EF" w:rsidRDefault="003F6E03" w:rsidP="003F6E03">
            <w:pPr>
              <w:jc w:val="center"/>
              <w:rPr>
                <w:rFonts w:ascii="Garamond" w:hAnsi="Garamond"/>
                <w:b/>
                <w:bCs/>
                <w:color w:val="FFFFFF" w:themeColor="background1"/>
                <w:sz w:val="20"/>
                <w:szCs w:val="20"/>
              </w:rPr>
            </w:pPr>
            <w:r w:rsidRPr="008011EF">
              <w:rPr>
                <w:rFonts w:ascii="Garamond" w:eastAsia="Times New Roman" w:hAnsi="Garamond" w:cs="Calibri"/>
                <w:b/>
                <w:bCs/>
                <w:color w:val="FFFFFF"/>
                <w:sz w:val="20"/>
                <w:szCs w:val="20"/>
                <w:lang w:eastAsia="es-MX"/>
              </w:rPr>
              <w:t>2023</w:t>
            </w:r>
          </w:p>
        </w:tc>
      </w:tr>
      <w:tr w:rsidR="003F6E03" w:rsidRPr="008011EF" w14:paraId="3FF9674C" w14:textId="4D416B99" w:rsidTr="00333E94">
        <w:trPr>
          <w:trHeight w:val="397"/>
          <w:jc w:val="center"/>
        </w:trPr>
        <w:tc>
          <w:tcPr>
            <w:tcW w:w="7192" w:type="dxa"/>
            <w:tcBorders>
              <w:bottom w:val="single" w:sz="4" w:space="0" w:color="BFBFBF" w:themeColor="background1" w:themeShade="BF"/>
              <w:right w:val="nil"/>
            </w:tcBorders>
            <w:vAlign w:val="center"/>
          </w:tcPr>
          <w:p w14:paraId="72244B28" w14:textId="7C01536E" w:rsidR="003F6E03" w:rsidRPr="008011EF" w:rsidRDefault="003F6E03" w:rsidP="001A69C5">
            <w:pPr>
              <w:rPr>
                <w:rFonts w:ascii="Garamond" w:hAnsi="Garamond"/>
                <w:sz w:val="20"/>
                <w:szCs w:val="20"/>
              </w:rPr>
            </w:pPr>
            <w:r w:rsidRPr="008011EF">
              <w:rPr>
                <w:rFonts w:ascii="Garamond" w:hAnsi="Garamond"/>
                <w:sz w:val="20"/>
                <w:szCs w:val="20"/>
              </w:rPr>
              <w:t>Porcentaje de procesos con tasa de no respuesta superior a la esperada en el diseño muestral</w:t>
            </w:r>
          </w:p>
        </w:tc>
        <w:tc>
          <w:tcPr>
            <w:tcW w:w="597" w:type="dxa"/>
            <w:tcBorders>
              <w:left w:val="nil"/>
              <w:bottom w:val="single" w:sz="4" w:space="0" w:color="BFBFBF" w:themeColor="background1" w:themeShade="BF"/>
              <w:right w:val="nil"/>
            </w:tcBorders>
            <w:vAlign w:val="center"/>
          </w:tcPr>
          <w:p w14:paraId="31DDC5C3" w14:textId="0D94D5C8"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10%</w:t>
            </w:r>
          </w:p>
        </w:tc>
        <w:tc>
          <w:tcPr>
            <w:tcW w:w="597" w:type="dxa"/>
            <w:tcBorders>
              <w:left w:val="nil"/>
              <w:bottom w:val="single" w:sz="4" w:space="0" w:color="BFBFBF" w:themeColor="background1" w:themeShade="BF"/>
              <w:right w:val="nil"/>
            </w:tcBorders>
            <w:vAlign w:val="center"/>
          </w:tcPr>
          <w:p w14:paraId="7564248E" w14:textId="46EB8F5E"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15%</w:t>
            </w:r>
          </w:p>
        </w:tc>
        <w:tc>
          <w:tcPr>
            <w:tcW w:w="610" w:type="dxa"/>
            <w:tcBorders>
              <w:left w:val="nil"/>
              <w:bottom w:val="single" w:sz="4" w:space="0" w:color="BFBFBF" w:themeColor="background1" w:themeShade="BF"/>
              <w:right w:val="nil"/>
            </w:tcBorders>
            <w:vAlign w:val="center"/>
          </w:tcPr>
          <w:p w14:paraId="1DDB5280" w14:textId="3A07AC16"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23%</w:t>
            </w:r>
          </w:p>
        </w:tc>
        <w:tc>
          <w:tcPr>
            <w:tcW w:w="597" w:type="dxa"/>
            <w:tcBorders>
              <w:left w:val="nil"/>
              <w:bottom w:val="single" w:sz="4" w:space="0" w:color="BFBFBF" w:themeColor="background1" w:themeShade="BF"/>
              <w:right w:val="nil"/>
            </w:tcBorders>
            <w:vAlign w:val="center"/>
          </w:tcPr>
          <w:p w14:paraId="01F8B62C" w14:textId="61B2CF42"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36%</w:t>
            </w:r>
          </w:p>
        </w:tc>
        <w:tc>
          <w:tcPr>
            <w:tcW w:w="610" w:type="dxa"/>
            <w:tcBorders>
              <w:left w:val="nil"/>
              <w:bottom w:val="single" w:sz="4" w:space="0" w:color="BFBFBF" w:themeColor="background1" w:themeShade="BF"/>
              <w:right w:val="nil"/>
            </w:tcBorders>
            <w:vAlign w:val="center"/>
          </w:tcPr>
          <w:p w14:paraId="3D7155E8" w14:textId="7F2F6B81"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14%</w:t>
            </w:r>
          </w:p>
        </w:tc>
        <w:tc>
          <w:tcPr>
            <w:tcW w:w="597" w:type="dxa"/>
            <w:tcBorders>
              <w:top w:val="single" w:sz="4" w:space="0" w:color="BFBFBF" w:themeColor="background1" w:themeShade="BF"/>
              <w:left w:val="nil"/>
              <w:bottom w:val="single" w:sz="4" w:space="0" w:color="BFBFBF" w:themeColor="background1" w:themeShade="BF"/>
            </w:tcBorders>
            <w:vAlign w:val="center"/>
          </w:tcPr>
          <w:p w14:paraId="61C9A0CD" w14:textId="593C2813"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13%</w:t>
            </w:r>
          </w:p>
        </w:tc>
      </w:tr>
      <w:tr w:rsidR="003F6E03" w:rsidRPr="008011EF" w14:paraId="50702D6F" w14:textId="0CCA5C81" w:rsidTr="00333E94">
        <w:trPr>
          <w:trHeight w:val="397"/>
          <w:jc w:val="center"/>
        </w:trPr>
        <w:tc>
          <w:tcPr>
            <w:tcW w:w="7192" w:type="dxa"/>
            <w:tcBorders>
              <w:bottom w:val="single" w:sz="4" w:space="0" w:color="BFBFBF" w:themeColor="background1" w:themeShade="BF"/>
              <w:right w:val="nil"/>
            </w:tcBorders>
            <w:shd w:val="clear" w:color="auto" w:fill="auto"/>
            <w:vAlign w:val="center"/>
          </w:tcPr>
          <w:p w14:paraId="5DFC9A10" w14:textId="71B6DAEB" w:rsidR="003F6E03" w:rsidRPr="008011EF" w:rsidRDefault="003F6E03" w:rsidP="001A69C5">
            <w:pPr>
              <w:rPr>
                <w:rFonts w:ascii="Garamond" w:hAnsi="Garamond"/>
                <w:sz w:val="20"/>
                <w:szCs w:val="20"/>
              </w:rPr>
            </w:pPr>
            <w:r w:rsidRPr="008011EF">
              <w:rPr>
                <w:rFonts w:ascii="Garamond" w:hAnsi="Garamond"/>
                <w:sz w:val="20"/>
                <w:szCs w:val="20"/>
              </w:rPr>
              <w:t>Porcentaje de procesos que presentaron un cumplimiento total en la muestra mínima esperada</w:t>
            </w:r>
          </w:p>
        </w:tc>
        <w:tc>
          <w:tcPr>
            <w:tcW w:w="597" w:type="dxa"/>
            <w:tcBorders>
              <w:left w:val="nil"/>
              <w:bottom w:val="single" w:sz="4" w:space="0" w:color="BFBFBF" w:themeColor="background1" w:themeShade="BF"/>
              <w:right w:val="nil"/>
            </w:tcBorders>
            <w:shd w:val="clear" w:color="auto" w:fill="auto"/>
            <w:vAlign w:val="center"/>
          </w:tcPr>
          <w:p w14:paraId="0F17613F" w14:textId="73DA569D"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67%</w:t>
            </w:r>
          </w:p>
        </w:tc>
        <w:tc>
          <w:tcPr>
            <w:tcW w:w="597" w:type="dxa"/>
            <w:tcBorders>
              <w:left w:val="nil"/>
              <w:bottom w:val="single" w:sz="4" w:space="0" w:color="BFBFBF" w:themeColor="background1" w:themeShade="BF"/>
              <w:right w:val="nil"/>
            </w:tcBorders>
            <w:shd w:val="clear" w:color="auto" w:fill="auto"/>
            <w:vAlign w:val="center"/>
          </w:tcPr>
          <w:p w14:paraId="3EAF2E48" w14:textId="319ED188"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46%</w:t>
            </w:r>
          </w:p>
        </w:tc>
        <w:tc>
          <w:tcPr>
            <w:tcW w:w="610" w:type="dxa"/>
            <w:tcBorders>
              <w:left w:val="nil"/>
              <w:bottom w:val="single" w:sz="4" w:space="0" w:color="BFBFBF" w:themeColor="background1" w:themeShade="BF"/>
              <w:right w:val="nil"/>
            </w:tcBorders>
            <w:shd w:val="clear" w:color="auto" w:fill="auto"/>
            <w:vAlign w:val="center"/>
          </w:tcPr>
          <w:p w14:paraId="618F4B28" w14:textId="08267EDE"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33%</w:t>
            </w:r>
          </w:p>
        </w:tc>
        <w:tc>
          <w:tcPr>
            <w:tcW w:w="597" w:type="dxa"/>
            <w:tcBorders>
              <w:left w:val="nil"/>
              <w:bottom w:val="single" w:sz="4" w:space="0" w:color="BFBFBF" w:themeColor="background1" w:themeShade="BF"/>
              <w:right w:val="nil"/>
            </w:tcBorders>
            <w:shd w:val="clear" w:color="auto" w:fill="auto"/>
            <w:vAlign w:val="center"/>
          </w:tcPr>
          <w:p w14:paraId="514336EA" w14:textId="1FFC0D00"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40%</w:t>
            </w:r>
          </w:p>
        </w:tc>
        <w:tc>
          <w:tcPr>
            <w:tcW w:w="610" w:type="dxa"/>
            <w:tcBorders>
              <w:left w:val="nil"/>
              <w:bottom w:val="single" w:sz="4" w:space="0" w:color="BFBFBF" w:themeColor="background1" w:themeShade="BF"/>
              <w:right w:val="nil"/>
            </w:tcBorders>
            <w:shd w:val="clear" w:color="auto" w:fill="auto"/>
            <w:vAlign w:val="center"/>
          </w:tcPr>
          <w:p w14:paraId="1A9E92BD" w14:textId="370F7305"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76%</w:t>
            </w:r>
          </w:p>
        </w:tc>
        <w:tc>
          <w:tcPr>
            <w:tcW w:w="597" w:type="dxa"/>
            <w:tcBorders>
              <w:left w:val="nil"/>
              <w:bottom w:val="single" w:sz="4" w:space="0" w:color="BFBFBF" w:themeColor="background1" w:themeShade="BF"/>
            </w:tcBorders>
            <w:shd w:val="clear" w:color="auto" w:fill="auto"/>
            <w:vAlign w:val="center"/>
          </w:tcPr>
          <w:p w14:paraId="4A4B8845" w14:textId="66BC4E25" w:rsidR="003F6E03" w:rsidRPr="008011EF" w:rsidRDefault="003F6E03" w:rsidP="002225F3">
            <w:pPr>
              <w:jc w:val="center"/>
              <w:rPr>
                <w:rFonts w:ascii="Garamond" w:hAnsi="Garamond"/>
                <w:sz w:val="20"/>
                <w:szCs w:val="20"/>
              </w:rPr>
            </w:pPr>
            <w:r w:rsidRPr="008011EF">
              <w:rPr>
                <w:rFonts w:ascii="Garamond" w:eastAsia="Times New Roman" w:hAnsi="Garamond" w:cs="Calibri"/>
                <w:color w:val="000000"/>
                <w:sz w:val="20"/>
                <w:szCs w:val="20"/>
                <w:lang w:eastAsia="es-MX"/>
              </w:rPr>
              <w:t>78%</w:t>
            </w:r>
          </w:p>
        </w:tc>
      </w:tr>
    </w:tbl>
    <w:p w14:paraId="5DF4C91C" w14:textId="3B6564D9" w:rsidR="005D36A2" w:rsidRPr="008011EF" w:rsidRDefault="005D36A2" w:rsidP="005D36A2">
      <w:pPr>
        <w:spacing w:after="0"/>
        <w:jc w:val="both"/>
        <w:rPr>
          <w:rFonts w:ascii="Garamond" w:hAnsi="Garamond"/>
          <w:sz w:val="18"/>
          <w:szCs w:val="18"/>
        </w:rPr>
      </w:pPr>
      <w:r w:rsidRPr="008011EF">
        <w:rPr>
          <w:rFonts w:ascii="Garamond" w:hAnsi="Garamond"/>
          <w:sz w:val="18"/>
          <w:szCs w:val="18"/>
        </w:rPr>
        <w:t xml:space="preserve">Nota: </w:t>
      </w:r>
      <w:r w:rsidR="005D3676">
        <w:rPr>
          <w:rFonts w:ascii="Garamond" w:hAnsi="Garamond"/>
          <w:sz w:val="18"/>
          <w:szCs w:val="18"/>
        </w:rPr>
        <w:t>D</w:t>
      </w:r>
      <w:r w:rsidRPr="008011EF">
        <w:rPr>
          <w:rFonts w:ascii="Garamond" w:hAnsi="Garamond"/>
          <w:sz w:val="18"/>
          <w:szCs w:val="18"/>
        </w:rPr>
        <w:t>urante 2023 se realizó una actualización de indicadores de precisión estadística conforme a entregas posteriores para publicaciones de todos los años anteriores de reporte, por tal motivo, pueden presentarse diferencias en cifras publicadas en informes de resultados anteriores.</w:t>
      </w:r>
    </w:p>
    <w:p w14:paraId="2C878A1F" w14:textId="2E92107B" w:rsidR="002C7D58" w:rsidRPr="003005B9" w:rsidRDefault="002C7D58" w:rsidP="00664A1D">
      <w:pPr>
        <w:spacing w:before="240"/>
        <w:jc w:val="both"/>
        <w:rPr>
          <w:rFonts w:ascii="Garamond" w:hAnsi="Garamond"/>
        </w:rPr>
      </w:pPr>
      <w:r w:rsidRPr="003005B9">
        <w:rPr>
          <w:rFonts w:ascii="Garamond" w:hAnsi="Garamond"/>
        </w:rPr>
        <w:t xml:space="preserve">En </w:t>
      </w:r>
      <w:r w:rsidR="00486806" w:rsidRPr="003005B9">
        <w:rPr>
          <w:rFonts w:ascii="Garamond" w:hAnsi="Garamond"/>
        </w:rPr>
        <w:t>la</w:t>
      </w:r>
      <w:r w:rsidRPr="003005B9">
        <w:rPr>
          <w:rFonts w:ascii="Garamond" w:hAnsi="Garamond"/>
        </w:rPr>
        <w:t xml:space="preserve"> </w:t>
      </w:r>
      <w:r w:rsidR="00486806" w:rsidRPr="003005B9">
        <w:rPr>
          <w:rFonts w:ascii="Garamond" w:hAnsi="Garamond"/>
        </w:rPr>
        <w:t>Tabla</w:t>
      </w:r>
      <w:r w:rsidRPr="003005B9">
        <w:rPr>
          <w:rFonts w:ascii="Garamond" w:hAnsi="Garamond"/>
        </w:rPr>
        <w:t xml:space="preserve"> </w:t>
      </w:r>
      <w:r w:rsidR="005C65AD" w:rsidRPr="003005B9">
        <w:rPr>
          <w:rFonts w:ascii="Garamond" w:hAnsi="Garamond"/>
        </w:rPr>
        <w:t>1</w:t>
      </w:r>
      <w:r w:rsidR="00861191">
        <w:rPr>
          <w:rFonts w:ascii="Garamond" w:hAnsi="Garamond"/>
        </w:rPr>
        <w:t>2</w:t>
      </w:r>
      <w:r w:rsidR="00CC2609" w:rsidRPr="003005B9">
        <w:rPr>
          <w:rFonts w:ascii="Garamond" w:hAnsi="Garamond"/>
        </w:rPr>
        <w:t xml:space="preserve"> </w:t>
      </w:r>
      <w:r w:rsidRPr="003005B9">
        <w:rPr>
          <w:rFonts w:ascii="Garamond" w:hAnsi="Garamond"/>
        </w:rPr>
        <w:t>se presentan</w:t>
      </w:r>
      <w:r w:rsidR="00327D05">
        <w:rPr>
          <w:rFonts w:ascii="Garamond" w:hAnsi="Garamond"/>
        </w:rPr>
        <w:t xml:space="preserve"> las</w:t>
      </w:r>
      <w:r w:rsidRPr="003005B9">
        <w:rPr>
          <w:rFonts w:ascii="Garamond" w:hAnsi="Garamond"/>
        </w:rPr>
        <w:t xml:space="preserve"> </w:t>
      </w:r>
      <w:r w:rsidR="00DF6936" w:rsidRPr="003005B9">
        <w:rPr>
          <w:rFonts w:ascii="Garamond" w:hAnsi="Garamond"/>
        </w:rPr>
        <w:t>encuestas</w:t>
      </w:r>
      <w:r w:rsidRPr="003005B9">
        <w:rPr>
          <w:rFonts w:ascii="Garamond" w:hAnsi="Garamond"/>
        </w:rPr>
        <w:t xml:space="preserve"> </w:t>
      </w:r>
      <w:r w:rsidR="009A07B7" w:rsidRPr="003005B9">
        <w:rPr>
          <w:rFonts w:ascii="Garamond" w:hAnsi="Garamond"/>
        </w:rPr>
        <w:t>económicas</w:t>
      </w:r>
      <w:r w:rsidR="00EE2AB1">
        <w:rPr>
          <w:rFonts w:ascii="Garamond" w:hAnsi="Garamond"/>
        </w:rPr>
        <w:t xml:space="preserve"> nacionales</w:t>
      </w:r>
      <w:r w:rsidR="009A07B7" w:rsidRPr="003005B9">
        <w:rPr>
          <w:rFonts w:ascii="Garamond" w:hAnsi="Garamond"/>
        </w:rPr>
        <w:t xml:space="preserve"> </w:t>
      </w:r>
      <w:r w:rsidRPr="003005B9">
        <w:rPr>
          <w:rFonts w:ascii="Garamond" w:hAnsi="Garamond"/>
        </w:rPr>
        <w:t>para l</w:t>
      </w:r>
      <w:r w:rsidR="00DF6936" w:rsidRPr="003005B9">
        <w:rPr>
          <w:rFonts w:ascii="Garamond" w:hAnsi="Garamond"/>
        </w:rPr>
        <w:t>a</w:t>
      </w:r>
      <w:r w:rsidRPr="003005B9">
        <w:rPr>
          <w:rFonts w:ascii="Garamond" w:hAnsi="Garamond"/>
        </w:rPr>
        <w:t>s que se observa una disminución en las tasas de imputación en 2023</w:t>
      </w:r>
      <w:r w:rsidR="00AD24D2" w:rsidRPr="003005B9">
        <w:rPr>
          <w:rFonts w:ascii="Garamond" w:hAnsi="Garamond"/>
        </w:rPr>
        <w:t xml:space="preserve"> con respecto al año anterior</w:t>
      </w:r>
      <w:r w:rsidR="00AE7AA5" w:rsidRPr="003005B9">
        <w:rPr>
          <w:rFonts w:ascii="Garamond" w:hAnsi="Garamond"/>
        </w:rPr>
        <w:t>. A</w:t>
      </w:r>
      <w:r w:rsidRPr="003005B9">
        <w:rPr>
          <w:rFonts w:ascii="Garamond" w:hAnsi="Garamond"/>
        </w:rPr>
        <w:t>l comparar los resultados de la Serie 2018</w:t>
      </w:r>
      <w:r w:rsidR="008417E3" w:rsidRPr="003005B9">
        <w:rPr>
          <w:rFonts w:ascii="Garamond" w:hAnsi="Garamond"/>
        </w:rPr>
        <w:t>,</w:t>
      </w:r>
      <w:r w:rsidRPr="003005B9">
        <w:rPr>
          <w:rFonts w:ascii="Garamond" w:hAnsi="Garamond"/>
        </w:rPr>
        <w:t xml:space="preserve"> publicados durante 2023</w:t>
      </w:r>
      <w:r w:rsidR="008417E3" w:rsidRPr="003005B9">
        <w:rPr>
          <w:rFonts w:ascii="Garamond" w:hAnsi="Garamond"/>
        </w:rPr>
        <w:t>,</w:t>
      </w:r>
      <w:r w:rsidRPr="003005B9">
        <w:rPr>
          <w:rFonts w:ascii="Garamond" w:hAnsi="Garamond"/>
        </w:rPr>
        <w:t xml:space="preserve"> contra los resultados de la Serie 2013</w:t>
      </w:r>
      <w:r w:rsidR="00F14629" w:rsidRPr="003005B9">
        <w:rPr>
          <w:rFonts w:ascii="Garamond" w:hAnsi="Garamond"/>
        </w:rPr>
        <w:t>,</w:t>
      </w:r>
      <w:r w:rsidRPr="003005B9">
        <w:rPr>
          <w:rFonts w:ascii="Garamond" w:hAnsi="Garamond"/>
        </w:rPr>
        <w:t xml:space="preserve"> presentados en los años anteriores</w:t>
      </w:r>
      <w:r w:rsidR="00AE7AA5" w:rsidRPr="003005B9">
        <w:rPr>
          <w:rFonts w:ascii="Garamond" w:hAnsi="Garamond"/>
        </w:rPr>
        <w:t>,</w:t>
      </w:r>
      <w:r w:rsidRPr="003005B9">
        <w:rPr>
          <w:rFonts w:ascii="Garamond" w:hAnsi="Garamond"/>
        </w:rPr>
        <w:t xml:space="preserve"> se observa una mejoría en las tasas de imputación reportadas</w:t>
      </w:r>
      <w:r w:rsidR="004046D4" w:rsidRPr="003005B9">
        <w:rPr>
          <w:rFonts w:ascii="Garamond" w:hAnsi="Garamond"/>
        </w:rPr>
        <w:t>.</w:t>
      </w:r>
      <w:r w:rsidRPr="003005B9">
        <w:rPr>
          <w:rFonts w:ascii="Garamond" w:hAnsi="Garamond"/>
        </w:rPr>
        <w:t xml:space="preserve"> </w:t>
      </w:r>
      <w:r w:rsidR="00856D76" w:rsidRPr="003005B9">
        <w:rPr>
          <w:rFonts w:ascii="Garamond" w:hAnsi="Garamond"/>
        </w:rPr>
        <w:t>E</w:t>
      </w:r>
      <w:r w:rsidR="00CC2609" w:rsidRPr="003005B9">
        <w:rPr>
          <w:rFonts w:ascii="Garamond" w:hAnsi="Garamond"/>
        </w:rPr>
        <w:t>sto se debe</w:t>
      </w:r>
      <w:r w:rsidR="00856D76" w:rsidRPr="003005B9">
        <w:rPr>
          <w:rFonts w:ascii="Garamond" w:hAnsi="Garamond"/>
        </w:rPr>
        <w:t>,</w:t>
      </w:r>
      <w:r w:rsidR="00CC2609" w:rsidRPr="003005B9">
        <w:rPr>
          <w:rFonts w:ascii="Garamond" w:hAnsi="Garamond"/>
        </w:rPr>
        <w:t xml:space="preserve"> </w:t>
      </w:r>
      <w:r w:rsidR="00856D76" w:rsidRPr="003005B9">
        <w:rPr>
          <w:rFonts w:ascii="Garamond" w:hAnsi="Garamond"/>
        </w:rPr>
        <w:t xml:space="preserve">entre otras razones, </w:t>
      </w:r>
      <w:r w:rsidR="00CC2609" w:rsidRPr="003005B9">
        <w:rPr>
          <w:rFonts w:ascii="Garamond" w:hAnsi="Garamond"/>
        </w:rPr>
        <w:t xml:space="preserve">a </w:t>
      </w:r>
      <w:r w:rsidRPr="003005B9">
        <w:rPr>
          <w:rFonts w:ascii="Garamond" w:hAnsi="Garamond"/>
        </w:rPr>
        <w:t>la actualización del marco y diseño estadístico resultado del proceso del cambio de</w:t>
      </w:r>
      <w:r w:rsidR="00751E86" w:rsidRPr="003005B9">
        <w:rPr>
          <w:rFonts w:ascii="Garamond" w:hAnsi="Garamond"/>
        </w:rPr>
        <w:t xml:space="preserve"> serie</w:t>
      </w:r>
      <w:r w:rsidRPr="003005B9">
        <w:rPr>
          <w:rFonts w:ascii="Garamond" w:hAnsi="Garamond"/>
        </w:rPr>
        <w:t>.</w:t>
      </w:r>
    </w:p>
    <w:p w14:paraId="002EA23B" w14:textId="1B3D88CE" w:rsidR="00CC2609" w:rsidRPr="003005B9" w:rsidRDefault="00D85C45" w:rsidP="003F486F">
      <w:pPr>
        <w:spacing w:before="240" w:after="0"/>
        <w:jc w:val="center"/>
        <w:rPr>
          <w:rFonts w:ascii="Garamond" w:hAnsi="Garamond"/>
        </w:rPr>
      </w:pPr>
      <w:r w:rsidRPr="003005B9">
        <w:rPr>
          <w:rFonts w:ascii="Garamond" w:hAnsi="Garamond"/>
          <w:b/>
        </w:rPr>
        <w:t>Tabla 1</w:t>
      </w:r>
      <w:r w:rsidR="00861191">
        <w:rPr>
          <w:rFonts w:ascii="Garamond" w:hAnsi="Garamond"/>
          <w:b/>
        </w:rPr>
        <w:t>2</w:t>
      </w:r>
      <w:r w:rsidR="005C65AD" w:rsidRPr="003005B9">
        <w:rPr>
          <w:rFonts w:ascii="Garamond" w:hAnsi="Garamond"/>
          <w:b/>
        </w:rPr>
        <w:t xml:space="preserve">. </w:t>
      </w:r>
      <w:r w:rsidR="00E93A8F" w:rsidRPr="003005B9">
        <w:rPr>
          <w:rFonts w:ascii="Garamond" w:hAnsi="Garamond"/>
          <w:b/>
        </w:rPr>
        <w:t>Encuestas</w:t>
      </w:r>
      <w:r w:rsidR="00B14342" w:rsidRPr="003005B9">
        <w:rPr>
          <w:rFonts w:ascii="Garamond" w:hAnsi="Garamond"/>
          <w:b/>
        </w:rPr>
        <w:t xml:space="preserve"> </w:t>
      </w:r>
      <w:r w:rsidR="009A07B7" w:rsidRPr="003005B9">
        <w:rPr>
          <w:rFonts w:ascii="Garamond" w:hAnsi="Garamond"/>
          <w:b/>
        </w:rPr>
        <w:t>económicas</w:t>
      </w:r>
      <w:r w:rsidR="00DB3314">
        <w:rPr>
          <w:rFonts w:ascii="Garamond" w:hAnsi="Garamond"/>
          <w:b/>
        </w:rPr>
        <w:t xml:space="preserve"> nacionales</w:t>
      </w:r>
      <w:r w:rsidR="009A07B7" w:rsidRPr="003005B9">
        <w:rPr>
          <w:rFonts w:ascii="Garamond" w:hAnsi="Garamond"/>
          <w:b/>
        </w:rPr>
        <w:t xml:space="preserve"> </w:t>
      </w:r>
      <w:r w:rsidR="00A33B98">
        <w:rPr>
          <w:rFonts w:ascii="Garamond" w:hAnsi="Garamond"/>
          <w:b/>
        </w:rPr>
        <w:t>con</w:t>
      </w:r>
      <w:r w:rsidR="00B14342" w:rsidRPr="003005B9">
        <w:rPr>
          <w:rFonts w:ascii="Garamond" w:hAnsi="Garamond"/>
          <w:b/>
        </w:rPr>
        <w:t xml:space="preserve"> disminución en tasas de imputación </w:t>
      </w:r>
      <w:r w:rsidR="00BF3BDE">
        <w:rPr>
          <w:rFonts w:ascii="Garamond" w:hAnsi="Garamond"/>
          <w:b/>
        </w:rPr>
        <w:t xml:space="preserve">en </w:t>
      </w:r>
      <w:r w:rsidR="00B14342" w:rsidRPr="003005B9">
        <w:rPr>
          <w:rFonts w:ascii="Garamond" w:hAnsi="Garamond"/>
          <w:b/>
        </w:rPr>
        <w:t>2023</w:t>
      </w:r>
      <w:r w:rsidR="00E93A8F" w:rsidRPr="003005B9">
        <w:rPr>
          <w:rFonts w:ascii="Garamond" w:hAnsi="Garamond"/>
          <w:b/>
        </w:rPr>
        <w:t xml:space="preserve"> </w:t>
      </w:r>
      <w:r w:rsidR="0096262F">
        <w:rPr>
          <w:rFonts w:ascii="Garamond" w:hAnsi="Garamond"/>
          <w:b/>
        </w:rPr>
        <w:t>respecto a</w:t>
      </w:r>
      <w:r w:rsidR="00E93A8F" w:rsidRPr="003005B9">
        <w:rPr>
          <w:rFonts w:ascii="Garamond" w:hAnsi="Garamond"/>
          <w:b/>
        </w:rPr>
        <w:t xml:space="preserve"> 2022</w:t>
      </w:r>
    </w:p>
    <w:tbl>
      <w:tblPr>
        <w:tblW w:w="4897" w:type="pct"/>
        <w:jc w:val="center"/>
        <w:tblCellMar>
          <w:left w:w="70" w:type="dxa"/>
          <w:right w:w="70" w:type="dxa"/>
        </w:tblCellMar>
        <w:tblLook w:val="04A0" w:firstRow="1" w:lastRow="0" w:firstColumn="1" w:lastColumn="0" w:noHBand="0" w:noVBand="1"/>
      </w:tblPr>
      <w:tblGrid>
        <w:gridCol w:w="5432"/>
        <w:gridCol w:w="882"/>
        <w:gridCol w:w="882"/>
        <w:gridCol w:w="879"/>
        <w:gridCol w:w="883"/>
        <w:gridCol w:w="870"/>
        <w:gridCol w:w="972"/>
      </w:tblGrid>
      <w:tr w:rsidR="00A94475" w:rsidRPr="003005B9" w14:paraId="6A1E084B" w14:textId="77777777" w:rsidTr="00A65641">
        <w:trPr>
          <w:trHeight w:val="57"/>
          <w:jc w:val="center"/>
        </w:trPr>
        <w:tc>
          <w:tcPr>
            <w:tcW w:w="2544" w:type="pct"/>
            <w:vMerge w:val="restart"/>
            <w:tcBorders>
              <w:top w:val="single" w:sz="4" w:space="0" w:color="BFBFBF"/>
              <w:bottom w:val="single" w:sz="4" w:space="0" w:color="BFBFBF"/>
            </w:tcBorders>
            <w:shd w:val="clear" w:color="auto" w:fill="002060"/>
            <w:noWrap/>
            <w:vAlign w:val="center"/>
            <w:hideMark/>
          </w:tcPr>
          <w:p w14:paraId="6E42A535"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Proceso</w:t>
            </w:r>
          </w:p>
        </w:tc>
        <w:tc>
          <w:tcPr>
            <w:tcW w:w="2456" w:type="pct"/>
            <w:gridSpan w:val="6"/>
            <w:tcBorders>
              <w:top w:val="single" w:sz="4" w:space="0" w:color="BFBFBF"/>
              <w:left w:val="nil"/>
            </w:tcBorders>
            <w:shd w:val="clear" w:color="auto" w:fill="002060"/>
            <w:vAlign w:val="center"/>
            <w:hideMark/>
          </w:tcPr>
          <w:p w14:paraId="0DC8C443" w14:textId="2293FCD0"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Tasa de imputación (ponderada)</w:t>
            </w:r>
          </w:p>
        </w:tc>
      </w:tr>
      <w:tr w:rsidR="00A94475" w:rsidRPr="003005B9" w14:paraId="6A6F46D1" w14:textId="77777777" w:rsidTr="00A65641">
        <w:trPr>
          <w:trHeight w:val="57"/>
          <w:jc w:val="center"/>
        </w:trPr>
        <w:tc>
          <w:tcPr>
            <w:tcW w:w="2544" w:type="pct"/>
            <w:vMerge/>
            <w:tcBorders>
              <w:top w:val="single" w:sz="4" w:space="0" w:color="BFBFBF"/>
              <w:bottom w:val="single" w:sz="4" w:space="0" w:color="BFBFBF"/>
            </w:tcBorders>
            <w:vAlign w:val="center"/>
          </w:tcPr>
          <w:p w14:paraId="3B337055" w14:textId="77777777" w:rsidR="00E6686A" w:rsidRPr="00744DF1" w:rsidRDefault="00E6686A">
            <w:pPr>
              <w:spacing w:after="0"/>
              <w:rPr>
                <w:rFonts w:ascii="Garamond" w:eastAsia="Times New Roman" w:hAnsi="Garamond" w:cs="Calibri"/>
                <w:b/>
                <w:bCs/>
                <w:color w:val="FFFFFF"/>
                <w:sz w:val="20"/>
                <w:szCs w:val="20"/>
                <w:lang w:eastAsia="es-MX"/>
              </w:rPr>
            </w:pPr>
          </w:p>
        </w:tc>
        <w:tc>
          <w:tcPr>
            <w:tcW w:w="2010" w:type="pct"/>
            <w:gridSpan w:val="5"/>
            <w:tcBorders>
              <w:left w:val="nil"/>
            </w:tcBorders>
            <w:shd w:val="clear" w:color="auto" w:fill="002060"/>
            <w:vAlign w:val="center"/>
          </w:tcPr>
          <w:p w14:paraId="43599C07" w14:textId="3FB97016" w:rsidR="00E6686A" w:rsidRPr="00744DF1" w:rsidRDefault="00E6686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Serie 2013</w:t>
            </w:r>
          </w:p>
        </w:tc>
        <w:tc>
          <w:tcPr>
            <w:tcW w:w="446" w:type="pct"/>
            <w:tcBorders>
              <w:left w:val="nil"/>
              <w:right w:val="single" w:sz="4" w:space="0" w:color="BFBFBF" w:themeColor="background1" w:themeShade="BF"/>
            </w:tcBorders>
            <w:shd w:val="clear" w:color="auto" w:fill="002060"/>
            <w:noWrap/>
            <w:vAlign w:val="center"/>
          </w:tcPr>
          <w:p w14:paraId="5FC3826C" w14:textId="2769B93F" w:rsidR="00E6686A" w:rsidRPr="00744DF1" w:rsidRDefault="00E6686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Serie 2018</w:t>
            </w:r>
          </w:p>
        </w:tc>
      </w:tr>
      <w:tr w:rsidR="00A94475" w:rsidRPr="003005B9" w14:paraId="5C6E7C36" w14:textId="77777777" w:rsidTr="00A65641">
        <w:trPr>
          <w:trHeight w:val="57"/>
          <w:jc w:val="center"/>
        </w:trPr>
        <w:tc>
          <w:tcPr>
            <w:tcW w:w="2544" w:type="pct"/>
            <w:vMerge/>
            <w:tcBorders>
              <w:bottom w:val="single" w:sz="4" w:space="0" w:color="BFBFBF"/>
            </w:tcBorders>
            <w:vAlign w:val="center"/>
            <w:hideMark/>
          </w:tcPr>
          <w:p w14:paraId="1D3109CD" w14:textId="77777777" w:rsidR="00BC494A" w:rsidRPr="00744DF1" w:rsidRDefault="00BC494A">
            <w:pPr>
              <w:spacing w:after="0"/>
              <w:rPr>
                <w:rFonts w:ascii="Garamond" w:eastAsia="Times New Roman" w:hAnsi="Garamond" w:cs="Calibri"/>
                <w:b/>
                <w:bCs/>
                <w:color w:val="FFFFFF"/>
                <w:sz w:val="20"/>
                <w:szCs w:val="20"/>
                <w:lang w:eastAsia="es-MX"/>
              </w:rPr>
            </w:pPr>
          </w:p>
        </w:tc>
        <w:tc>
          <w:tcPr>
            <w:tcW w:w="403" w:type="pct"/>
            <w:tcBorders>
              <w:left w:val="nil"/>
              <w:bottom w:val="single" w:sz="4" w:space="0" w:color="BFBFBF"/>
            </w:tcBorders>
            <w:shd w:val="clear" w:color="auto" w:fill="002060"/>
            <w:vAlign w:val="center"/>
            <w:hideMark/>
          </w:tcPr>
          <w:p w14:paraId="7D51CE2B"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2018</w:t>
            </w:r>
          </w:p>
        </w:tc>
        <w:tc>
          <w:tcPr>
            <w:tcW w:w="403" w:type="pct"/>
            <w:tcBorders>
              <w:left w:val="nil"/>
              <w:bottom w:val="single" w:sz="4" w:space="0" w:color="BFBFBF"/>
            </w:tcBorders>
            <w:shd w:val="clear" w:color="auto" w:fill="002060"/>
            <w:vAlign w:val="center"/>
            <w:hideMark/>
          </w:tcPr>
          <w:p w14:paraId="465F3983"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2019</w:t>
            </w:r>
          </w:p>
        </w:tc>
        <w:tc>
          <w:tcPr>
            <w:tcW w:w="402" w:type="pct"/>
            <w:tcBorders>
              <w:left w:val="nil"/>
              <w:bottom w:val="single" w:sz="4" w:space="0" w:color="BFBFBF"/>
            </w:tcBorders>
            <w:shd w:val="clear" w:color="auto" w:fill="002060"/>
            <w:vAlign w:val="center"/>
            <w:hideMark/>
          </w:tcPr>
          <w:p w14:paraId="4E2E3406"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2020</w:t>
            </w:r>
          </w:p>
        </w:tc>
        <w:tc>
          <w:tcPr>
            <w:tcW w:w="404" w:type="pct"/>
            <w:tcBorders>
              <w:left w:val="nil"/>
              <w:bottom w:val="single" w:sz="4" w:space="0" w:color="BFBFBF"/>
            </w:tcBorders>
            <w:shd w:val="clear" w:color="auto" w:fill="002060"/>
            <w:noWrap/>
            <w:vAlign w:val="center"/>
            <w:hideMark/>
          </w:tcPr>
          <w:p w14:paraId="5D8EB76C"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2021</w:t>
            </w:r>
          </w:p>
        </w:tc>
        <w:tc>
          <w:tcPr>
            <w:tcW w:w="398" w:type="pct"/>
            <w:tcBorders>
              <w:left w:val="nil"/>
              <w:bottom w:val="single" w:sz="4" w:space="0" w:color="BFBFBF"/>
            </w:tcBorders>
            <w:shd w:val="clear" w:color="auto" w:fill="002060"/>
            <w:noWrap/>
            <w:vAlign w:val="center"/>
            <w:hideMark/>
          </w:tcPr>
          <w:p w14:paraId="471FA3FE"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2022</w:t>
            </w:r>
          </w:p>
        </w:tc>
        <w:tc>
          <w:tcPr>
            <w:tcW w:w="446" w:type="pct"/>
            <w:tcBorders>
              <w:left w:val="nil"/>
              <w:bottom w:val="single" w:sz="4" w:space="0" w:color="BFBFBF"/>
              <w:right w:val="single" w:sz="4" w:space="0" w:color="BFBFBF" w:themeColor="background1" w:themeShade="BF"/>
            </w:tcBorders>
            <w:shd w:val="clear" w:color="auto" w:fill="002060"/>
            <w:noWrap/>
            <w:vAlign w:val="center"/>
            <w:hideMark/>
          </w:tcPr>
          <w:p w14:paraId="23E3277C" w14:textId="77777777" w:rsidR="00BC494A" w:rsidRPr="00744DF1" w:rsidRDefault="00BC494A">
            <w:pPr>
              <w:spacing w:after="0" w:line="240" w:lineRule="auto"/>
              <w:jc w:val="center"/>
              <w:rPr>
                <w:rFonts w:ascii="Garamond" w:eastAsia="Times New Roman" w:hAnsi="Garamond" w:cs="Calibri"/>
                <w:b/>
                <w:bCs/>
                <w:color w:val="FFFFFF"/>
                <w:sz w:val="20"/>
                <w:szCs w:val="20"/>
                <w:lang w:eastAsia="es-MX"/>
              </w:rPr>
            </w:pPr>
            <w:r w:rsidRPr="00744DF1">
              <w:rPr>
                <w:rFonts w:ascii="Garamond" w:eastAsia="Times New Roman" w:hAnsi="Garamond" w:cs="Calibri"/>
                <w:b/>
                <w:bCs/>
                <w:color w:val="FFFFFF"/>
                <w:sz w:val="20"/>
                <w:szCs w:val="20"/>
                <w:lang w:eastAsia="es-MX"/>
              </w:rPr>
              <w:t>2023</w:t>
            </w:r>
          </w:p>
        </w:tc>
      </w:tr>
      <w:tr w:rsidR="00A94475" w:rsidRPr="003005B9" w14:paraId="31F4EC74"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15A01E5A" w14:textId="76E9A123"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Anual de Comercio </w:t>
            </w:r>
          </w:p>
        </w:tc>
        <w:tc>
          <w:tcPr>
            <w:tcW w:w="403" w:type="pct"/>
            <w:tcBorders>
              <w:top w:val="single" w:sz="4" w:space="0" w:color="BFBFBF"/>
              <w:left w:val="nil"/>
              <w:bottom w:val="single" w:sz="4" w:space="0" w:color="BFBFBF"/>
            </w:tcBorders>
            <w:shd w:val="clear" w:color="auto" w:fill="auto"/>
            <w:noWrap/>
            <w:vAlign w:val="center"/>
            <w:hideMark/>
          </w:tcPr>
          <w:p w14:paraId="3AB92A67"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6%</w:t>
            </w:r>
          </w:p>
        </w:tc>
        <w:tc>
          <w:tcPr>
            <w:tcW w:w="403" w:type="pct"/>
            <w:tcBorders>
              <w:top w:val="single" w:sz="4" w:space="0" w:color="BFBFBF"/>
              <w:left w:val="nil"/>
              <w:bottom w:val="single" w:sz="4" w:space="0" w:color="BFBFBF"/>
            </w:tcBorders>
            <w:shd w:val="clear" w:color="auto" w:fill="auto"/>
            <w:noWrap/>
            <w:vAlign w:val="center"/>
            <w:hideMark/>
          </w:tcPr>
          <w:p w14:paraId="6C9C84BC"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11%</w:t>
            </w:r>
          </w:p>
        </w:tc>
        <w:tc>
          <w:tcPr>
            <w:tcW w:w="402" w:type="pct"/>
            <w:tcBorders>
              <w:top w:val="single" w:sz="4" w:space="0" w:color="BFBFBF"/>
              <w:left w:val="nil"/>
              <w:bottom w:val="single" w:sz="4" w:space="0" w:color="BFBFBF"/>
            </w:tcBorders>
            <w:shd w:val="clear" w:color="auto" w:fill="auto"/>
            <w:noWrap/>
            <w:vAlign w:val="center"/>
            <w:hideMark/>
          </w:tcPr>
          <w:p w14:paraId="4B9D1FE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19%</w:t>
            </w:r>
          </w:p>
        </w:tc>
        <w:tc>
          <w:tcPr>
            <w:tcW w:w="404" w:type="pct"/>
            <w:tcBorders>
              <w:top w:val="single" w:sz="4" w:space="0" w:color="BFBFBF"/>
              <w:left w:val="nil"/>
              <w:bottom w:val="single" w:sz="4" w:space="0" w:color="BFBFBF"/>
            </w:tcBorders>
            <w:shd w:val="clear" w:color="auto" w:fill="auto"/>
            <w:noWrap/>
            <w:vAlign w:val="center"/>
            <w:hideMark/>
          </w:tcPr>
          <w:p w14:paraId="65DDA148"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8%</w:t>
            </w:r>
          </w:p>
        </w:tc>
        <w:tc>
          <w:tcPr>
            <w:tcW w:w="398" w:type="pct"/>
            <w:tcBorders>
              <w:top w:val="single" w:sz="4" w:space="0" w:color="BFBFBF"/>
              <w:left w:val="nil"/>
              <w:bottom w:val="single" w:sz="4" w:space="0" w:color="BFBFBF"/>
            </w:tcBorders>
            <w:shd w:val="clear" w:color="auto" w:fill="auto"/>
            <w:noWrap/>
            <w:vAlign w:val="center"/>
            <w:hideMark/>
          </w:tcPr>
          <w:p w14:paraId="02812220"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15%</w:t>
            </w:r>
          </w:p>
        </w:tc>
        <w:tc>
          <w:tcPr>
            <w:tcW w:w="446" w:type="pct"/>
            <w:tcBorders>
              <w:top w:val="nil"/>
              <w:left w:val="nil"/>
              <w:bottom w:val="single" w:sz="4" w:space="0" w:color="BFBFBF"/>
            </w:tcBorders>
            <w:shd w:val="clear" w:color="auto" w:fill="auto"/>
            <w:noWrap/>
            <w:vAlign w:val="center"/>
            <w:hideMark/>
          </w:tcPr>
          <w:p w14:paraId="2F06C65F"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0%</w:t>
            </w:r>
          </w:p>
        </w:tc>
      </w:tr>
      <w:tr w:rsidR="00A94475" w:rsidRPr="003005B9" w14:paraId="262276EA"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1C1FE2A1" w14:textId="7BD7A104"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Mensual de la Industria Manufacturera </w:t>
            </w:r>
          </w:p>
        </w:tc>
        <w:tc>
          <w:tcPr>
            <w:tcW w:w="403" w:type="pct"/>
            <w:tcBorders>
              <w:top w:val="single" w:sz="4" w:space="0" w:color="BFBFBF"/>
              <w:left w:val="nil"/>
              <w:bottom w:val="single" w:sz="4" w:space="0" w:color="BFBFBF"/>
            </w:tcBorders>
            <w:shd w:val="clear" w:color="auto" w:fill="auto"/>
            <w:noWrap/>
            <w:vAlign w:val="center"/>
            <w:hideMark/>
          </w:tcPr>
          <w:p w14:paraId="0E45EEB7"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24%</w:t>
            </w:r>
          </w:p>
        </w:tc>
        <w:tc>
          <w:tcPr>
            <w:tcW w:w="403" w:type="pct"/>
            <w:tcBorders>
              <w:top w:val="single" w:sz="4" w:space="0" w:color="BFBFBF"/>
              <w:left w:val="nil"/>
              <w:bottom w:val="single" w:sz="4" w:space="0" w:color="BFBFBF"/>
            </w:tcBorders>
            <w:shd w:val="clear" w:color="auto" w:fill="auto"/>
            <w:noWrap/>
            <w:vAlign w:val="center"/>
            <w:hideMark/>
          </w:tcPr>
          <w:p w14:paraId="2BE3AD1C"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11%</w:t>
            </w:r>
          </w:p>
        </w:tc>
        <w:tc>
          <w:tcPr>
            <w:tcW w:w="402" w:type="pct"/>
            <w:tcBorders>
              <w:top w:val="single" w:sz="4" w:space="0" w:color="BFBFBF"/>
              <w:left w:val="nil"/>
              <w:bottom w:val="single" w:sz="4" w:space="0" w:color="BFBFBF"/>
            </w:tcBorders>
            <w:shd w:val="clear" w:color="auto" w:fill="auto"/>
            <w:noWrap/>
            <w:vAlign w:val="center"/>
            <w:hideMark/>
          </w:tcPr>
          <w:p w14:paraId="5874E1B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28%</w:t>
            </w:r>
          </w:p>
        </w:tc>
        <w:tc>
          <w:tcPr>
            <w:tcW w:w="404" w:type="pct"/>
            <w:tcBorders>
              <w:top w:val="single" w:sz="4" w:space="0" w:color="BFBFBF"/>
              <w:left w:val="nil"/>
              <w:bottom w:val="single" w:sz="4" w:space="0" w:color="BFBFBF"/>
            </w:tcBorders>
            <w:shd w:val="clear" w:color="auto" w:fill="auto"/>
            <w:noWrap/>
            <w:vAlign w:val="center"/>
            <w:hideMark/>
          </w:tcPr>
          <w:p w14:paraId="1703FB74"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25%</w:t>
            </w:r>
          </w:p>
        </w:tc>
        <w:tc>
          <w:tcPr>
            <w:tcW w:w="398" w:type="pct"/>
            <w:tcBorders>
              <w:top w:val="single" w:sz="4" w:space="0" w:color="BFBFBF"/>
              <w:left w:val="nil"/>
              <w:bottom w:val="single" w:sz="4" w:space="0" w:color="BFBFBF"/>
            </w:tcBorders>
            <w:shd w:val="clear" w:color="auto" w:fill="auto"/>
            <w:noWrap/>
            <w:vAlign w:val="center"/>
            <w:hideMark/>
          </w:tcPr>
          <w:p w14:paraId="0ED2600B"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9%</w:t>
            </w:r>
          </w:p>
        </w:tc>
        <w:tc>
          <w:tcPr>
            <w:tcW w:w="446" w:type="pct"/>
            <w:tcBorders>
              <w:top w:val="nil"/>
              <w:left w:val="nil"/>
              <w:bottom w:val="single" w:sz="4" w:space="0" w:color="BFBFBF"/>
            </w:tcBorders>
            <w:shd w:val="clear" w:color="auto" w:fill="auto"/>
            <w:noWrap/>
            <w:vAlign w:val="center"/>
            <w:hideMark/>
          </w:tcPr>
          <w:p w14:paraId="37BB43B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6%</w:t>
            </w:r>
          </w:p>
        </w:tc>
      </w:tr>
      <w:tr w:rsidR="00A94475" w:rsidRPr="003005B9" w14:paraId="1905A4C1"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1338ACE7" w14:textId="1A490679"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Anual de Servicios Privados no Financieros </w:t>
            </w:r>
          </w:p>
        </w:tc>
        <w:tc>
          <w:tcPr>
            <w:tcW w:w="403" w:type="pct"/>
            <w:tcBorders>
              <w:top w:val="single" w:sz="4" w:space="0" w:color="BFBFBF"/>
              <w:left w:val="nil"/>
              <w:bottom w:val="single" w:sz="4" w:space="0" w:color="BFBFBF"/>
            </w:tcBorders>
            <w:shd w:val="clear" w:color="auto" w:fill="auto"/>
            <w:noWrap/>
            <w:vAlign w:val="center"/>
            <w:hideMark/>
          </w:tcPr>
          <w:p w14:paraId="004DCEBF"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w:t>
            </w:r>
          </w:p>
        </w:tc>
        <w:tc>
          <w:tcPr>
            <w:tcW w:w="403" w:type="pct"/>
            <w:tcBorders>
              <w:top w:val="single" w:sz="4" w:space="0" w:color="BFBFBF"/>
              <w:left w:val="nil"/>
              <w:bottom w:val="single" w:sz="4" w:space="0" w:color="BFBFBF"/>
            </w:tcBorders>
            <w:shd w:val="clear" w:color="auto" w:fill="auto"/>
            <w:noWrap/>
            <w:vAlign w:val="center"/>
            <w:hideMark/>
          </w:tcPr>
          <w:p w14:paraId="44012B09"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13%</w:t>
            </w:r>
          </w:p>
        </w:tc>
        <w:tc>
          <w:tcPr>
            <w:tcW w:w="402" w:type="pct"/>
            <w:tcBorders>
              <w:top w:val="single" w:sz="4" w:space="0" w:color="BFBFBF"/>
              <w:left w:val="nil"/>
              <w:bottom w:val="single" w:sz="4" w:space="0" w:color="BFBFBF"/>
            </w:tcBorders>
            <w:shd w:val="clear" w:color="auto" w:fill="auto"/>
            <w:noWrap/>
            <w:vAlign w:val="center"/>
            <w:hideMark/>
          </w:tcPr>
          <w:p w14:paraId="7BDCD434"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33%</w:t>
            </w:r>
          </w:p>
        </w:tc>
        <w:tc>
          <w:tcPr>
            <w:tcW w:w="404" w:type="pct"/>
            <w:tcBorders>
              <w:top w:val="single" w:sz="4" w:space="0" w:color="BFBFBF"/>
              <w:left w:val="nil"/>
              <w:bottom w:val="single" w:sz="4" w:space="0" w:color="BFBFBF"/>
            </w:tcBorders>
            <w:shd w:val="clear" w:color="auto" w:fill="auto"/>
            <w:noWrap/>
            <w:vAlign w:val="center"/>
            <w:hideMark/>
          </w:tcPr>
          <w:p w14:paraId="61C5D89B"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12%</w:t>
            </w:r>
          </w:p>
        </w:tc>
        <w:tc>
          <w:tcPr>
            <w:tcW w:w="398" w:type="pct"/>
            <w:tcBorders>
              <w:top w:val="single" w:sz="4" w:space="0" w:color="BFBFBF"/>
              <w:left w:val="nil"/>
              <w:bottom w:val="single" w:sz="4" w:space="0" w:color="BFBFBF"/>
            </w:tcBorders>
            <w:shd w:val="clear" w:color="auto" w:fill="auto"/>
            <w:noWrap/>
            <w:vAlign w:val="center"/>
            <w:hideMark/>
          </w:tcPr>
          <w:p w14:paraId="7E13AD1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11%</w:t>
            </w:r>
          </w:p>
        </w:tc>
        <w:tc>
          <w:tcPr>
            <w:tcW w:w="446" w:type="pct"/>
            <w:tcBorders>
              <w:top w:val="nil"/>
              <w:left w:val="nil"/>
              <w:bottom w:val="single" w:sz="4" w:space="0" w:color="BFBFBF"/>
            </w:tcBorders>
            <w:shd w:val="clear" w:color="auto" w:fill="auto"/>
            <w:noWrap/>
            <w:vAlign w:val="center"/>
            <w:hideMark/>
          </w:tcPr>
          <w:p w14:paraId="53E52693"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w:t>
            </w:r>
          </w:p>
        </w:tc>
      </w:tr>
      <w:tr w:rsidR="00A94475" w:rsidRPr="003005B9" w14:paraId="123D7E98"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088E414E" w14:textId="7E8A18B5"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Anual de Transportes </w:t>
            </w:r>
          </w:p>
        </w:tc>
        <w:tc>
          <w:tcPr>
            <w:tcW w:w="403" w:type="pct"/>
            <w:tcBorders>
              <w:top w:val="single" w:sz="4" w:space="0" w:color="BFBFBF"/>
              <w:left w:val="nil"/>
              <w:bottom w:val="single" w:sz="4" w:space="0" w:color="BFBFBF"/>
            </w:tcBorders>
            <w:shd w:val="clear" w:color="auto" w:fill="auto"/>
            <w:noWrap/>
            <w:vAlign w:val="center"/>
            <w:hideMark/>
          </w:tcPr>
          <w:p w14:paraId="546C01DC"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0%</w:t>
            </w:r>
          </w:p>
        </w:tc>
        <w:tc>
          <w:tcPr>
            <w:tcW w:w="403" w:type="pct"/>
            <w:tcBorders>
              <w:top w:val="single" w:sz="4" w:space="0" w:color="BFBFBF"/>
              <w:left w:val="nil"/>
              <w:bottom w:val="single" w:sz="4" w:space="0" w:color="BFBFBF"/>
            </w:tcBorders>
            <w:shd w:val="clear" w:color="auto" w:fill="auto"/>
            <w:noWrap/>
            <w:vAlign w:val="center"/>
            <w:hideMark/>
          </w:tcPr>
          <w:p w14:paraId="4E903B6C"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30%</w:t>
            </w:r>
          </w:p>
        </w:tc>
        <w:tc>
          <w:tcPr>
            <w:tcW w:w="402" w:type="pct"/>
            <w:tcBorders>
              <w:top w:val="single" w:sz="4" w:space="0" w:color="BFBFBF"/>
              <w:left w:val="nil"/>
              <w:bottom w:val="single" w:sz="4" w:space="0" w:color="BFBFBF"/>
            </w:tcBorders>
            <w:shd w:val="clear" w:color="auto" w:fill="auto"/>
            <w:noWrap/>
            <w:vAlign w:val="center"/>
            <w:hideMark/>
          </w:tcPr>
          <w:p w14:paraId="0E448AA9"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37%</w:t>
            </w:r>
          </w:p>
        </w:tc>
        <w:tc>
          <w:tcPr>
            <w:tcW w:w="404" w:type="pct"/>
            <w:tcBorders>
              <w:top w:val="single" w:sz="4" w:space="0" w:color="BFBFBF"/>
              <w:left w:val="nil"/>
              <w:bottom w:val="single" w:sz="4" w:space="0" w:color="BFBFBF"/>
            </w:tcBorders>
            <w:shd w:val="clear" w:color="auto" w:fill="auto"/>
            <w:noWrap/>
            <w:vAlign w:val="center"/>
            <w:hideMark/>
          </w:tcPr>
          <w:p w14:paraId="76882280"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30%</w:t>
            </w:r>
          </w:p>
        </w:tc>
        <w:tc>
          <w:tcPr>
            <w:tcW w:w="398" w:type="pct"/>
            <w:tcBorders>
              <w:top w:val="single" w:sz="4" w:space="0" w:color="BFBFBF"/>
              <w:left w:val="nil"/>
              <w:bottom w:val="single" w:sz="4" w:space="0" w:color="BFBFBF"/>
            </w:tcBorders>
            <w:shd w:val="clear" w:color="auto" w:fill="auto"/>
            <w:noWrap/>
            <w:vAlign w:val="center"/>
            <w:hideMark/>
          </w:tcPr>
          <w:p w14:paraId="5FA06FA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31%</w:t>
            </w:r>
          </w:p>
        </w:tc>
        <w:tc>
          <w:tcPr>
            <w:tcW w:w="446" w:type="pct"/>
            <w:tcBorders>
              <w:top w:val="nil"/>
              <w:left w:val="nil"/>
              <w:bottom w:val="single" w:sz="4" w:space="0" w:color="BFBFBF"/>
            </w:tcBorders>
            <w:shd w:val="clear" w:color="auto" w:fill="auto"/>
            <w:noWrap/>
            <w:vAlign w:val="center"/>
            <w:hideMark/>
          </w:tcPr>
          <w:p w14:paraId="28E91E55"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12%</w:t>
            </w:r>
          </w:p>
        </w:tc>
      </w:tr>
      <w:tr w:rsidR="00A94475" w:rsidRPr="003005B9" w14:paraId="56E90CA9"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5C2E4D48" w14:textId="329BEA3D"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de Comercio Internacional de Servicios </w:t>
            </w:r>
          </w:p>
        </w:tc>
        <w:tc>
          <w:tcPr>
            <w:tcW w:w="403" w:type="pct"/>
            <w:tcBorders>
              <w:top w:val="single" w:sz="4" w:space="0" w:color="BFBFBF"/>
              <w:left w:val="nil"/>
              <w:bottom w:val="single" w:sz="4" w:space="0" w:color="BFBFBF"/>
            </w:tcBorders>
            <w:shd w:val="clear" w:color="auto" w:fill="auto"/>
            <w:noWrap/>
            <w:vAlign w:val="center"/>
            <w:hideMark/>
          </w:tcPr>
          <w:p w14:paraId="7757A89B"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w:t>
            </w:r>
          </w:p>
        </w:tc>
        <w:tc>
          <w:tcPr>
            <w:tcW w:w="403" w:type="pct"/>
            <w:tcBorders>
              <w:top w:val="single" w:sz="4" w:space="0" w:color="BFBFBF"/>
              <w:left w:val="nil"/>
              <w:bottom w:val="single" w:sz="4" w:space="0" w:color="BFBFBF"/>
            </w:tcBorders>
            <w:shd w:val="clear" w:color="auto" w:fill="auto"/>
            <w:noWrap/>
            <w:vAlign w:val="center"/>
            <w:hideMark/>
          </w:tcPr>
          <w:p w14:paraId="78EC4043"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w:t>
            </w:r>
          </w:p>
        </w:tc>
        <w:tc>
          <w:tcPr>
            <w:tcW w:w="402" w:type="pct"/>
            <w:tcBorders>
              <w:top w:val="single" w:sz="4" w:space="0" w:color="BFBFBF"/>
              <w:left w:val="nil"/>
              <w:bottom w:val="single" w:sz="4" w:space="0" w:color="BFBFBF"/>
            </w:tcBorders>
            <w:shd w:val="clear" w:color="auto" w:fill="auto"/>
            <w:noWrap/>
            <w:vAlign w:val="center"/>
            <w:hideMark/>
          </w:tcPr>
          <w:p w14:paraId="1A6A3138"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w:t>
            </w:r>
          </w:p>
        </w:tc>
        <w:tc>
          <w:tcPr>
            <w:tcW w:w="404" w:type="pct"/>
            <w:tcBorders>
              <w:top w:val="single" w:sz="4" w:space="0" w:color="BFBFBF"/>
              <w:left w:val="nil"/>
              <w:bottom w:val="single" w:sz="4" w:space="0" w:color="BFBFBF"/>
            </w:tcBorders>
            <w:shd w:val="clear" w:color="auto" w:fill="auto"/>
            <w:noWrap/>
            <w:vAlign w:val="center"/>
            <w:hideMark/>
          </w:tcPr>
          <w:p w14:paraId="76EEF3F4"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w:t>
            </w:r>
          </w:p>
        </w:tc>
        <w:tc>
          <w:tcPr>
            <w:tcW w:w="398" w:type="pct"/>
            <w:tcBorders>
              <w:top w:val="single" w:sz="4" w:space="0" w:color="BFBFBF"/>
              <w:left w:val="nil"/>
              <w:bottom w:val="single" w:sz="4" w:space="0" w:color="BFBFBF"/>
            </w:tcBorders>
            <w:shd w:val="clear" w:color="auto" w:fill="auto"/>
            <w:noWrap/>
            <w:vAlign w:val="center"/>
            <w:hideMark/>
          </w:tcPr>
          <w:p w14:paraId="4811C3D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w:t>
            </w:r>
          </w:p>
        </w:tc>
        <w:tc>
          <w:tcPr>
            <w:tcW w:w="446" w:type="pct"/>
            <w:tcBorders>
              <w:top w:val="nil"/>
              <w:left w:val="nil"/>
              <w:bottom w:val="single" w:sz="4" w:space="0" w:color="BFBFBF"/>
            </w:tcBorders>
            <w:shd w:val="clear" w:color="auto" w:fill="auto"/>
            <w:noWrap/>
            <w:vAlign w:val="center"/>
            <w:hideMark/>
          </w:tcPr>
          <w:p w14:paraId="6C92CDAB"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0%</w:t>
            </w:r>
          </w:p>
        </w:tc>
      </w:tr>
      <w:tr w:rsidR="00A94475" w:rsidRPr="003005B9" w14:paraId="1FA85FA4"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45978CD5" w14:textId="4D8C04C2"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Encuesta Mensual sobre Empresas Comerciales</w:t>
            </w:r>
          </w:p>
        </w:tc>
        <w:tc>
          <w:tcPr>
            <w:tcW w:w="403" w:type="pct"/>
            <w:tcBorders>
              <w:top w:val="single" w:sz="4" w:space="0" w:color="BFBFBF"/>
              <w:left w:val="nil"/>
              <w:bottom w:val="single" w:sz="4" w:space="0" w:color="BFBFBF"/>
            </w:tcBorders>
            <w:shd w:val="clear" w:color="auto" w:fill="auto"/>
            <w:noWrap/>
            <w:vAlign w:val="center"/>
            <w:hideMark/>
          </w:tcPr>
          <w:p w14:paraId="62028E42"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6%</w:t>
            </w:r>
          </w:p>
        </w:tc>
        <w:tc>
          <w:tcPr>
            <w:tcW w:w="403" w:type="pct"/>
            <w:tcBorders>
              <w:top w:val="single" w:sz="4" w:space="0" w:color="BFBFBF"/>
              <w:left w:val="nil"/>
              <w:bottom w:val="single" w:sz="4" w:space="0" w:color="BFBFBF"/>
            </w:tcBorders>
            <w:shd w:val="clear" w:color="auto" w:fill="auto"/>
            <w:noWrap/>
            <w:vAlign w:val="center"/>
            <w:hideMark/>
          </w:tcPr>
          <w:p w14:paraId="171873B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9%</w:t>
            </w:r>
          </w:p>
        </w:tc>
        <w:tc>
          <w:tcPr>
            <w:tcW w:w="402" w:type="pct"/>
            <w:tcBorders>
              <w:top w:val="single" w:sz="4" w:space="0" w:color="BFBFBF"/>
              <w:left w:val="nil"/>
              <w:bottom w:val="single" w:sz="4" w:space="0" w:color="BFBFBF"/>
            </w:tcBorders>
            <w:shd w:val="clear" w:color="auto" w:fill="auto"/>
            <w:noWrap/>
            <w:vAlign w:val="center"/>
            <w:hideMark/>
          </w:tcPr>
          <w:p w14:paraId="201CD382"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8%</w:t>
            </w:r>
          </w:p>
        </w:tc>
        <w:tc>
          <w:tcPr>
            <w:tcW w:w="404" w:type="pct"/>
            <w:tcBorders>
              <w:top w:val="single" w:sz="4" w:space="0" w:color="BFBFBF"/>
              <w:left w:val="nil"/>
              <w:bottom w:val="single" w:sz="4" w:space="0" w:color="BFBFBF"/>
            </w:tcBorders>
            <w:shd w:val="clear" w:color="auto" w:fill="auto"/>
            <w:noWrap/>
            <w:vAlign w:val="center"/>
            <w:hideMark/>
          </w:tcPr>
          <w:p w14:paraId="0CEADE6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8%</w:t>
            </w:r>
          </w:p>
        </w:tc>
        <w:tc>
          <w:tcPr>
            <w:tcW w:w="398" w:type="pct"/>
            <w:tcBorders>
              <w:top w:val="single" w:sz="4" w:space="0" w:color="BFBFBF"/>
              <w:left w:val="nil"/>
              <w:bottom w:val="single" w:sz="4" w:space="0" w:color="BFBFBF"/>
            </w:tcBorders>
            <w:shd w:val="clear" w:color="auto" w:fill="auto"/>
            <w:noWrap/>
            <w:vAlign w:val="center"/>
            <w:hideMark/>
          </w:tcPr>
          <w:p w14:paraId="29629D10"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8%</w:t>
            </w:r>
          </w:p>
        </w:tc>
        <w:tc>
          <w:tcPr>
            <w:tcW w:w="446" w:type="pct"/>
            <w:tcBorders>
              <w:top w:val="single" w:sz="4" w:space="0" w:color="D0CECE"/>
              <w:left w:val="nil"/>
              <w:bottom w:val="single" w:sz="4" w:space="0" w:color="D0CECE"/>
            </w:tcBorders>
            <w:shd w:val="clear" w:color="auto" w:fill="auto"/>
            <w:noWrap/>
            <w:vAlign w:val="center"/>
            <w:hideMark/>
          </w:tcPr>
          <w:p w14:paraId="47303685"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0%</w:t>
            </w:r>
          </w:p>
        </w:tc>
      </w:tr>
      <w:tr w:rsidR="00A94475" w:rsidRPr="003005B9" w14:paraId="017AAB2C"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1969C975" w14:textId="4B3E761C"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Mensual de la Industria Manufacturera </w:t>
            </w:r>
          </w:p>
        </w:tc>
        <w:tc>
          <w:tcPr>
            <w:tcW w:w="403" w:type="pct"/>
            <w:tcBorders>
              <w:top w:val="single" w:sz="4" w:space="0" w:color="BFBFBF"/>
              <w:left w:val="nil"/>
              <w:bottom w:val="single" w:sz="4" w:space="0" w:color="BFBFBF"/>
            </w:tcBorders>
            <w:shd w:val="clear" w:color="auto" w:fill="auto"/>
            <w:noWrap/>
            <w:vAlign w:val="center"/>
            <w:hideMark/>
          </w:tcPr>
          <w:p w14:paraId="0A624DCC"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6%</w:t>
            </w:r>
          </w:p>
        </w:tc>
        <w:tc>
          <w:tcPr>
            <w:tcW w:w="403" w:type="pct"/>
            <w:tcBorders>
              <w:top w:val="single" w:sz="4" w:space="0" w:color="BFBFBF"/>
              <w:left w:val="nil"/>
              <w:bottom w:val="single" w:sz="4" w:space="0" w:color="BFBFBF"/>
            </w:tcBorders>
            <w:shd w:val="clear" w:color="auto" w:fill="auto"/>
            <w:noWrap/>
            <w:vAlign w:val="center"/>
            <w:hideMark/>
          </w:tcPr>
          <w:p w14:paraId="784F38B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7%</w:t>
            </w:r>
          </w:p>
        </w:tc>
        <w:tc>
          <w:tcPr>
            <w:tcW w:w="402" w:type="pct"/>
            <w:tcBorders>
              <w:top w:val="single" w:sz="4" w:space="0" w:color="BFBFBF"/>
              <w:left w:val="nil"/>
              <w:bottom w:val="single" w:sz="4" w:space="0" w:color="BFBFBF"/>
            </w:tcBorders>
            <w:shd w:val="clear" w:color="auto" w:fill="auto"/>
            <w:noWrap/>
            <w:vAlign w:val="center"/>
            <w:hideMark/>
          </w:tcPr>
          <w:p w14:paraId="12409C41"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11%</w:t>
            </w:r>
          </w:p>
        </w:tc>
        <w:tc>
          <w:tcPr>
            <w:tcW w:w="404" w:type="pct"/>
            <w:tcBorders>
              <w:top w:val="single" w:sz="4" w:space="0" w:color="BFBFBF"/>
              <w:left w:val="nil"/>
              <w:bottom w:val="single" w:sz="4" w:space="0" w:color="BFBFBF"/>
            </w:tcBorders>
            <w:shd w:val="clear" w:color="auto" w:fill="auto"/>
            <w:noWrap/>
            <w:vAlign w:val="center"/>
            <w:hideMark/>
          </w:tcPr>
          <w:p w14:paraId="53B72B2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10%</w:t>
            </w:r>
          </w:p>
        </w:tc>
        <w:tc>
          <w:tcPr>
            <w:tcW w:w="398" w:type="pct"/>
            <w:tcBorders>
              <w:top w:val="single" w:sz="4" w:space="0" w:color="BFBFBF"/>
              <w:left w:val="nil"/>
              <w:bottom w:val="single" w:sz="4" w:space="0" w:color="BFBFBF"/>
            </w:tcBorders>
            <w:shd w:val="clear" w:color="auto" w:fill="auto"/>
            <w:noWrap/>
            <w:vAlign w:val="center"/>
            <w:hideMark/>
          </w:tcPr>
          <w:p w14:paraId="350034B7"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10%</w:t>
            </w:r>
          </w:p>
        </w:tc>
        <w:tc>
          <w:tcPr>
            <w:tcW w:w="446" w:type="pct"/>
            <w:tcBorders>
              <w:top w:val="single" w:sz="4" w:space="0" w:color="D0CECE"/>
              <w:left w:val="nil"/>
              <w:bottom w:val="single" w:sz="4" w:space="0" w:color="D0CECE"/>
            </w:tcBorders>
            <w:shd w:val="clear" w:color="auto" w:fill="auto"/>
            <w:noWrap/>
            <w:vAlign w:val="center"/>
            <w:hideMark/>
          </w:tcPr>
          <w:p w14:paraId="63F32260"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6%</w:t>
            </w:r>
          </w:p>
        </w:tc>
      </w:tr>
      <w:tr w:rsidR="00A94475" w:rsidRPr="003005B9" w14:paraId="1D685136" w14:textId="77777777" w:rsidTr="00AF53DD">
        <w:trPr>
          <w:trHeight w:val="340"/>
          <w:jc w:val="center"/>
        </w:trPr>
        <w:tc>
          <w:tcPr>
            <w:tcW w:w="2544" w:type="pct"/>
            <w:tcBorders>
              <w:top w:val="single" w:sz="4" w:space="0" w:color="BFBFBF"/>
              <w:bottom w:val="single" w:sz="4" w:space="0" w:color="BFBFBF"/>
            </w:tcBorders>
            <w:shd w:val="clear" w:color="auto" w:fill="auto"/>
            <w:noWrap/>
            <w:vAlign w:val="center"/>
            <w:hideMark/>
          </w:tcPr>
          <w:p w14:paraId="5A0578D8" w14:textId="6A66AA2A"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 xml:space="preserve">Encuesta Mensual de Opinión Empresarial </w:t>
            </w:r>
          </w:p>
        </w:tc>
        <w:tc>
          <w:tcPr>
            <w:tcW w:w="403" w:type="pct"/>
            <w:tcBorders>
              <w:top w:val="single" w:sz="4" w:space="0" w:color="BFBFBF"/>
              <w:left w:val="nil"/>
              <w:bottom w:val="single" w:sz="4" w:space="0" w:color="BFBFBF"/>
            </w:tcBorders>
            <w:shd w:val="clear" w:color="auto" w:fill="auto"/>
            <w:noWrap/>
            <w:vAlign w:val="center"/>
            <w:hideMark/>
          </w:tcPr>
          <w:p w14:paraId="1EF9E9B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w:t>
            </w:r>
          </w:p>
        </w:tc>
        <w:tc>
          <w:tcPr>
            <w:tcW w:w="403" w:type="pct"/>
            <w:tcBorders>
              <w:top w:val="single" w:sz="4" w:space="0" w:color="BFBFBF"/>
              <w:left w:val="nil"/>
              <w:bottom w:val="single" w:sz="4" w:space="0" w:color="BFBFBF"/>
            </w:tcBorders>
            <w:shd w:val="clear" w:color="auto" w:fill="auto"/>
            <w:noWrap/>
            <w:vAlign w:val="center"/>
            <w:hideMark/>
          </w:tcPr>
          <w:p w14:paraId="7487B7FE"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w:t>
            </w:r>
          </w:p>
        </w:tc>
        <w:tc>
          <w:tcPr>
            <w:tcW w:w="402" w:type="pct"/>
            <w:tcBorders>
              <w:top w:val="single" w:sz="4" w:space="0" w:color="BFBFBF"/>
              <w:left w:val="nil"/>
              <w:bottom w:val="single" w:sz="4" w:space="0" w:color="BFBFBF"/>
            </w:tcBorders>
            <w:shd w:val="clear" w:color="auto" w:fill="auto"/>
            <w:noWrap/>
            <w:vAlign w:val="center"/>
            <w:hideMark/>
          </w:tcPr>
          <w:p w14:paraId="15AA730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w:t>
            </w:r>
          </w:p>
        </w:tc>
        <w:tc>
          <w:tcPr>
            <w:tcW w:w="404" w:type="pct"/>
            <w:tcBorders>
              <w:top w:val="single" w:sz="4" w:space="0" w:color="BFBFBF"/>
              <w:left w:val="nil"/>
              <w:bottom w:val="single" w:sz="4" w:space="0" w:color="BFBFBF"/>
            </w:tcBorders>
            <w:shd w:val="clear" w:color="auto" w:fill="auto"/>
            <w:noWrap/>
            <w:vAlign w:val="center"/>
            <w:hideMark/>
          </w:tcPr>
          <w:p w14:paraId="470C833A"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w:t>
            </w:r>
          </w:p>
        </w:tc>
        <w:tc>
          <w:tcPr>
            <w:tcW w:w="398" w:type="pct"/>
            <w:tcBorders>
              <w:top w:val="single" w:sz="4" w:space="0" w:color="BFBFBF"/>
              <w:left w:val="nil"/>
              <w:bottom w:val="single" w:sz="4" w:space="0" w:color="BFBFBF"/>
            </w:tcBorders>
            <w:shd w:val="clear" w:color="auto" w:fill="auto"/>
            <w:noWrap/>
            <w:vAlign w:val="center"/>
            <w:hideMark/>
          </w:tcPr>
          <w:p w14:paraId="4613292D"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3%</w:t>
            </w:r>
          </w:p>
        </w:tc>
        <w:tc>
          <w:tcPr>
            <w:tcW w:w="446" w:type="pct"/>
            <w:tcBorders>
              <w:top w:val="nil"/>
              <w:left w:val="nil"/>
              <w:bottom w:val="single" w:sz="4" w:space="0" w:color="BFBFBF"/>
            </w:tcBorders>
            <w:shd w:val="clear" w:color="auto" w:fill="auto"/>
            <w:noWrap/>
            <w:vAlign w:val="center"/>
            <w:hideMark/>
          </w:tcPr>
          <w:p w14:paraId="681F8CC5"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w:t>
            </w:r>
          </w:p>
        </w:tc>
      </w:tr>
      <w:tr w:rsidR="00A94475" w:rsidRPr="003005B9" w14:paraId="4458224C" w14:textId="77777777" w:rsidTr="00AF53DD">
        <w:trPr>
          <w:trHeight w:val="340"/>
          <w:jc w:val="center"/>
        </w:trPr>
        <w:tc>
          <w:tcPr>
            <w:tcW w:w="2544" w:type="pct"/>
            <w:tcBorders>
              <w:top w:val="single" w:sz="4" w:space="0" w:color="BFBFBF"/>
              <w:bottom w:val="single" w:sz="4" w:space="0" w:color="BFBFBF" w:themeColor="background1" w:themeShade="BF"/>
            </w:tcBorders>
            <w:shd w:val="clear" w:color="auto" w:fill="auto"/>
            <w:noWrap/>
            <w:vAlign w:val="center"/>
            <w:hideMark/>
          </w:tcPr>
          <w:p w14:paraId="460050D2" w14:textId="0A8C8A13" w:rsidR="00BC494A" w:rsidRPr="003005B9" w:rsidRDefault="00BC494A">
            <w:pPr>
              <w:spacing w:after="0" w:line="240" w:lineRule="auto"/>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Encuesta Mensual de Servicios</w:t>
            </w:r>
          </w:p>
        </w:tc>
        <w:tc>
          <w:tcPr>
            <w:tcW w:w="403" w:type="pct"/>
            <w:tcBorders>
              <w:top w:val="single" w:sz="4" w:space="0" w:color="BFBFBF"/>
              <w:left w:val="nil"/>
              <w:bottom w:val="single" w:sz="4" w:space="0" w:color="BFBFBF" w:themeColor="background1" w:themeShade="BF"/>
            </w:tcBorders>
            <w:shd w:val="clear" w:color="auto" w:fill="auto"/>
            <w:noWrap/>
            <w:vAlign w:val="center"/>
            <w:hideMark/>
          </w:tcPr>
          <w:p w14:paraId="152957B7"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11%</w:t>
            </w:r>
          </w:p>
        </w:tc>
        <w:tc>
          <w:tcPr>
            <w:tcW w:w="403" w:type="pct"/>
            <w:tcBorders>
              <w:top w:val="single" w:sz="4" w:space="0" w:color="BFBFBF"/>
              <w:left w:val="nil"/>
              <w:bottom w:val="single" w:sz="4" w:space="0" w:color="BFBFBF" w:themeColor="background1" w:themeShade="BF"/>
            </w:tcBorders>
            <w:shd w:val="clear" w:color="auto" w:fill="auto"/>
            <w:noWrap/>
            <w:vAlign w:val="center"/>
            <w:hideMark/>
          </w:tcPr>
          <w:p w14:paraId="6E16CFA2"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14%</w:t>
            </w:r>
          </w:p>
        </w:tc>
        <w:tc>
          <w:tcPr>
            <w:tcW w:w="402" w:type="pct"/>
            <w:tcBorders>
              <w:top w:val="single" w:sz="4" w:space="0" w:color="BFBFBF"/>
              <w:left w:val="nil"/>
              <w:bottom w:val="single" w:sz="4" w:space="0" w:color="BFBFBF" w:themeColor="background1" w:themeShade="BF"/>
            </w:tcBorders>
            <w:shd w:val="clear" w:color="auto" w:fill="auto"/>
            <w:noWrap/>
            <w:vAlign w:val="center"/>
            <w:hideMark/>
          </w:tcPr>
          <w:p w14:paraId="7C2876FA"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18%</w:t>
            </w:r>
          </w:p>
        </w:tc>
        <w:tc>
          <w:tcPr>
            <w:tcW w:w="404" w:type="pct"/>
            <w:tcBorders>
              <w:top w:val="single" w:sz="4" w:space="0" w:color="BFBFBF"/>
              <w:left w:val="nil"/>
              <w:bottom w:val="single" w:sz="4" w:space="0" w:color="BFBFBF" w:themeColor="background1" w:themeShade="BF"/>
            </w:tcBorders>
            <w:shd w:val="clear" w:color="auto" w:fill="auto"/>
            <w:noWrap/>
            <w:vAlign w:val="center"/>
            <w:hideMark/>
          </w:tcPr>
          <w:p w14:paraId="3769623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20%</w:t>
            </w:r>
          </w:p>
        </w:tc>
        <w:tc>
          <w:tcPr>
            <w:tcW w:w="398" w:type="pct"/>
            <w:tcBorders>
              <w:top w:val="single" w:sz="4" w:space="0" w:color="BFBFBF"/>
              <w:left w:val="nil"/>
              <w:bottom w:val="single" w:sz="4" w:space="0" w:color="BFBFBF"/>
            </w:tcBorders>
            <w:shd w:val="clear" w:color="auto" w:fill="auto"/>
            <w:noWrap/>
            <w:vAlign w:val="center"/>
            <w:hideMark/>
          </w:tcPr>
          <w:p w14:paraId="60E9822A"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24%</w:t>
            </w:r>
          </w:p>
        </w:tc>
        <w:tc>
          <w:tcPr>
            <w:tcW w:w="446" w:type="pct"/>
            <w:tcBorders>
              <w:top w:val="single" w:sz="4" w:space="0" w:color="D0CECE"/>
              <w:left w:val="nil"/>
              <w:bottom w:val="single" w:sz="4" w:space="0" w:color="D0CECE"/>
            </w:tcBorders>
            <w:shd w:val="clear" w:color="auto" w:fill="auto"/>
            <w:noWrap/>
            <w:vAlign w:val="center"/>
            <w:hideMark/>
          </w:tcPr>
          <w:p w14:paraId="79336936" w14:textId="77777777" w:rsidR="00BC494A" w:rsidRPr="003005B9" w:rsidRDefault="00BC494A">
            <w:pPr>
              <w:spacing w:after="0" w:line="240" w:lineRule="auto"/>
              <w:jc w:val="center"/>
              <w:rPr>
                <w:rFonts w:ascii="Garamond" w:eastAsia="Times New Roman" w:hAnsi="Garamond" w:cs="Calibri"/>
                <w:color w:val="000000"/>
                <w:sz w:val="20"/>
                <w:szCs w:val="20"/>
                <w:lang w:eastAsia="es-MX"/>
              </w:rPr>
            </w:pPr>
            <w:r w:rsidRPr="003005B9">
              <w:rPr>
                <w:rFonts w:ascii="Garamond" w:eastAsia="Times New Roman" w:hAnsi="Garamond" w:cs="Calibri"/>
                <w:color w:val="000000"/>
                <w:sz w:val="20"/>
                <w:szCs w:val="20"/>
                <w:lang w:eastAsia="es-MX"/>
              </w:rPr>
              <w:t>5%</w:t>
            </w:r>
          </w:p>
        </w:tc>
      </w:tr>
      <w:tr w:rsidR="00F902B3" w:rsidRPr="003005B9" w14:paraId="17B71BFE" w14:textId="77777777" w:rsidTr="00F902B3">
        <w:trPr>
          <w:trHeight w:val="57"/>
          <w:jc w:val="center"/>
        </w:trPr>
        <w:tc>
          <w:tcPr>
            <w:tcW w:w="5000" w:type="pct"/>
            <w:gridSpan w:val="7"/>
            <w:tcBorders>
              <w:top w:val="nil"/>
            </w:tcBorders>
            <w:noWrap/>
            <w:vAlign w:val="center"/>
          </w:tcPr>
          <w:p w14:paraId="55A88B9D" w14:textId="7F6EE54D" w:rsidR="00F902B3" w:rsidRPr="003005B9" w:rsidRDefault="00F902B3" w:rsidP="00F902B3">
            <w:pPr>
              <w:spacing w:after="0"/>
              <w:ind w:right="-40"/>
              <w:jc w:val="both"/>
              <w:rPr>
                <w:rFonts w:ascii="Garamond" w:hAnsi="Garamond"/>
                <w:sz w:val="18"/>
                <w:szCs w:val="18"/>
              </w:rPr>
            </w:pPr>
            <w:r w:rsidRPr="003005B9">
              <w:rPr>
                <w:rFonts w:ascii="Garamond" w:hAnsi="Garamond"/>
                <w:sz w:val="18"/>
                <w:szCs w:val="18"/>
              </w:rPr>
              <w:t xml:space="preserve">Nota 1: </w:t>
            </w:r>
            <w:r w:rsidR="00151143">
              <w:rPr>
                <w:rFonts w:ascii="Garamond" w:hAnsi="Garamond"/>
                <w:sz w:val="18"/>
                <w:szCs w:val="18"/>
              </w:rPr>
              <w:t>E</w:t>
            </w:r>
            <w:r w:rsidRPr="003005B9">
              <w:rPr>
                <w:rFonts w:ascii="Garamond" w:hAnsi="Garamond"/>
                <w:sz w:val="18"/>
                <w:szCs w:val="18"/>
              </w:rPr>
              <w:t xml:space="preserve">n 2023 la </w:t>
            </w:r>
            <w:proofErr w:type="spellStart"/>
            <w:r w:rsidR="007A6EAE" w:rsidRPr="00DB6BDE">
              <w:rPr>
                <w:rFonts w:ascii="Garamond" w:hAnsi="Garamond"/>
                <w:smallCaps/>
                <w:sz w:val="18"/>
                <w:szCs w:val="18"/>
              </w:rPr>
              <w:t>dgee</w:t>
            </w:r>
            <w:proofErr w:type="spellEnd"/>
            <w:r w:rsidR="00A94475">
              <w:rPr>
                <w:rFonts w:ascii="Garamond" w:hAnsi="Garamond"/>
                <w:sz w:val="18"/>
                <w:szCs w:val="18"/>
              </w:rPr>
              <w:t xml:space="preserve"> </w:t>
            </w:r>
            <w:r w:rsidRPr="003005B9">
              <w:rPr>
                <w:rFonts w:ascii="Garamond" w:hAnsi="Garamond"/>
                <w:sz w:val="18"/>
                <w:szCs w:val="18"/>
              </w:rPr>
              <w:t>realizó una actualización de indicadores de precisión conforme a publicaciones de información posteriores a los informes de resultados de calidad.</w:t>
            </w:r>
          </w:p>
          <w:p w14:paraId="6399A0B5" w14:textId="5219B468" w:rsidR="00F902B3" w:rsidRPr="003005B9" w:rsidRDefault="00F902B3" w:rsidP="00F902B3">
            <w:pPr>
              <w:spacing w:after="0"/>
              <w:ind w:right="-40"/>
              <w:jc w:val="both"/>
              <w:rPr>
                <w:rFonts w:ascii="Garamond" w:eastAsia="Times New Roman" w:hAnsi="Garamond" w:cs="Calibri"/>
                <w:color w:val="000000"/>
                <w:sz w:val="20"/>
                <w:szCs w:val="20"/>
                <w:lang w:eastAsia="es-MX"/>
              </w:rPr>
            </w:pPr>
            <w:r w:rsidRPr="003005B9">
              <w:rPr>
                <w:rFonts w:ascii="Garamond" w:hAnsi="Garamond"/>
                <w:sz w:val="18"/>
                <w:szCs w:val="18"/>
              </w:rPr>
              <w:t xml:space="preserve">Nota 2: </w:t>
            </w:r>
            <w:r w:rsidR="00151143">
              <w:rPr>
                <w:rFonts w:ascii="Garamond" w:hAnsi="Garamond"/>
                <w:sz w:val="18"/>
                <w:szCs w:val="18"/>
              </w:rPr>
              <w:t>E</w:t>
            </w:r>
            <w:r w:rsidR="003A5477" w:rsidRPr="003005B9">
              <w:rPr>
                <w:rFonts w:ascii="Garamond" w:hAnsi="Garamond"/>
                <w:sz w:val="18"/>
                <w:szCs w:val="18"/>
              </w:rPr>
              <w:t>n</w:t>
            </w:r>
            <w:r w:rsidRPr="003005B9">
              <w:rPr>
                <w:rFonts w:ascii="Garamond" w:hAnsi="Garamond"/>
                <w:sz w:val="18"/>
                <w:szCs w:val="18"/>
              </w:rPr>
              <w:t xml:space="preserve"> encuestas con periodicidad anual o mayor se presenta el </w:t>
            </w:r>
            <w:r w:rsidR="00327D05">
              <w:rPr>
                <w:rFonts w:ascii="Garamond" w:hAnsi="Garamond"/>
                <w:sz w:val="18"/>
                <w:szCs w:val="18"/>
              </w:rPr>
              <w:t>V</w:t>
            </w:r>
            <w:r w:rsidRPr="003005B9">
              <w:rPr>
                <w:rFonts w:ascii="Garamond" w:hAnsi="Garamond"/>
                <w:sz w:val="18"/>
                <w:szCs w:val="18"/>
              </w:rPr>
              <w:t xml:space="preserve">alor del </w:t>
            </w:r>
            <w:r w:rsidR="00327D05">
              <w:rPr>
                <w:rFonts w:ascii="Garamond" w:hAnsi="Garamond"/>
                <w:sz w:val="18"/>
                <w:szCs w:val="18"/>
              </w:rPr>
              <w:t>A</w:t>
            </w:r>
            <w:r w:rsidRPr="003005B9">
              <w:rPr>
                <w:rFonts w:ascii="Garamond" w:hAnsi="Garamond"/>
                <w:sz w:val="18"/>
                <w:szCs w:val="18"/>
              </w:rPr>
              <w:t>gregado Nacional y</w:t>
            </w:r>
            <w:r w:rsidR="00F95119" w:rsidRPr="003005B9">
              <w:rPr>
                <w:rFonts w:ascii="Garamond" w:hAnsi="Garamond"/>
                <w:sz w:val="18"/>
                <w:szCs w:val="18"/>
              </w:rPr>
              <w:t>,</w:t>
            </w:r>
            <w:r w:rsidRPr="003005B9">
              <w:rPr>
                <w:rFonts w:ascii="Garamond" w:hAnsi="Garamond"/>
                <w:sz w:val="18"/>
                <w:szCs w:val="18"/>
              </w:rPr>
              <w:t xml:space="preserve"> </w:t>
            </w:r>
            <w:r w:rsidR="00FA21C7" w:rsidRPr="003005B9">
              <w:rPr>
                <w:rFonts w:ascii="Garamond" w:hAnsi="Garamond"/>
                <w:sz w:val="18"/>
                <w:szCs w:val="18"/>
              </w:rPr>
              <w:t xml:space="preserve">en </w:t>
            </w:r>
            <w:r w:rsidR="003D1529" w:rsidRPr="003005B9">
              <w:rPr>
                <w:rFonts w:ascii="Garamond" w:hAnsi="Garamond"/>
                <w:sz w:val="18"/>
                <w:szCs w:val="18"/>
              </w:rPr>
              <w:t>aquellas con</w:t>
            </w:r>
            <w:r w:rsidRPr="003005B9">
              <w:rPr>
                <w:rFonts w:ascii="Garamond" w:hAnsi="Garamond"/>
                <w:sz w:val="18"/>
                <w:szCs w:val="18"/>
              </w:rPr>
              <w:t xml:space="preserve"> periodicidad menor</w:t>
            </w:r>
            <w:r w:rsidR="00FA21C7" w:rsidRPr="003005B9">
              <w:rPr>
                <w:rFonts w:ascii="Garamond" w:hAnsi="Garamond"/>
                <w:sz w:val="18"/>
                <w:szCs w:val="18"/>
              </w:rPr>
              <w:t>,</w:t>
            </w:r>
            <w:r w:rsidRPr="003005B9">
              <w:rPr>
                <w:rFonts w:ascii="Garamond" w:hAnsi="Garamond"/>
                <w:sz w:val="18"/>
                <w:szCs w:val="18"/>
              </w:rPr>
              <w:t xml:space="preserve"> el promedio del </w:t>
            </w:r>
            <w:r w:rsidR="00327D05">
              <w:rPr>
                <w:rFonts w:ascii="Garamond" w:hAnsi="Garamond"/>
                <w:sz w:val="18"/>
                <w:szCs w:val="18"/>
              </w:rPr>
              <w:t>V</w:t>
            </w:r>
            <w:r w:rsidRPr="003005B9">
              <w:rPr>
                <w:rFonts w:ascii="Garamond" w:hAnsi="Garamond"/>
                <w:sz w:val="18"/>
                <w:szCs w:val="18"/>
              </w:rPr>
              <w:t xml:space="preserve">alor del </w:t>
            </w:r>
            <w:r w:rsidR="00327D05">
              <w:rPr>
                <w:rFonts w:ascii="Garamond" w:hAnsi="Garamond"/>
                <w:sz w:val="18"/>
                <w:szCs w:val="18"/>
              </w:rPr>
              <w:t>A</w:t>
            </w:r>
            <w:r w:rsidRPr="003005B9">
              <w:rPr>
                <w:rFonts w:ascii="Garamond" w:hAnsi="Garamond"/>
                <w:sz w:val="18"/>
                <w:szCs w:val="18"/>
              </w:rPr>
              <w:t>gregado Nacional.</w:t>
            </w:r>
          </w:p>
        </w:tc>
      </w:tr>
    </w:tbl>
    <w:p w14:paraId="30860945" w14:textId="1AFCF7A7" w:rsidR="00CF46C4" w:rsidRPr="00395213" w:rsidRDefault="00CF46C4">
      <w:pPr>
        <w:rPr>
          <w:rFonts w:ascii="Garamond" w:hAnsi="Garamond"/>
          <w:sz w:val="21"/>
          <w:szCs w:val="21"/>
        </w:rPr>
      </w:pPr>
      <w:r w:rsidRPr="00395213">
        <w:rPr>
          <w:rFonts w:ascii="Garamond" w:hAnsi="Garamond"/>
          <w:sz w:val="21"/>
          <w:szCs w:val="21"/>
        </w:rPr>
        <w:br w:type="page"/>
      </w:r>
    </w:p>
    <w:p w14:paraId="7381C565" w14:textId="38267D35" w:rsidR="00CF46C4" w:rsidRPr="00B93915" w:rsidRDefault="00CF46C4" w:rsidP="00DB575B">
      <w:pPr>
        <w:pStyle w:val="Ttulo1"/>
        <w:ind w:left="2835" w:hanging="2835"/>
        <w:rPr>
          <w:rFonts w:ascii="Garamond" w:hAnsi="Garamond" w:cstheme="minorHAnsi"/>
          <w:b/>
          <w:bCs/>
          <w:color w:val="002060"/>
          <w:sz w:val="24"/>
          <w:szCs w:val="24"/>
        </w:rPr>
      </w:pPr>
      <w:bookmarkStart w:id="11" w:name="_Toc164684575"/>
      <w:r w:rsidRPr="00B93915">
        <w:rPr>
          <w:rFonts w:ascii="Garamond" w:hAnsi="Garamond" w:cstheme="minorHAnsi"/>
          <w:b/>
          <w:bCs/>
          <w:color w:val="002060"/>
          <w:sz w:val="24"/>
          <w:szCs w:val="24"/>
        </w:rPr>
        <w:lastRenderedPageBreak/>
        <w:t>I</w:t>
      </w:r>
      <w:r w:rsidR="008A27F1" w:rsidRPr="00B93915">
        <w:rPr>
          <w:rFonts w:ascii="Garamond" w:hAnsi="Garamond" w:cstheme="minorHAnsi"/>
          <w:b/>
          <w:bCs/>
          <w:color w:val="002060"/>
          <w:sz w:val="24"/>
          <w:szCs w:val="24"/>
        </w:rPr>
        <w:t>I</w:t>
      </w:r>
      <w:r w:rsidRPr="00B93915">
        <w:rPr>
          <w:rFonts w:ascii="Garamond" w:hAnsi="Garamond" w:cstheme="minorHAnsi"/>
          <w:b/>
          <w:bCs/>
          <w:color w:val="002060"/>
          <w:sz w:val="24"/>
          <w:szCs w:val="24"/>
        </w:rPr>
        <w:t xml:space="preserve">I. </w:t>
      </w:r>
      <w:r w:rsidR="008A27F1" w:rsidRPr="00B93915">
        <w:rPr>
          <w:rFonts w:ascii="Garamond" w:hAnsi="Garamond" w:cstheme="minorHAnsi"/>
          <w:b/>
          <w:bCs/>
          <w:color w:val="002060"/>
          <w:sz w:val="24"/>
          <w:szCs w:val="24"/>
        </w:rPr>
        <w:t>CAMBIOS AL DISEÑO DE LOS PROCESOS DE PRODUCCIÓN</w:t>
      </w:r>
      <w:bookmarkEnd w:id="11"/>
    </w:p>
    <w:p w14:paraId="65FCC6A2" w14:textId="5456596C" w:rsidR="00F14FC4" w:rsidRPr="00B93915" w:rsidRDefault="00333080" w:rsidP="00DB575B">
      <w:pPr>
        <w:spacing w:before="240"/>
        <w:jc w:val="both"/>
        <w:rPr>
          <w:rFonts w:ascii="Garamond" w:hAnsi="Garamond"/>
        </w:rPr>
      </w:pPr>
      <w:r w:rsidRPr="00B93915">
        <w:rPr>
          <w:rFonts w:ascii="Garamond" w:hAnsi="Garamond"/>
        </w:rPr>
        <w:t xml:space="preserve">El propósito de los </w:t>
      </w:r>
      <w:r w:rsidR="005D05F5" w:rsidRPr="00B93915">
        <w:rPr>
          <w:rFonts w:ascii="Garamond" w:hAnsi="Garamond"/>
          <w:i/>
          <w:iCs/>
        </w:rPr>
        <w:t xml:space="preserve">Lineamientos del </w:t>
      </w:r>
      <w:r w:rsidR="00374CB2" w:rsidRPr="00374CB2">
        <w:rPr>
          <w:rFonts w:ascii="Garamond" w:hAnsi="Garamond"/>
          <w:i/>
          <w:iCs/>
        </w:rPr>
        <w:t>proceso</w:t>
      </w:r>
      <w:r w:rsidR="00DC75E8" w:rsidRPr="00B93915">
        <w:rPr>
          <w:rFonts w:ascii="Garamond" w:hAnsi="Garamond"/>
          <w:i/>
          <w:iCs/>
        </w:rPr>
        <w:t xml:space="preserve"> de </w:t>
      </w:r>
      <w:r w:rsidR="00374CB2" w:rsidRPr="00374CB2">
        <w:rPr>
          <w:rFonts w:ascii="Garamond" w:hAnsi="Garamond"/>
          <w:i/>
          <w:iCs/>
        </w:rPr>
        <w:t>gestión</w:t>
      </w:r>
      <w:r w:rsidR="00DC75E8" w:rsidRPr="00B93915">
        <w:rPr>
          <w:rFonts w:ascii="Garamond" w:hAnsi="Garamond"/>
          <w:i/>
          <w:iCs/>
        </w:rPr>
        <w:t xml:space="preserve"> de </w:t>
      </w:r>
      <w:r w:rsidR="00374CB2" w:rsidRPr="00374CB2">
        <w:rPr>
          <w:rFonts w:ascii="Garamond" w:hAnsi="Garamond"/>
          <w:i/>
          <w:iCs/>
        </w:rPr>
        <w:t>cambios en los programas de información estadística y geográfica</w:t>
      </w:r>
      <w:r w:rsidR="00DC75E8" w:rsidRPr="00B93915">
        <w:rPr>
          <w:rFonts w:ascii="Garamond" w:hAnsi="Garamond"/>
          <w:i/>
          <w:iCs/>
        </w:rPr>
        <w:t xml:space="preserve"> </w:t>
      </w:r>
      <w:r w:rsidR="004D0A24" w:rsidRPr="00B93915">
        <w:rPr>
          <w:rFonts w:ascii="Garamond" w:hAnsi="Garamond"/>
        </w:rPr>
        <w:t xml:space="preserve">es establecer los pasos a seguir para documentar los cambios que se realizan </w:t>
      </w:r>
      <w:r w:rsidR="004934AB" w:rsidRPr="00B93915">
        <w:rPr>
          <w:rFonts w:ascii="Garamond" w:hAnsi="Garamond"/>
        </w:rPr>
        <w:t>a</w:t>
      </w:r>
      <w:r w:rsidR="004D0A24" w:rsidRPr="00B93915">
        <w:rPr>
          <w:rFonts w:ascii="Garamond" w:hAnsi="Garamond"/>
        </w:rPr>
        <w:t>l diseño de los procesos de producción</w:t>
      </w:r>
      <w:r w:rsidR="006B316C" w:rsidRPr="00B93915">
        <w:rPr>
          <w:rFonts w:ascii="Garamond" w:hAnsi="Garamond"/>
        </w:rPr>
        <w:t xml:space="preserve">. </w:t>
      </w:r>
      <w:r w:rsidR="008366CE" w:rsidRPr="00B93915">
        <w:rPr>
          <w:rFonts w:ascii="Garamond" w:hAnsi="Garamond"/>
        </w:rPr>
        <w:t>E</w:t>
      </w:r>
      <w:r w:rsidR="00AB0AE5" w:rsidRPr="00B93915">
        <w:rPr>
          <w:rFonts w:ascii="Garamond" w:hAnsi="Garamond"/>
        </w:rPr>
        <w:t xml:space="preserve">n </w:t>
      </w:r>
      <w:r w:rsidR="00D85C45" w:rsidRPr="00B93915">
        <w:rPr>
          <w:rFonts w:ascii="Garamond" w:hAnsi="Garamond"/>
        </w:rPr>
        <w:t>la</w:t>
      </w:r>
      <w:r w:rsidR="00AB0AE5" w:rsidRPr="00B93915">
        <w:rPr>
          <w:rFonts w:ascii="Garamond" w:hAnsi="Garamond"/>
        </w:rPr>
        <w:t xml:space="preserve"> </w:t>
      </w:r>
      <w:r w:rsidR="00D85C45" w:rsidRPr="00B93915">
        <w:rPr>
          <w:rFonts w:ascii="Garamond" w:hAnsi="Garamond"/>
        </w:rPr>
        <w:t>Tabla</w:t>
      </w:r>
      <w:r w:rsidR="00AB0AE5" w:rsidRPr="00B93915">
        <w:rPr>
          <w:rFonts w:ascii="Garamond" w:hAnsi="Garamond"/>
        </w:rPr>
        <w:t xml:space="preserve"> </w:t>
      </w:r>
      <w:r w:rsidR="00F14FC4" w:rsidRPr="00B93915">
        <w:rPr>
          <w:rFonts w:ascii="Garamond" w:hAnsi="Garamond"/>
        </w:rPr>
        <w:t>1</w:t>
      </w:r>
      <w:r w:rsidR="00861191">
        <w:rPr>
          <w:rFonts w:ascii="Garamond" w:hAnsi="Garamond"/>
        </w:rPr>
        <w:t>3</w:t>
      </w:r>
      <w:r w:rsidR="00AB0AE5" w:rsidRPr="00B93915">
        <w:rPr>
          <w:rFonts w:ascii="Garamond" w:hAnsi="Garamond"/>
        </w:rPr>
        <w:t xml:space="preserve"> se </w:t>
      </w:r>
      <w:r w:rsidR="00121638" w:rsidRPr="00B93915">
        <w:rPr>
          <w:rFonts w:ascii="Garamond" w:hAnsi="Garamond"/>
        </w:rPr>
        <w:t xml:space="preserve">presentan los procesos de producción </w:t>
      </w:r>
      <w:r w:rsidR="00432D8E" w:rsidRPr="00B93915">
        <w:rPr>
          <w:rFonts w:ascii="Garamond" w:hAnsi="Garamond"/>
        </w:rPr>
        <w:t xml:space="preserve">sobre los </w:t>
      </w:r>
      <w:r w:rsidR="00121638" w:rsidRPr="00B93915">
        <w:rPr>
          <w:rFonts w:ascii="Garamond" w:hAnsi="Garamond"/>
        </w:rPr>
        <w:t xml:space="preserve">que </w:t>
      </w:r>
      <w:r w:rsidR="00432D8E" w:rsidRPr="00B93915">
        <w:rPr>
          <w:rFonts w:ascii="Garamond" w:hAnsi="Garamond"/>
        </w:rPr>
        <w:t xml:space="preserve">se </w:t>
      </w:r>
      <w:r w:rsidR="00121638" w:rsidRPr="00B93915">
        <w:rPr>
          <w:rFonts w:ascii="Garamond" w:hAnsi="Garamond"/>
        </w:rPr>
        <w:t>registraron cambios en 2023</w:t>
      </w:r>
      <w:r w:rsidR="00421EBC">
        <w:rPr>
          <w:rFonts w:ascii="Garamond" w:hAnsi="Garamond"/>
        </w:rPr>
        <w:t xml:space="preserve"> en el Sistema de Seguimiento de Cambios</w:t>
      </w:r>
      <w:r w:rsidR="003071FA">
        <w:rPr>
          <w:rFonts w:ascii="Garamond" w:hAnsi="Garamond"/>
        </w:rPr>
        <w:t xml:space="preserve"> (</w:t>
      </w:r>
      <w:proofErr w:type="spellStart"/>
      <w:r w:rsidR="003071FA" w:rsidRPr="003071FA">
        <w:rPr>
          <w:rFonts w:ascii="Garamond" w:hAnsi="Garamond"/>
          <w:smallCaps/>
        </w:rPr>
        <w:t>ssc</w:t>
      </w:r>
      <w:proofErr w:type="spellEnd"/>
      <w:r w:rsidR="003071FA">
        <w:rPr>
          <w:rFonts w:ascii="Garamond" w:hAnsi="Garamond"/>
        </w:rPr>
        <w:t>)</w:t>
      </w:r>
      <w:r w:rsidR="006452E0" w:rsidRPr="00B93915">
        <w:rPr>
          <w:rFonts w:ascii="Garamond" w:hAnsi="Garamond"/>
        </w:rPr>
        <w:t xml:space="preserve">. Puede observarse que la </w:t>
      </w:r>
      <w:r w:rsidR="00F452B7" w:rsidRPr="00B93915">
        <w:rPr>
          <w:rFonts w:ascii="Garamond" w:hAnsi="Garamond"/>
        </w:rPr>
        <w:t xml:space="preserve">mayoría de los cambios </w:t>
      </w:r>
      <w:r w:rsidR="00D04E46" w:rsidRPr="00B93915">
        <w:rPr>
          <w:rFonts w:ascii="Garamond" w:hAnsi="Garamond"/>
        </w:rPr>
        <w:t>impactaron la pertinencia de la información</w:t>
      </w:r>
      <w:r w:rsidR="00B13CAE" w:rsidRPr="00B93915">
        <w:rPr>
          <w:rFonts w:ascii="Garamond" w:hAnsi="Garamond"/>
        </w:rPr>
        <w:t>.</w:t>
      </w:r>
      <w:r w:rsidR="008366CE" w:rsidRPr="00B93915">
        <w:rPr>
          <w:rFonts w:ascii="Garamond" w:hAnsi="Garamond"/>
        </w:rPr>
        <w:t xml:space="preserve"> </w:t>
      </w:r>
      <w:r w:rsidR="00383623" w:rsidRPr="00B93915">
        <w:rPr>
          <w:rFonts w:ascii="Garamond" w:hAnsi="Garamond"/>
        </w:rPr>
        <w:t>T</w:t>
      </w:r>
      <w:r w:rsidR="008366CE" w:rsidRPr="00B93915">
        <w:rPr>
          <w:rFonts w:ascii="Garamond" w:hAnsi="Garamond"/>
        </w:rPr>
        <w:t>odos</w:t>
      </w:r>
      <w:r w:rsidR="00704520" w:rsidRPr="00B93915">
        <w:rPr>
          <w:rFonts w:ascii="Garamond" w:hAnsi="Garamond"/>
        </w:rPr>
        <w:t xml:space="preserve"> los cambios</w:t>
      </w:r>
      <w:r w:rsidR="008366CE" w:rsidRPr="00B93915">
        <w:rPr>
          <w:rFonts w:ascii="Garamond" w:hAnsi="Garamond"/>
        </w:rPr>
        <w:t xml:space="preserve"> fueron previstos</w:t>
      </w:r>
      <w:r w:rsidR="00D834D1">
        <w:rPr>
          <w:rFonts w:ascii="Garamond" w:hAnsi="Garamond"/>
        </w:rPr>
        <w:t>, de acuerdo con los criterios establecidos en los lineamientos</w:t>
      </w:r>
      <w:r w:rsidR="00EE1A69">
        <w:rPr>
          <w:rFonts w:ascii="Garamond" w:hAnsi="Garamond"/>
        </w:rPr>
        <w:t xml:space="preserve"> citados</w:t>
      </w:r>
      <w:r w:rsidR="00D46AFA" w:rsidRPr="00B93915">
        <w:rPr>
          <w:rStyle w:val="Refdenotaalpie"/>
          <w:rFonts w:ascii="Garamond" w:hAnsi="Garamond"/>
        </w:rPr>
        <w:footnoteReference w:id="16"/>
      </w:r>
      <w:r w:rsidR="004A1F4F" w:rsidRPr="00B93915">
        <w:rPr>
          <w:rFonts w:ascii="Garamond" w:hAnsi="Garamond"/>
        </w:rPr>
        <w:t>.</w:t>
      </w:r>
    </w:p>
    <w:p w14:paraId="7990163C" w14:textId="107F7430" w:rsidR="004543EF" w:rsidRPr="00B93915" w:rsidRDefault="00D85C45" w:rsidP="00742951">
      <w:pPr>
        <w:shd w:val="clear" w:color="auto" w:fill="FFFFFF" w:themeFill="background1"/>
        <w:spacing w:after="0"/>
        <w:jc w:val="center"/>
        <w:rPr>
          <w:rFonts w:ascii="Garamond" w:hAnsi="Garamond"/>
        </w:rPr>
      </w:pPr>
      <w:r w:rsidRPr="00B93915">
        <w:rPr>
          <w:rFonts w:ascii="Garamond" w:hAnsi="Garamond"/>
          <w:b/>
        </w:rPr>
        <w:t>Tabla 1</w:t>
      </w:r>
      <w:r w:rsidR="00861191">
        <w:rPr>
          <w:rFonts w:ascii="Garamond" w:hAnsi="Garamond"/>
          <w:b/>
        </w:rPr>
        <w:t>3</w:t>
      </w:r>
      <w:r w:rsidR="004543EF" w:rsidRPr="00B93915">
        <w:rPr>
          <w:rFonts w:ascii="Garamond" w:hAnsi="Garamond"/>
          <w:b/>
        </w:rPr>
        <w:t xml:space="preserve">. </w:t>
      </w:r>
      <w:r w:rsidR="00F6376C" w:rsidRPr="00B93915">
        <w:rPr>
          <w:rFonts w:ascii="Garamond" w:hAnsi="Garamond"/>
          <w:b/>
        </w:rPr>
        <w:t xml:space="preserve">Procesos </w:t>
      </w:r>
      <w:r w:rsidR="00AF1CFB" w:rsidRPr="00B93915">
        <w:rPr>
          <w:rFonts w:ascii="Garamond" w:hAnsi="Garamond"/>
          <w:b/>
        </w:rPr>
        <w:t>de producción que registraron cambios en 20</w:t>
      </w:r>
      <w:r w:rsidR="00742951" w:rsidRPr="00B93915">
        <w:rPr>
          <w:rFonts w:ascii="Garamond" w:hAnsi="Garamond"/>
          <w:b/>
        </w:rPr>
        <w:t>23</w:t>
      </w:r>
    </w:p>
    <w:tbl>
      <w:tblPr>
        <w:tblW w:w="8222" w:type="dxa"/>
        <w:jc w:val="center"/>
        <w:tblCellMar>
          <w:left w:w="70" w:type="dxa"/>
          <w:right w:w="70" w:type="dxa"/>
        </w:tblCellMar>
        <w:tblLook w:val="04A0" w:firstRow="1" w:lastRow="0" w:firstColumn="1" w:lastColumn="0" w:noHBand="0" w:noVBand="1"/>
      </w:tblPr>
      <w:tblGrid>
        <w:gridCol w:w="4600"/>
        <w:gridCol w:w="1921"/>
        <w:gridCol w:w="1701"/>
      </w:tblGrid>
      <w:tr w:rsidR="00367885" w:rsidRPr="00B93915" w14:paraId="4731C823" w14:textId="77777777" w:rsidTr="005B551D">
        <w:trPr>
          <w:trHeight w:val="227"/>
          <w:jc w:val="center"/>
        </w:trPr>
        <w:tc>
          <w:tcPr>
            <w:tcW w:w="4600" w:type="dxa"/>
            <w:vMerge w:val="restart"/>
            <w:tcBorders>
              <w:top w:val="single" w:sz="8" w:space="0" w:color="BFBFBF"/>
            </w:tcBorders>
            <w:shd w:val="clear" w:color="000000" w:fill="002060"/>
            <w:vAlign w:val="center"/>
          </w:tcPr>
          <w:p w14:paraId="75E8D33B" w14:textId="4648862C" w:rsidR="00367885" w:rsidRPr="00B93915" w:rsidRDefault="00367885" w:rsidP="00260FA7">
            <w:pPr>
              <w:spacing w:after="0" w:line="240" w:lineRule="auto"/>
              <w:jc w:val="center"/>
              <w:rPr>
                <w:rFonts w:ascii="Garamond" w:eastAsia="Times New Roman" w:hAnsi="Garamond" w:cs="Times New Roman"/>
                <w:b/>
                <w:bCs/>
                <w:color w:val="FFFFFF"/>
                <w:sz w:val="20"/>
                <w:szCs w:val="20"/>
                <w:lang w:eastAsia="es-MX"/>
              </w:rPr>
            </w:pPr>
            <w:r w:rsidRPr="00B93915">
              <w:rPr>
                <w:rFonts w:ascii="Garamond" w:eastAsia="Times New Roman" w:hAnsi="Garamond" w:cs="Times New Roman"/>
                <w:b/>
                <w:bCs/>
                <w:color w:val="FFFFFF"/>
                <w:sz w:val="20"/>
                <w:szCs w:val="20"/>
                <w:lang w:eastAsia="es-MX"/>
              </w:rPr>
              <w:t>Proceso</w:t>
            </w:r>
          </w:p>
        </w:tc>
        <w:tc>
          <w:tcPr>
            <w:tcW w:w="3622" w:type="dxa"/>
            <w:gridSpan w:val="2"/>
            <w:tcBorders>
              <w:top w:val="single" w:sz="8" w:space="0" w:color="BFBFBF"/>
              <w:left w:val="nil"/>
              <w:right w:val="single" w:sz="4" w:space="0" w:color="BFBFBF" w:themeColor="background1" w:themeShade="BF"/>
            </w:tcBorders>
            <w:shd w:val="clear" w:color="000000" w:fill="002060"/>
            <w:vAlign w:val="center"/>
          </w:tcPr>
          <w:p w14:paraId="55F2303F" w14:textId="51BDE335" w:rsidR="00367885" w:rsidRPr="00B93915" w:rsidRDefault="00367885" w:rsidP="00260FA7">
            <w:pPr>
              <w:spacing w:after="0" w:line="240" w:lineRule="auto"/>
              <w:jc w:val="center"/>
              <w:rPr>
                <w:rFonts w:ascii="Garamond" w:eastAsia="Times New Roman" w:hAnsi="Garamond" w:cs="Times New Roman"/>
                <w:b/>
                <w:bCs/>
                <w:color w:val="FFFFFF"/>
                <w:sz w:val="20"/>
                <w:szCs w:val="20"/>
                <w:lang w:eastAsia="es-MX"/>
              </w:rPr>
            </w:pPr>
            <w:r w:rsidRPr="00B93915">
              <w:rPr>
                <w:rFonts w:ascii="Garamond" w:eastAsia="Times New Roman" w:hAnsi="Garamond" w:cs="Times New Roman"/>
                <w:b/>
                <w:bCs/>
                <w:color w:val="FFFFFF"/>
                <w:sz w:val="20"/>
                <w:szCs w:val="20"/>
                <w:lang w:eastAsia="es-MX"/>
              </w:rPr>
              <w:t>Principios de calidad que impactaron</w:t>
            </w:r>
          </w:p>
        </w:tc>
      </w:tr>
      <w:tr w:rsidR="00367885" w:rsidRPr="00B93915" w14:paraId="5A093EDD" w14:textId="77777777" w:rsidTr="005B551D">
        <w:trPr>
          <w:trHeight w:val="227"/>
          <w:jc w:val="center"/>
        </w:trPr>
        <w:tc>
          <w:tcPr>
            <w:tcW w:w="4600" w:type="dxa"/>
            <w:vMerge/>
            <w:shd w:val="clear" w:color="000000" w:fill="002060"/>
            <w:vAlign w:val="center"/>
            <w:hideMark/>
          </w:tcPr>
          <w:p w14:paraId="12FF0226" w14:textId="72C9CB2D" w:rsidR="00367885" w:rsidRPr="00B93915" w:rsidRDefault="00367885" w:rsidP="00260FA7">
            <w:pPr>
              <w:spacing w:after="0" w:line="240" w:lineRule="auto"/>
              <w:jc w:val="center"/>
              <w:rPr>
                <w:rFonts w:ascii="Garamond" w:eastAsia="Times New Roman" w:hAnsi="Garamond" w:cs="Times New Roman"/>
                <w:b/>
                <w:bCs/>
                <w:color w:val="FFFFFF"/>
                <w:sz w:val="20"/>
                <w:szCs w:val="20"/>
                <w:lang w:eastAsia="es-MX"/>
              </w:rPr>
            </w:pPr>
          </w:p>
        </w:tc>
        <w:tc>
          <w:tcPr>
            <w:tcW w:w="1921" w:type="dxa"/>
            <w:tcBorders>
              <w:left w:val="nil"/>
            </w:tcBorders>
            <w:shd w:val="clear" w:color="000000" w:fill="002060"/>
            <w:vAlign w:val="center"/>
            <w:hideMark/>
          </w:tcPr>
          <w:p w14:paraId="57126EDD" w14:textId="77777777" w:rsidR="00367885" w:rsidRPr="00B93915" w:rsidRDefault="00367885" w:rsidP="00260FA7">
            <w:pPr>
              <w:spacing w:after="0" w:line="240" w:lineRule="auto"/>
              <w:jc w:val="center"/>
              <w:rPr>
                <w:rFonts w:ascii="Garamond" w:eastAsia="Times New Roman" w:hAnsi="Garamond" w:cs="Times New Roman"/>
                <w:b/>
                <w:bCs/>
                <w:color w:val="FFFFFF"/>
                <w:sz w:val="20"/>
                <w:szCs w:val="20"/>
                <w:lang w:eastAsia="es-MX"/>
              </w:rPr>
            </w:pPr>
            <w:r w:rsidRPr="00B93915">
              <w:rPr>
                <w:rFonts w:ascii="Garamond" w:eastAsia="Times New Roman" w:hAnsi="Garamond" w:cs="Times New Roman"/>
                <w:b/>
                <w:bCs/>
                <w:color w:val="FFFFFF"/>
                <w:sz w:val="20"/>
                <w:szCs w:val="20"/>
                <w:lang w:eastAsia="es-MX"/>
              </w:rPr>
              <w:t>Pertinencia</w:t>
            </w:r>
          </w:p>
        </w:tc>
        <w:tc>
          <w:tcPr>
            <w:tcW w:w="1701" w:type="dxa"/>
            <w:tcBorders>
              <w:left w:val="nil"/>
              <w:right w:val="single" w:sz="4" w:space="0" w:color="BFBFBF" w:themeColor="background1" w:themeShade="BF"/>
            </w:tcBorders>
            <w:shd w:val="clear" w:color="000000" w:fill="002060"/>
            <w:vAlign w:val="center"/>
            <w:hideMark/>
          </w:tcPr>
          <w:p w14:paraId="7933F9F6" w14:textId="738A2977" w:rsidR="00367885" w:rsidRPr="00B93915" w:rsidRDefault="00367885" w:rsidP="00260FA7">
            <w:pPr>
              <w:spacing w:after="0" w:line="240" w:lineRule="auto"/>
              <w:jc w:val="center"/>
              <w:rPr>
                <w:rFonts w:ascii="Garamond" w:eastAsia="Times New Roman" w:hAnsi="Garamond" w:cs="Times New Roman"/>
                <w:b/>
                <w:bCs/>
                <w:color w:val="FFFFFF"/>
                <w:sz w:val="20"/>
                <w:szCs w:val="20"/>
                <w:lang w:eastAsia="es-MX"/>
              </w:rPr>
            </w:pPr>
            <w:r>
              <w:rPr>
                <w:rFonts w:ascii="Garamond" w:eastAsia="Times New Roman" w:hAnsi="Garamond" w:cs="Times New Roman"/>
                <w:b/>
                <w:bCs/>
                <w:color w:val="FFFFFF"/>
                <w:sz w:val="20"/>
                <w:szCs w:val="20"/>
                <w:lang w:eastAsia="es-MX"/>
              </w:rPr>
              <w:t>P</w:t>
            </w:r>
            <w:r w:rsidRPr="00B93915">
              <w:rPr>
                <w:rFonts w:ascii="Garamond" w:eastAsia="Times New Roman" w:hAnsi="Garamond" w:cs="Times New Roman"/>
                <w:b/>
                <w:bCs/>
                <w:color w:val="FFFFFF"/>
                <w:sz w:val="20"/>
                <w:szCs w:val="20"/>
                <w:lang w:eastAsia="es-MX"/>
              </w:rPr>
              <w:t>recisión</w:t>
            </w:r>
          </w:p>
        </w:tc>
      </w:tr>
      <w:tr w:rsidR="00D5789C" w:rsidRPr="00B93915" w14:paraId="555B4FE1" w14:textId="77777777" w:rsidTr="007158DC">
        <w:trPr>
          <w:trHeight w:val="397"/>
          <w:jc w:val="center"/>
        </w:trPr>
        <w:tc>
          <w:tcPr>
            <w:tcW w:w="4600" w:type="dxa"/>
            <w:tcBorders>
              <w:bottom w:val="single" w:sz="4" w:space="0" w:color="BFBFBF" w:themeColor="background1" w:themeShade="BF"/>
            </w:tcBorders>
            <w:shd w:val="clear" w:color="auto" w:fill="auto"/>
            <w:vAlign w:val="center"/>
            <w:hideMark/>
          </w:tcPr>
          <w:p w14:paraId="13B36244"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Procuración de Justicia Federal</w:t>
            </w:r>
          </w:p>
        </w:tc>
        <w:tc>
          <w:tcPr>
            <w:tcW w:w="1921" w:type="dxa"/>
            <w:tcBorders>
              <w:left w:val="nil"/>
              <w:bottom w:val="single" w:sz="4" w:space="0" w:color="BFBFBF" w:themeColor="background1" w:themeShade="BF"/>
            </w:tcBorders>
            <w:shd w:val="clear" w:color="auto" w:fill="auto"/>
            <w:noWrap/>
            <w:vAlign w:val="center"/>
            <w:hideMark/>
          </w:tcPr>
          <w:p w14:paraId="5E2C33D9"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left w:val="nil"/>
              <w:bottom w:val="single" w:sz="4" w:space="0" w:color="BFBFBF" w:themeColor="background1" w:themeShade="BF"/>
            </w:tcBorders>
            <w:shd w:val="clear" w:color="auto" w:fill="auto"/>
            <w:noWrap/>
            <w:vAlign w:val="center"/>
            <w:hideMark/>
          </w:tcPr>
          <w:p w14:paraId="60CDE1C6" w14:textId="3C87C4E1" w:rsidR="00D5789C" w:rsidRPr="00B93915" w:rsidRDefault="00D5789C" w:rsidP="00260FA7">
            <w:pPr>
              <w:spacing w:after="0" w:line="240" w:lineRule="auto"/>
              <w:rPr>
                <w:rFonts w:ascii="Garamond" w:eastAsia="Times New Roman" w:hAnsi="Garamond" w:cs="Calibri"/>
                <w:color w:val="000000"/>
                <w:sz w:val="20"/>
                <w:szCs w:val="20"/>
                <w:lang w:eastAsia="es-MX"/>
              </w:rPr>
            </w:pPr>
          </w:p>
        </w:tc>
      </w:tr>
      <w:tr w:rsidR="00D5789C" w:rsidRPr="00B93915" w14:paraId="7784F883"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46E4CD6A"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Seguridad Pública Federal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2C64E1B"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CAF2E03"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r>
      <w:tr w:rsidR="00D5789C" w:rsidRPr="00B93915" w14:paraId="4A343363"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55C41103"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Sistema Penitenciario Federal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1CAEE9B"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r w:rsidRPr="00B93915">
              <w:rPr>
                <w:rFonts w:ascii="Garamond" w:eastAsia="Times New Roman" w:hAnsi="Garamond" w:cs="Times New Roman"/>
                <w:color w:val="202124"/>
                <w:sz w:val="20"/>
                <w:szCs w:val="20"/>
                <w:lang w:eastAsia="es-MX"/>
              </w:rPr>
              <w:t> </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1306F8C" w14:textId="3F98C49B"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r>
      <w:tr w:rsidR="00D5789C" w:rsidRPr="00B93915" w14:paraId="0FD070D3"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6A8C665C"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Impartición de Justicia Federal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2C4FA66"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9C6EF1F"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r>
      <w:tr w:rsidR="00D5789C" w:rsidRPr="00B93915" w14:paraId="552ABFE4"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6D2DCC75"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Derechos Humanos Federal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3848B95D" w14:textId="64A5468B"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8FBF675"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r>
      <w:tr w:rsidR="00D5789C" w:rsidRPr="00B93915" w14:paraId="6485AFC8"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68680E9F"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Procuración de Justicia Estatal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AD9B254"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7C9B151B" w14:textId="62BB321E"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30A08367"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07EEE930"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Impartición de Justicia Estatal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937A38A"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689D440" w14:textId="427E9180"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480F84FE"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0FF4780D"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Derechos Humanos Estatal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AD0D6F4"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8D32A6E" w14:textId="0CA0A4DC"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6CD8047E"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110E4347"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Sistemas Penitenciarios Estatales</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538F8E71"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5587046" w14:textId="09E138BC"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5250BF82"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1E1DE52C"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Gobiernos Estatales</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3C64A44"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491C009F" w14:textId="204A293D"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1794F980"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02FA68A9"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Seguridad Pública Estatal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6A74109D"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1AE5239" w14:textId="581CD1B1" w:rsidR="00D5789C" w:rsidRPr="00B93915" w:rsidRDefault="00D5789C" w:rsidP="00260FA7">
            <w:pPr>
              <w:spacing w:after="0" w:line="240" w:lineRule="auto"/>
              <w:jc w:val="center"/>
              <w:rPr>
                <w:rFonts w:ascii="Garamond" w:eastAsia="Times New Roman" w:hAnsi="Garamond" w:cs="Times New Roman"/>
                <w:color w:val="000000"/>
                <w:sz w:val="20"/>
                <w:szCs w:val="20"/>
                <w:lang w:eastAsia="es-MX"/>
              </w:rPr>
            </w:pPr>
          </w:p>
        </w:tc>
      </w:tr>
      <w:tr w:rsidR="00D5789C" w:rsidRPr="00B93915" w14:paraId="69B796BB"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790AB135"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Censo Nacional de Gobierno Federal</w:t>
            </w:r>
          </w:p>
        </w:tc>
        <w:tc>
          <w:tcPr>
            <w:tcW w:w="192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07F6FE42"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c>
          <w:tcPr>
            <w:tcW w:w="1701"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14:paraId="2984E0FA"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Segoe UI Symbol" w:eastAsia="Times New Roman" w:hAnsi="Segoe UI Symbol" w:cs="Segoe UI Symbol"/>
                <w:color w:val="202124"/>
                <w:sz w:val="20"/>
                <w:szCs w:val="20"/>
                <w:lang w:eastAsia="es-MX"/>
              </w:rPr>
              <w:t>✔</w:t>
            </w:r>
          </w:p>
        </w:tc>
      </w:tr>
      <w:tr w:rsidR="00D5789C" w:rsidRPr="00B93915" w14:paraId="43CE2FE8"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0466E866"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Encuesta Nacional de Seguridad Pública Urbana</w:t>
            </w:r>
          </w:p>
        </w:tc>
        <w:tc>
          <w:tcPr>
            <w:tcW w:w="3622" w:type="dxa"/>
            <w:gridSpan w:val="2"/>
            <w:vMerge w:val="restart"/>
            <w:tcBorders>
              <w:left w:val="nil"/>
              <w:bottom w:val="single" w:sz="4" w:space="0" w:color="BFBFBF" w:themeColor="background1" w:themeShade="BF"/>
            </w:tcBorders>
            <w:shd w:val="clear" w:color="auto" w:fill="auto"/>
            <w:noWrap/>
            <w:vAlign w:val="center"/>
            <w:hideMark/>
          </w:tcPr>
          <w:p w14:paraId="239C7200" w14:textId="77777777" w:rsidR="00D5789C" w:rsidRPr="00B93915" w:rsidRDefault="00D5789C" w:rsidP="00260FA7">
            <w:pPr>
              <w:spacing w:after="0" w:line="240" w:lineRule="auto"/>
              <w:jc w:val="center"/>
              <w:rPr>
                <w:rFonts w:ascii="Garamond" w:eastAsia="Times New Roman" w:hAnsi="Garamond" w:cs="Times New Roman"/>
                <w:color w:val="202124"/>
                <w:sz w:val="20"/>
                <w:szCs w:val="20"/>
                <w:lang w:eastAsia="es-MX"/>
              </w:rPr>
            </w:pPr>
            <w:r w:rsidRPr="00B93915">
              <w:rPr>
                <w:rFonts w:ascii="Garamond" w:eastAsia="Times New Roman" w:hAnsi="Garamond" w:cs="Times New Roman"/>
                <w:color w:val="202124"/>
                <w:sz w:val="20"/>
                <w:szCs w:val="20"/>
                <w:lang w:eastAsia="es-MX"/>
              </w:rPr>
              <w:t>Sin identificación</w:t>
            </w:r>
          </w:p>
        </w:tc>
      </w:tr>
      <w:tr w:rsidR="00D5789C" w:rsidRPr="00B93915" w14:paraId="160321F0" w14:textId="77777777" w:rsidTr="007158DC">
        <w:trPr>
          <w:trHeight w:val="397"/>
          <w:jc w:val="center"/>
        </w:trPr>
        <w:tc>
          <w:tcPr>
            <w:tcW w:w="4600" w:type="dxa"/>
            <w:tcBorders>
              <w:top w:val="single" w:sz="4" w:space="0" w:color="BFBFBF" w:themeColor="background1" w:themeShade="BF"/>
              <w:bottom w:val="single" w:sz="4" w:space="0" w:color="BFBFBF" w:themeColor="background1" w:themeShade="BF"/>
            </w:tcBorders>
            <w:shd w:val="clear" w:color="auto" w:fill="auto"/>
            <w:vAlign w:val="center"/>
            <w:hideMark/>
          </w:tcPr>
          <w:p w14:paraId="161C84C5" w14:textId="77777777" w:rsidR="00D5789C" w:rsidRPr="00B93915" w:rsidRDefault="00D5789C" w:rsidP="00260FA7">
            <w:pPr>
              <w:spacing w:after="0" w:line="240" w:lineRule="auto"/>
              <w:rPr>
                <w:rFonts w:ascii="Garamond" w:eastAsia="Times New Roman" w:hAnsi="Garamond" w:cs="Times New Roman"/>
                <w:color w:val="000000"/>
                <w:sz w:val="20"/>
                <w:szCs w:val="20"/>
                <w:lang w:eastAsia="es-MX"/>
              </w:rPr>
            </w:pPr>
            <w:r w:rsidRPr="00B93915">
              <w:rPr>
                <w:rFonts w:ascii="Garamond" w:eastAsia="Times New Roman" w:hAnsi="Garamond" w:cs="Times New Roman"/>
                <w:color w:val="000000"/>
                <w:sz w:val="20"/>
                <w:szCs w:val="20"/>
                <w:lang w:eastAsia="es-MX"/>
              </w:rPr>
              <w:t>Encuesta Nacional de Ocupación y Empleo</w:t>
            </w:r>
          </w:p>
        </w:tc>
        <w:tc>
          <w:tcPr>
            <w:tcW w:w="3622" w:type="dxa"/>
            <w:gridSpan w:val="2"/>
            <w:vMerge/>
            <w:tcBorders>
              <w:top w:val="single" w:sz="4" w:space="0" w:color="BFBFBF" w:themeColor="background1" w:themeShade="BF"/>
              <w:left w:val="nil"/>
              <w:bottom w:val="single" w:sz="4" w:space="0" w:color="BFBFBF" w:themeColor="background1" w:themeShade="BF"/>
            </w:tcBorders>
            <w:vAlign w:val="center"/>
            <w:hideMark/>
          </w:tcPr>
          <w:p w14:paraId="24456A13" w14:textId="77777777" w:rsidR="00D5789C" w:rsidRPr="00B93915" w:rsidRDefault="00D5789C" w:rsidP="00260FA7">
            <w:pPr>
              <w:spacing w:after="0" w:line="240" w:lineRule="auto"/>
              <w:rPr>
                <w:rFonts w:ascii="Garamond" w:eastAsia="Times New Roman" w:hAnsi="Garamond" w:cs="Times New Roman"/>
                <w:color w:val="202124"/>
                <w:sz w:val="20"/>
                <w:szCs w:val="20"/>
                <w:lang w:eastAsia="es-MX"/>
              </w:rPr>
            </w:pPr>
          </w:p>
        </w:tc>
      </w:tr>
    </w:tbl>
    <w:p w14:paraId="59B6FB7A" w14:textId="0F975B3B" w:rsidR="002A45A5" w:rsidRPr="008219C9" w:rsidRDefault="008219C9" w:rsidP="00807F33">
      <w:pPr>
        <w:spacing w:after="0" w:line="240" w:lineRule="auto"/>
        <w:ind w:left="1276"/>
        <w:jc w:val="both"/>
        <w:rPr>
          <w:rFonts w:ascii="Garamond" w:hAnsi="Garamond"/>
          <w:sz w:val="18"/>
          <w:szCs w:val="18"/>
        </w:rPr>
      </w:pPr>
      <w:r w:rsidRPr="008219C9">
        <w:rPr>
          <w:rFonts w:ascii="Garamond" w:hAnsi="Garamond"/>
          <w:sz w:val="18"/>
          <w:szCs w:val="18"/>
        </w:rPr>
        <w:t xml:space="preserve">Fuente: </w:t>
      </w:r>
      <w:proofErr w:type="spellStart"/>
      <w:r w:rsidR="003279C4" w:rsidRPr="003279C4">
        <w:rPr>
          <w:rFonts w:ascii="Garamond" w:hAnsi="Garamond"/>
          <w:smallCaps/>
          <w:sz w:val="18"/>
          <w:szCs w:val="18"/>
        </w:rPr>
        <w:t>ssc</w:t>
      </w:r>
      <w:proofErr w:type="spellEnd"/>
      <w:r w:rsidRPr="008219C9">
        <w:rPr>
          <w:rFonts w:ascii="Garamond" w:hAnsi="Garamond"/>
          <w:sz w:val="18"/>
          <w:szCs w:val="18"/>
        </w:rPr>
        <w:t>.</w:t>
      </w:r>
    </w:p>
    <w:p w14:paraId="373643A9" w14:textId="1B50A2CD" w:rsidR="00CF46C4" w:rsidRDefault="000C19AF" w:rsidP="00964918">
      <w:pPr>
        <w:spacing w:before="240" w:line="240" w:lineRule="auto"/>
        <w:jc w:val="both"/>
        <w:rPr>
          <w:rFonts w:ascii="Garamond" w:hAnsi="Garamond"/>
        </w:rPr>
      </w:pPr>
      <w:r w:rsidRPr="000C19AF">
        <w:rPr>
          <w:rFonts w:ascii="Garamond" w:hAnsi="Garamond"/>
        </w:rPr>
        <w:t xml:space="preserve">Analizando la fuente de cambios, se puede observar que el 3.6% proviene de alguna evaluación u órgano colegiado del </w:t>
      </w:r>
      <w:proofErr w:type="spellStart"/>
      <w:r w:rsidRPr="00092D1A">
        <w:rPr>
          <w:rFonts w:ascii="Garamond" w:hAnsi="Garamond"/>
          <w:smallCaps/>
        </w:rPr>
        <w:t>snieg</w:t>
      </w:r>
      <w:proofErr w:type="spellEnd"/>
      <w:r w:rsidRPr="000C19AF">
        <w:rPr>
          <w:rFonts w:ascii="Garamond" w:hAnsi="Garamond"/>
        </w:rPr>
        <w:t xml:space="preserve">, respectivamente, 50% de cambios </w:t>
      </w:r>
      <w:r w:rsidR="0048516B">
        <w:rPr>
          <w:rFonts w:ascii="Garamond" w:hAnsi="Garamond"/>
        </w:rPr>
        <w:t>propuestos</w:t>
      </w:r>
      <w:r w:rsidRPr="000C19AF">
        <w:rPr>
          <w:rFonts w:ascii="Garamond" w:hAnsi="Garamond"/>
        </w:rPr>
        <w:t xml:space="preserve"> por personal del </w:t>
      </w:r>
      <w:proofErr w:type="spellStart"/>
      <w:r w:rsidR="00F81352" w:rsidRPr="00F81352">
        <w:rPr>
          <w:rFonts w:ascii="Garamond" w:hAnsi="Garamond"/>
          <w:smallCaps/>
        </w:rPr>
        <w:t>inegi</w:t>
      </w:r>
      <w:proofErr w:type="spellEnd"/>
      <w:r w:rsidRPr="000C19AF">
        <w:rPr>
          <w:rFonts w:ascii="Garamond" w:hAnsi="Garamond"/>
        </w:rPr>
        <w:t xml:space="preserve"> y 42.8% de </w:t>
      </w:r>
      <w:r w:rsidR="00EE1A6D">
        <w:rPr>
          <w:rFonts w:ascii="Garamond" w:hAnsi="Garamond"/>
        </w:rPr>
        <w:t xml:space="preserve">personas </w:t>
      </w:r>
      <w:r w:rsidRPr="000C19AF">
        <w:rPr>
          <w:rFonts w:ascii="Garamond" w:hAnsi="Garamond"/>
        </w:rPr>
        <w:t>usuari</w:t>
      </w:r>
      <w:r w:rsidR="00EE1A6D">
        <w:rPr>
          <w:rFonts w:ascii="Garamond" w:hAnsi="Garamond"/>
        </w:rPr>
        <w:t>a</w:t>
      </w:r>
      <w:r w:rsidRPr="000C19AF">
        <w:rPr>
          <w:rFonts w:ascii="Garamond" w:hAnsi="Garamond"/>
        </w:rPr>
        <w:t xml:space="preserve">s </w:t>
      </w:r>
      <w:r w:rsidR="00246CDC" w:rsidRPr="00B93915">
        <w:rPr>
          <w:rFonts w:ascii="Garamond" w:hAnsi="Garamond"/>
        </w:rPr>
        <w:t xml:space="preserve">(ver Figura </w:t>
      </w:r>
      <w:r w:rsidR="00631063">
        <w:rPr>
          <w:rFonts w:ascii="Garamond" w:hAnsi="Garamond"/>
        </w:rPr>
        <w:t>10</w:t>
      </w:r>
      <w:r w:rsidR="009614FD" w:rsidRPr="00B93915">
        <w:rPr>
          <w:rFonts w:ascii="Garamond" w:hAnsi="Garamond"/>
        </w:rPr>
        <w:t>)</w:t>
      </w:r>
      <w:r w:rsidR="00D62F10" w:rsidRPr="00B93915">
        <w:rPr>
          <w:rFonts w:ascii="Garamond" w:hAnsi="Garamond"/>
        </w:rPr>
        <w:t xml:space="preserve">. </w:t>
      </w:r>
      <w:r w:rsidR="001A2C00" w:rsidRPr="00B93915">
        <w:rPr>
          <w:rFonts w:ascii="Garamond" w:hAnsi="Garamond"/>
        </w:rPr>
        <w:t>Por otro lado, l</w:t>
      </w:r>
      <w:r w:rsidR="00F375D2" w:rsidRPr="00B93915">
        <w:rPr>
          <w:rFonts w:ascii="Garamond" w:hAnsi="Garamond"/>
        </w:rPr>
        <w:t xml:space="preserve">a mayoría de los cambios </w:t>
      </w:r>
      <w:r w:rsidR="003F68D5" w:rsidRPr="00B93915">
        <w:rPr>
          <w:rFonts w:ascii="Garamond" w:hAnsi="Garamond"/>
        </w:rPr>
        <w:t xml:space="preserve">registrados </w:t>
      </w:r>
      <w:r w:rsidR="006D072F" w:rsidRPr="00B93915">
        <w:rPr>
          <w:rFonts w:ascii="Garamond" w:hAnsi="Garamond"/>
        </w:rPr>
        <w:t xml:space="preserve">(68.2%) </w:t>
      </w:r>
      <w:r w:rsidR="003E0983" w:rsidRPr="00B93915">
        <w:rPr>
          <w:rFonts w:ascii="Garamond" w:hAnsi="Garamond"/>
        </w:rPr>
        <w:t>afectaron</w:t>
      </w:r>
      <w:r w:rsidR="00EF600F" w:rsidRPr="00B93915">
        <w:rPr>
          <w:rFonts w:ascii="Garamond" w:hAnsi="Garamond"/>
        </w:rPr>
        <w:t xml:space="preserve"> e</w:t>
      </w:r>
      <w:r w:rsidR="00A05C17" w:rsidRPr="00B93915">
        <w:rPr>
          <w:rFonts w:ascii="Garamond" w:hAnsi="Garamond"/>
        </w:rPr>
        <w:t xml:space="preserve">l diseño conceptual </w:t>
      </w:r>
      <w:r w:rsidR="00EF600F" w:rsidRPr="00B93915">
        <w:rPr>
          <w:rFonts w:ascii="Garamond" w:hAnsi="Garamond"/>
        </w:rPr>
        <w:t xml:space="preserve">de los procesos de producción </w:t>
      </w:r>
      <w:r w:rsidR="00A05C17" w:rsidRPr="00B93915">
        <w:rPr>
          <w:rFonts w:ascii="Garamond" w:hAnsi="Garamond"/>
        </w:rPr>
        <w:t xml:space="preserve">(ver </w:t>
      </w:r>
      <w:r w:rsidR="001C10F0" w:rsidRPr="00B93915">
        <w:rPr>
          <w:rFonts w:ascii="Garamond" w:hAnsi="Garamond"/>
        </w:rPr>
        <w:t>Figura</w:t>
      </w:r>
      <w:r w:rsidR="00A05C17" w:rsidRPr="00B93915">
        <w:rPr>
          <w:rFonts w:ascii="Garamond" w:hAnsi="Garamond"/>
        </w:rPr>
        <w:t xml:space="preserve"> </w:t>
      </w:r>
      <w:r w:rsidR="00631063">
        <w:rPr>
          <w:rFonts w:ascii="Garamond" w:hAnsi="Garamond"/>
        </w:rPr>
        <w:t>11</w:t>
      </w:r>
      <w:r w:rsidR="00A05C17" w:rsidRPr="00B93915">
        <w:rPr>
          <w:rFonts w:ascii="Garamond" w:hAnsi="Garamond"/>
        </w:rPr>
        <w:t>).</w:t>
      </w:r>
    </w:p>
    <w:p w14:paraId="1C0C1114" w14:textId="17CD26C2" w:rsidR="009A7C01" w:rsidRDefault="009A7C01">
      <w:pPr>
        <w:rPr>
          <w:rFonts w:ascii="Garamond" w:hAnsi="Garamond"/>
        </w:rPr>
      </w:pPr>
      <w:r>
        <w:rPr>
          <w:rFonts w:ascii="Garamond" w:hAnsi="Garamond"/>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222"/>
        <w:gridCol w:w="5688"/>
      </w:tblGrid>
      <w:tr w:rsidR="009614FD" w:rsidRPr="00B93915" w14:paraId="018871D4" w14:textId="77777777" w:rsidTr="005E47BD">
        <w:trPr>
          <w:trHeight w:val="284"/>
        </w:trPr>
        <w:tc>
          <w:tcPr>
            <w:tcW w:w="4890" w:type="dxa"/>
            <w:shd w:val="clear" w:color="auto" w:fill="auto"/>
          </w:tcPr>
          <w:p w14:paraId="7DE2C355" w14:textId="10CCDD6D" w:rsidR="0005396D" w:rsidRPr="00B93915" w:rsidRDefault="00826CD1" w:rsidP="0005396D">
            <w:pPr>
              <w:jc w:val="center"/>
              <w:rPr>
                <w:rFonts w:ascii="Garamond" w:hAnsi="Garamond"/>
                <w:b/>
                <w:bCs/>
              </w:rPr>
            </w:pPr>
            <w:r w:rsidRPr="00B93915">
              <w:rPr>
                <w:rFonts w:ascii="Garamond" w:hAnsi="Garamond"/>
                <w:b/>
                <w:bCs/>
              </w:rPr>
              <w:lastRenderedPageBreak/>
              <w:t xml:space="preserve">Figura </w:t>
            </w:r>
            <w:r w:rsidR="00631063">
              <w:rPr>
                <w:rFonts w:ascii="Garamond" w:hAnsi="Garamond"/>
                <w:b/>
                <w:bCs/>
              </w:rPr>
              <w:t>10</w:t>
            </w:r>
            <w:r w:rsidR="0005396D" w:rsidRPr="00B93915">
              <w:rPr>
                <w:rFonts w:ascii="Garamond" w:hAnsi="Garamond"/>
                <w:b/>
                <w:bCs/>
              </w:rPr>
              <w:t xml:space="preserve">. Origen del </w:t>
            </w:r>
            <w:r w:rsidR="0040052E" w:rsidRPr="00B93915">
              <w:rPr>
                <w:rFonts w:ascii="Garamond" w:hAnsi="Garamond"/>
                <w:b/>
                <w:bCs/>
              </w:rPr>
              <w:t>c</w:t>
            </w:r>
            <w:r w:rsidR="0005396D" w:rsidRPr="00B93915">
              <w:rPr>
                <w:rFonts w:ascii="Garamond" w:hAnsi="Garamond"/>
                <w:b/>
                <w:bCs/>
              </w:rPr>
              <w:t>ambio</w:t>
            </w:r>
          </w:p>
        </w:tc>
        <w:tc>
          <w:tcPr>
            <w:tcW w:w="222" w:type="dxa"/>
            <w:shd w:val="clear" w:color="auto" w:fill="auto"/>
          </w:tcPr>
          <w:p w14:paraId="3604E80F" w14:textId="77777777" w:rsidR="0005396D" w:rsidRPr="00B93915" w:rsidRDefault="0005396D" w:rsidP="0005396D">
            <w:pPr>
              <w:jc w:val="center"/>
              <w:rPr>
                <w:rFonts w:ascii="Garamond" w:hAnsi="Garamond"/>
                <w:b/>
                <w:bCs/>
              </w:rPr>
            </w:pPr>
          </w:p>
        </w:tc>
        <w:tc>
          <w:tcPr>
            <w:tcW w:w="5688" w:type="dxa"/>
            <w:shd w:val="clear" w:color="auto" w:fill="auto"/>
          </w:tcPr>
          <w:p w14:paraId="7F6C871D" w14:textId="23BAC27E" w:rsidR="0005396D" w:rsidRPr="00B93915" w:rsidRDefault="00826CD1" w:rsidP="0005396D">
            <w:pPr>
              <w:jc w:val="center"/>
              <w:rPr>
                <w:rFonts w:ascii="Garamond" w:hAnsi="Garamond"/>
                <w:b/>
                <w:bCs/>
              </w:rPr>
            </w:pPr>
            <w:r w:rsidRPr="00B93915">
              <w:rPr>
                <w:rFonts w:ascii="Garamond" w:hAnsi="Garamond"/>
                <w:b/>
                <w:bCs/>
              </w:rPr>
              <w:t xml:space="preserve">Figura </w:t>
            </w:r>
            <w:r w:rsidR="00631063">
              <w:rPr>
                <w:rFonts w:ascii="Garamond" w:hAnsi="Garamond"/>
                <w:b/>
                <w:bCs/>
              </w:rPr>
              <w:t>11</w:t>
            </w:r>
            <w:r w:rsidR="00615141" w:rsidRPr="00B93915">
              <w:rPr>
                <w:rFonts w:ascii="Garamond" w:hAnsi="Garamond"/>
                <w:b/>
                <w:bCs/>
              </w:rPr>
              <w:t>.</w:t>
            </w:r>
            <w:r w:rsidR="0005396D" w:rsidRPr="00B93915">
              <w:rPr>
                <w:rFonts w:ascii="Garamond" w:hAnsi="Garamond"/>
                <w:b/>
                <w:bCs/>
              </w:rPr>
              <w:t xml:space="preserve"> Modificaciones realizadas</w:t>
            </w:r>
          </w:p>
        </w:tc>
      </w:tr>
      <w:tr w:rsidR="000E3828" w:rsidRPr="00395213" w14:paraId="53245A07" w14:textId="77777777" w:rsidTr="005E47BD">
        <w:tblPrEx>
          <w:tblCellMar>
            <w:left w:w="70" w:type="dxa"/>
            <w:right w:w="70" w:type="dxa"/>
          </w:tblCellMar>
        </w:tblPrEx>
        <w:trPr>
          <w:trHeight w:val="284"/>
        </w:trPr>
        <w:tc>
          <w:tcPr>
            <w:tcW w:w="4890" w:type="dxa"/>
            <w:shd w:val="clear" w:color="auto" w:fill="auto"/>
            <w:vAlign w:val="center"/>
          </w:tcPr>
          <w:p w14:paraId="56DB31C4" w14:textId="7D1E532A" w:rsidR="0005396D" w:rsidRPr="009614FD" w:rsidRDefault="00016FC8" w:rsidP="0005396D">
            <w:pPr>
              <w:jc w:val="both"/>
              <w:rPr>
                <w:rFonts w:ascii="Garamond" w:hAnsi="Garamond"/>
                <w:sz w:val="21"/>
                <w:szCs w:val="21"/>
              </w:rPr>
            </w:pPr>
            <w:r w:rsidRPr="009614FD">
              <w:rPr>
                <w:noProof/>
              </w:rPr>
              <w:drawing>
                <wp:inline distT="0" distB="0" distL="0" distR="0" wp14:anchorId="0F697443" wp14:editId="2C134787">
                  <wp:extent cx="3018081" cy="1974656"/>
                  <wp:effectExtent l="0" t="0" r="0" b="6985"/>
                  <wp:docPr id="1459512230" name="Gráfico 1">
                    <a:extLst xmlns:a="http://schemas.openxmlformats.org/drawingml/2006/main">
                      <a:ext uri="{FF2B5EF4-FFF2-40B4-BE49-F238E27FC236}">
                        <a16:creationId xmlns:a16="http://schemas.microsoft.com/office/drawing/2014/main" id="{2A0F52FB-BB1A-F3E0-3B2E-7CA9A06C9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22" w:type="dxa"/>
            <w:shd w:val="clear" w:color="auto" w:fill="auto"/>
          </w:tcPr>
          <w:p w14:paraId="707CE13B" w14:textId="77777777" w:rsidR="0005396D" w:rsidRPr="009614FD" w:rsidRDefault="0005396D" w:rsidP="0005396D">
            <w:pPr>
              <w:jc w:val="both"/>
              <w:rPr>
                <w:rFonts w:ascii="Garamond" w:hAnsi="Garamond"/>
                <w:sz w:val="21"/>
                <w:szCs w:val="21"/>
              </w:rPr>
            </w:pPr>
          </w:p>
        </w:tc>
        <w:tc>
          <w:tcPr>
            <w:tcW w:w="5688" w:type="dxa"/>
            <w:shd w:val="clear" w:color="auto" w:fill="auto"/>
            <w:vAlign w:val="center"/>
          </w:tcPr>
          <w:p w14:paraId="32110CC9" w14:textId="7A873179" w:rsidR="0005396D" w:rsidRPr="00395213" w:rsidRDefault="006B7759" w:rsidP="0005396D">
            <w:pPr>
              <w:jc w:val="both"/>
              <w:rPr>
                <w:rFonts w:ascii="Garamond" w:hAnsi="Garamond"/>
                <w:sz w:val="21"/>
                <w:szCs w:val="21"/>
              </w:rPr>
            </w:pPr>
            <w:r w:rsidRPr="009614FD">
              <w:rPr>
                <w:noProof/>
              </w:rPr>
              <w:drawing>
                <wp:inline distT="0" distB="0" distL="0" distR="0" wp14:anchorId="2F81E951" wp14:editId="57DD09B0">
                  <wp:extent cx="3517175" cy="2148559"/>
                  <wp:effectExtent l="0" t="0" r="7620" b="4445"/>
                  <wp:docPr id="235374727" name="Gráfico 1">
                    <a:extLst xmlns:a="http://schemas.openxmlformats.org/drawingml/2006/main">
                      <a:ext uri="{FF2B5EF4-FFF2-40B4-BE49-F238E27FC236}">
                        <a16:creationId xmlns:a16="http://schemas.microsoft.com/office/drawing/2014/main" id="{6B3CB70D-539B-523A-7814-8C4985CE35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24DE228C" w14:textId="17F2CA0C" w:rsidR="6CAF7C94" w:rsidRDefault="00615451" w:rsidP="00631063">
      <w:pPr>
        <w:spacing w:before="240"/>
        <w:jc w:val="both"/>
        <w:rPr>
          <w:rFonts w:ascii="Garamond" w:hAnsi="Garamond"/>
        </w:rPr>
      </w:pPr>
      <w:r w:rsidRPr="00B93915">
        <w:rPr>
          <w:rFonts w:ascii="Garamond" w:hAnsi="Garamond"/>
        </w:rPr>
        <w:t xml:space="preserve">Por último, es importante mencionar que la única prueba estadística </w:t>
      </w:r>
      <w:r w:rsidR="00140863" w:rsidRPr="00B93915">
        <w:rPr>
          <w:rFonts w:ascii="Garamond" w:hAnsi="Garamond"/>
        </w:rPr>
        <w:t>registrada en 2023 correspondió a</w:t>
      </w:r>
      <w:r w:rsidR="00EA04A5" w:rsidRPr="00B93915">
        <w:rPr>
          <w:rFonts w:ascii="Garamond" w:hAnsi="Garamond"/>
        </w:rPr>
        <w:t xml:space="preserve">l análisis del efecto de </w:t>
      </w:r>
      <w:r w:rsidR="00935274" w:rsidRPr="00B93915">
        <w:rPr>
          <w:rFonts w:ascii="Garamond" w:hAnsi="Garamond"/>
        </w:rPr>
        <w:t>la aplicación simultánea de</w:t>
      </w:r>
      <w:r w:rsidR="00EA04A5" w:rsidRPr="00B93915">
        <w:rPr>
          <w:rFonts w:ascii="Garamond" w:hAnsi="Garamond"/>
        </w:rPr>
        <w:t xml:space="preserve"> entrevistas telefónicas </w:t>
      </w:r>
      <w:r w:rsidR="00935274" w:rsidRPr="00B93915">
        <w:rPr>
          <w:rFonts w:ascii="Garamond" w:hAnsi="Garamond"/>
        </w:rPr>
        <w:t>y</w:t>
      </w:r>
      <w:r w:rsidR="00EA04A5" w:rsidRPr="00B93915">
        <w:rPr>
          <w:rFonts w:ascii="Garamond" w:hAnsi="Garamond"/>
        </w:rPr>
        <w:t xml:space="preserve"> entrevistas cara a cara en la Encuesta Nacional de Ocupación y Empleo.</w:t>
      </w:r>
    </w:p>
    <w:p w14:paraId="7CEB9F73" w14:textId="15F909CB" w:rsidR="00102372" w:rsidRDefault="00BC7CAB" w:rsidP="00631063">
      <w:pPr>
        <w:spacing w:before="240"/>
        <w:jc w:val="both"/>
        <w:rPr>
          <w:rFonts w:ascii="Garamond" w:hAnsi="Garamond"/>
        </w:rPr>
      </w:pPr>
      <w:r>
        <w:rPr>
          <w:rFonts w:ascii="Garamond" w:hAnsi="Garamond"/>
        </w:rPr>
        <w:t>Cabe señalar que se ha</w:t>
      </w:r>
      <w:r w:rsidR="005134C9">
        <w:rPr>
          <w:rFonts w:ascii="Garamond" w:hAnsi="Garamond"/>
        </w:rPr>
        <w:t>n</w:t>
      </w:r>
      <w:r>
        <w:rPr>
          <w:rFonts w:ascii="Garamond" w:hAnsi="Garamond"/>
        </w:rPr>
        <w:t xml:space="preserve"> detectado cambios </w:t>
      </w:r>
      <w:r w:rsidR="005F7954">
        <w:rPr>
          <w:rFonts w:ascii="Garamond" w:hAnsi="Garamond"/>
        </w:rPr>
        <w:t xml:space="preserve">al diseño de los procesos de producción </w:t>
      </w:r>
      <w:r>
        <w:rPr>
          <w:rFonts w:ascii="Garamond" w:hAnsi="Garamond"/>
        </w:rPr>
        <w:t xml:space="preserve">que no </w:t>
      </w:r>
      <w:r w:rsidR="00792E5B">
        <w:rPr>
          <w:rFonts w:ascii="Garamond" w:hAnsi="Garamond"/>
        </w:rPr>
        <w:t xml:space="preserve">han sido </w:t>
      </w:r>
      <w:r w:rsidR="005F7954">
        <w:rPr>
          <w:rFonts w:ascii="Garamond" w:hAnsi="Garamond"/>
        </w:rPr>
        <w:t>registra</w:t>
      </w:r>
      <w:r w:rsidR="00792E5B">
        <w:rPr>
          <w:rFonts w:ascii="Garamond" w:hAnsi="Garamond"/>
        </w:rPr>
        <w:t>dos</w:t>
      </w:r>
      <w:r w:rsidR="005F7954">
        <w:rPr>
          <w:rFonts w:ascii="Garamond" w:hAnsi="Garamond"/>
        </w:rPr>
        <w:t xml:space="preserve"> en el </w:t>
      </w:r>
      <w:proofErr w:type="spellStart"/>
      <w:r w:rsidR="003071FA" w:rsidRPr="003071FA">
        <w:rPr>
          <w:rFonts w:ascii="Garamond" w:hAnsi="Garamond"/>
          <w:smallCaps/>
        </w:rPr>
        <w:t>ssc</w:t>
      </w:r>
      <w:proofErr w:type="spellEnd"/>
      <w:r w:rsidR="005F7954">
        <w:rPr>
          <w:rFonts w:ascii="Garamond" w:hAnsi="Garamond"/>
        </w:rPr>
        <w:t xml:space="preserve">. </w:t>
      </w:r>
      <w:r w:rsidR="00223785">
        <w:rPr>
          <w:rFonts w:ascii="Garamond" w:hAnsi="Garamond"/>
        </w:rPr>
        <w:t>Por ejemplo, e</w:t>
      </w:r>
      <w:r w:rsidR="002B5F71">
        <w:rPr>
          <w:rFonts w:ascii="Garamond" w:hAnsi="Garamond"/>
        </w:rPr>
        <w:t xml:space="preserve">n 2023 </w:t>
      </w:r>
      <w:r w:rsidR="00825957">
        <w:rPr>
          <w:rFonts w:ascii="Garamond" w:hAnsi="Garamond"/>
        </w:rPr>
        <w:t xml:space="preserve">se realizaron cinco consultas públicas </w:t>
      </w:r>
      <w:r w:rsidR="00F77FDA">
        <w:rPr>
          <w:rFonts w:ascii="Garamond" w:hAnsi="Garamond"/>
        </w:rPr>
        <w:t xml:space="preserve">de las </w:t>
      </w:r>
      <w:r w:rsidR="00792E5B">
        <w:rPr>
          <w:rFonts w:ascii="Garamond" w:hAnsi="Garamond"/>
        </w:rPr>
        <w:t>que</w:t>
      </w:r>
      <w:r w:rsidR="00F77FDA">
        <w:rPr>
          <w:rFonts w:ascii="Garamond" w:hAnsi="Garamond"/>
        </w:rPr>
        <w:t xml:space="preserve"> </w:t>
      </w:r>
      <w:r w:rsidR="00884A49">
        <w:rPr>
          <w:rFonts w:ascii="Garamond" w:hAnsi="Garamond"/>
        </w:rPr>
        <w:t>se derivaron cambios</w:t>
      </w:r>
      <w:r w:rsidR="001A674F">
        <w:rPr>
          <w:rFonts w:ascii="Garamond" w:hAnsi="Garamond"/>
        </w:rPr>
        <w:t xml:space="preserve"> </w:t>
      </w:r>
      <w:r w:rsidR="0017218D">
        <w:rPr>
          <w:rFonts w:ascii="Garamond" w:hAnsi="Garamond"/>
        </w:rPr>
        <w:t xml:space="preserve">que </w:t>
      </w:r>
      <w:r w:rsidR="00D71E7A">
        <w:rPr>
          <w:rFonts w:ascii="Garamond" w:hAnsi="Garamond"/>
        </w:rPr>
        <w:t xml:space="preserve">a la fecha están ausentes </w:t>
      </w:r>
      <w:r w:rsidR="009E5B76">
        <w:rPr>
          <w:rFonts w:ascii="Garamond" w:hAnsi="Garamond"/>
        </w:rPr>
        <w:t xml:space="preserve">en el </w:t>
      </w:r>
      <w:proofErr w:type="spellStart"/>
      <w:r w:rsidR="009B6CFC" w:rsidRPr="009B6CFC">
        <w:rPr>
          <w:rFonts w:ascii="Garamond" w:hAnsi="Garamond"/>
          <w:smallCaps/>
        </w:rPr>
        <w:t>ssc</w:t>
      </w:r>
      <w:proofErr w:type="spellEnd"/>
      <w:r w:rsidR="00257A3A">
        <w:rPr>
          <w:rFonts w:ascii="Garamond" w:hAnsi="Garamond"/>
        </w:rPr>
        <w:t xml:space="preserve"> (ver </w:t>
      </w:r>
      <w:r w:rsidR="00861191">
        <w:rPr>
          <w:rFonts w:ascii="Garamond" w:hAnsi="Garamond"/>
        </w:rPr>
        <w:t>T</w:t>
      </w:r>
      <w:r w:rsidR="00257A3A">
        <w:rPr>
          <w:rFonts w:ascii="Garamond" w:hAnsi="Garamond"/>
        </w:rPr>
        <w:t>abla 1</w:t>
      </w:r>
      <w:r w:rsidR="00861191">
        <w:rPr>
          <w:rFonts w:ascii="Garamond" w:hAnsi="Garamond"/>
        </w:rPr>
        <w:t>4</w:t>
      </w:r>
      <w:r w:rsidR="00257A3A">
        <w:rPr>
          <w:rFonts w:ascii="Garamond" w:hAnsi="Garamond"/>
        </w:rPr>
        <w:t>).</w:t>
      </w:r>
      <w:r w:rsidR="007C6F82">
        <w:rPr>
          <w:rFonts w:ascii="Garamond" w:hAnsi="Garamond"/>
        </w:rPr>
        <w:t xml:space="preserve"> Lo anterior </w:t>
      </w:r>
      <w:r w:rsidR="00802145">
        <w:rPr>
          <w:rFonts w:ascii="Garamond" w:hAnsi="Garamond"/>
        </w:rPr>
        <w:t xml:space="preserve">demanda </w:t>
      </w:r>
      <w:r w:rsidR="00BA5DA2">
        <w:rPr>
          <w:rFonts w:ascii="Garamond" w:hAnsi="Garamond"/>
        </w:rPr>
        <w:t xml:space="preserve">la </w:t>
      </w:r>
      <w:r w:rsidR="00A7735D">
        <w:rPr>
          <w:rFonts w:ascii="Garamond" w:hAnsi="Garamond"/>
        </w:rPr>
        <w:t xml:space="preserve">coordinación entre las áreas </w:t>
      </w:r>
      <w:r w:rsidR="0066239E">
        <w:rPr>
          <w:rFonts w:ascii="Garamond" w:hAnsi="Garamond"/>
        </w:rPr>
        <w:t xml:space="preserve">competentes para </w:t>
      </w:r>
      <w:r w:rsidR="00E56EBE">
        <w:rPr>
          <w:rFonts w:ascii="Garamond" w:hAnsi="Garamond"/>
        </w:rPr>
        <w:t xml:space="preserve">vincular </w:t>
      </w:r>
      <w:r w:rsidR="00816942">
        <w:rPr>
          <w:rFonts w:ascii="Garamond" w:hAnsi="Garamond"/>
        </w:rPr>
        <w:t>oportunamente</w:t>
      </w:r>
      <w:r w:rsidR="00512E56">
        <w:rPr>
          <w:rFonts w:ascii="Garamond" w:hAnsi="Garamond"/>
        </w:rPr>
        <w:t xml:space="preserve"> las consultas públicas y </w:t>
      </w:r>
      <w:r w:rsidR="00CB66D7">
        <w:rPr>
          <w:rFonts w:ascii="Garamond" w:hAnsi="Garamond"/>
        </w:rPr>
        <w:t>el registro de cambios.</w:t>
      </w:r>
    </w:p>
    <w:p w14:paraId="66C2E522" w14:textId="0CE99BFE" w:rsidR="00257A3A" w:rsidRPr="00B93915" w:rsidRDefault="00257A3A" w:rsidP="00257A3A">
      <w:pPr>
        <w:shd w:val="clear" w:color="auto" w:fill="FFFFFF" w:themeFill="background1"/>
        <w:spacing w:after="0"/>
        <w:jc w:val="center"/>
        <w:rPr>
          <w:rFonts w:ascii="Garamond" w:hAnsi="Garamond"/>
        </w:rPr>
      </w:pPr>
      <w:r w:rsidRPr="00B93915">
        <w:rPr>
          <w:rFonts w:ascii="Garamond" w:hAnsi="Garamond"/>
          <w:b/>
        </w:rPr>
        <w:t>Tabla 1</w:t>
      </w:r>
      <w:r w:rsidR="00861191">
        <w:rPr>
          <w:rFonts w:ascii="Garamond" w:hAnsi="Garamond"/>
          <w:b/>
        </w:rPr>
        <w:t>4</w:t>
      </w:r>
      <w:r w:rsidRPr="00B93915">
        <w:rPr>
          <w:rFonts w:ascii="Garamond" w:hAnsi="Garamond"/>
          <w:b/>
        </w:rPr>
        <w:t xml:space="preserve">. </w:t>
      </w:r>
      <w:r w:rsidR="001F22A0">
        <w:rPr>
          <w:rFonts w:ascii="Garamond" w:hAnsi="Garamond"/>
          <w:b/>
        </w:rPr>
        <w:t xml:space="preserve">Acuerdos </w:t>
      </w:r>
      <w:r w:rsidR="00CC5A8D">
        <w:rPr>
          <w:rFonts w:ascii="Garamond" w:hAnsi="Garamond"/>
          <w:b/>
        </w:rPr>
        <w:t>de la Junta de Gobierno para c</w:t>
      </w:r>
      <w:r>
        <w:rPr>
          <w:rFonts w:ascii="Garamond" w:hAnsi="Garamond"/>
          <w:b/>
        </w:rPr>
        <w:t xml:space="preserve">onsultas públicas </w:t>
      </w:r>
      <w:r w:rsidR="009B7B5A">
        <w:rPr>
          <w:rFonts w:ascii="Garamond" w:hAnsi="Garamond"/>
          <w:b/>
        </w:rPr>
        <w:t>de</w:t>
      </w:r>
      <w:r w:rsidR="001F22A0">
        <w:rPr>
          <w:rFonts w:ascii="Garamond" w:hAnsi="Garamond"/>
          <w:b/>
        </w:rPr>
        <w:t xml:space="preserve"> 2023</w:t>
      </w:r>
    </w:p>
    <w:tbl>
      <w:tblPr>
        <w:tblW w:w="10961" w:type="dxa"/>
        <w:jc w:val="center"/>
        <w:tblBorders>
          <w:bottom w:val="single" w:sz="8" w:space="0" w:color="D9D9D9" w:themeColor="background1" w:themeShade="D9"/>
          <w:insideH w:val="single" w:sz="8" w:space="0" w:color="D9D9D9" w:themeColor="background1" w:themeShade="D9"/>
        </w:tblBorders>
        <w:tblCellMar>
          <w:left w:w="0" w:type="dxa"/>
          <w:right w:w="0" w:type="dxa"/>
        </w:tblCellMar>
        <w:tblLook w:val="04A0" w:firstRow="1" w:lastRow="0" w:firstColumn="1" w:lastColumn="0" w:noHBand="0" w:noVBand="1"/>
      </w:tblPr>
      <w:tblGrid>
        <w:gridCol w:w="7088"/>
        <w:gridCol w:w="3873"/>
      </w:tblGrid>
      <w:tr w:rsidR="002B5F71" w14:paraId="5F8545D4" w14:textId="77777777" w:rsidTr="00F229F5">
        <w:trPr>
          <w:trHeight w:val="531"/>
          <w:jc w:val="center"/>
        </w:trPr>
        <w:tc>
          <w:tcPr>
            <w:tcW w:w="7088" w:type="dxa"/>
            <w:tcBorders>
              <w:bottom w:val="single" w:sz="4" w:space="0" w:color="BFBFBF" w:themeColor="background1" w:themeShade="BF"/>
            </w:tcBorders>
            <w:shd w:val="clear" w:color="auto" w:fill="002060"/>
            <w:tcMar>
              <w:top w:w="0" w:type="dxa"/>
              <w:left w:w="108" w:type="dxa"/>
              <w:bottom w:w="0" w:type="dxa"/>
              <w:right w:w="108" w:type="dxa"/>
            </w:tcMar>
            <w:vAlign w:val="center"/>
            <w:hideMark/>
          </w:tcPr>
          <w:p w14:paraId="44956321" w14:textId="77777777" w:rsidR="002B5F71" w:rsidRPr="007131BA" w:rsidRDefault="002B5F71">
            <w:pPr>
              <w:pStyle w:val="NormalWeb"/>
              <w:jc w:val="center"/>
              <w:rPr>
                <w:rFonts w:ascii="Garamond" w:hAnsi="Garamond"/>
                <w:b/>
                <w:color w:val="FFFFFF" w:themeColor="background1"/>
                <w:lang w:val="es-MX"/>
              </w:rPr>
            </w:pPr>
            <w:r w:rsidRPr="007131BA">
              <w:rPr>
                <w:rFonts w:ascii="Garamond" w:hAnsi="Garamond" w:cs="Arial"/>
                <w:b/>
                <w:color w:val="FFFFFF" w:themeColor="background1"/>
                <w:sz w:val="20"/>
                <w:szCs w:val="20"/>
                <w:lang w:val="es-MX"/>
              </w:rPr>
              <w:t>Acuerdo</w:t>
            </w:r>
          </w:p>
        </w:tc>
        <w:tc>
          <w:tcPr>
            <w:tcW w:w="3873" w:type="dxa"/>
            <w:tcBorders>
              <w:bottom w:val="single" w:sz="4" w:space="0" w:color="BFBFBF" w:themeColor="background1" w:themeShade="BF"/>
            </w:tcBorders>
            <w:shd w:val="clear" w:color="auto" w:fill="002060"/>
            <w:tcMar>
              <w:top w:w="0" w:type="dxa"/>
              <w:left w:w="108" w:type="dxa"/>
              <w:bottom w:w="0" w:type="dxa"/>
              <w:right w:w="108" w:type="dxa"/>
            </w:tcMar>
            <w:vAlign w:val="center"/>
            <w:hideMark/>
          </w:tcPr>
          <w:p w14:paraId="15830C8D" w14:textId="46CDE67B" w:rsidR="002B5F71" w:rsidRPr="007131BA" w:rsidRDefault="002B5F71" w:rsidP="009B7B5A">
            <w:pPr>
              <w:pStyle w:val="NormalWeb"/>
              <w:jc w:val="center"/>
              <w:rPr>
                <w:rFonts w:ascii="Garamond" w:hAnsi="Garamond" w:cs="Arial"/>
                <w:b/>
                <w:color w:val="FFFFFF" w:themeColor="background1"/>
                <w:sz w:val="20"/>
                <w:szCs w:val="20"/>
                <w:lang w:val="es-MX"/>
              </w:rPr>
            </w:pPr>
            <w:r w:rsidRPr="007131BA">
              <w:rPr>
                <w:rFonts w:ascii="Garamond" w:hAnsi="Garamond" w:cs="Arial"/>
                <w:b/>
                <w:color w:val="FFFFFF" w:themeColor="background1"/>
                <w:sz w:val="20"/>
                <w:szCs w:val="20"/>
                <w:lang w:val="es-MX"/>
              </w:rPr>
              <w:t xml:space="preserve">Sesión de Junta de Gobierno </w:t>
            </w:r>
            <w:r w:rsidR="009B7B5A" w:rsidRPr="007131BA">
              <w:rPr>
                <w:rFonts w:ascii="Garamond" w:hAnsi="Garamond" w:cs="Arial"/>
                <w:b/>
                <w:color w:val="FFFFFF" w:themeColor="background1"/>
                <w:sz w:val="20"/>
                <w:szCs w:val="20"/>
                <w:lang w:val="es-MX"/>
              </w:rPr>
              <w:br/>
            </w:r>
            <w:r w:rsidRPr="007131BA">
              <w:rPr>
                <w:rFonts w:ascii="Garamond" w:hAnsi="Garamond" w:cs="Arial"/>
                <w:b/>
                <w:color w:val="FFFFFF" w:themeColor="background1"/>
                <w:sz w:val="20"/>
                <w:szCs w:val="20"/>
                <w:lang w:val="es-MX"/>
              </w:rPr>
              <w:t>y</w:t>
            </w:r>
            <w:r w:rsidR="009B7B5A" w:rsidRPr="007131BA">
              <w:rPr>
                <w:rFonts w:ascii="Garamond" w:hAnsi="Garamond" w:cs="Arial"/>
                <w:b/>
                <w:color w:val="FFFFFF" w:themeColor="background1"/>
                <w:sz w:val="20"/>
                <w:szCs w:val="20"/>
                <w:lang w:val="es-MX"/>
              </w:rPr>
              <w:t xml:space="preserve"> </w:t>
            </w:r>
            <w:r w:rsidRPr="007131BA">
              <w:rPr>
                <w:rFonts w:ascii="Garamond" w:hAnsi="Garamond" w:cs="Arial"/>
                <w:b/>
                <w:color w:val="FFFFFF" w:themeColor="background1"/>
                <w:sz w:val="20"/>
                <w:szCs w:val="20"/>
                <w:lang w:val="es-MX"/>
              </w:rPr>
              <w:t>fecha de celebración</w:t>
            </w:r>
          </w:p>
        </w:tc>
      </w:tr>
      <w:tr w:rsidR="002B5F71" w14:paraId="6B6C6046" w14:textId="77777777" w:rsidTr="00224CC8">
        <w:trPr>
          <w:trHeight w:val="531"/>
          <w:jc w:val="center"/>
        </w:trPr>
        <w:tc>
          <w:tcPr>
            <w:tcW w:w="7088"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16D4B03B" w14:textId="3C0F1B33" w:rsidR="002B5F71" w:rsidRPr="009B7B5A" w:rsidRDefault="002B5F71" w:rsidP="00224CC8">
            <w:pPr>
              <w:pStyle w:val="NormalWeb"/>
              <w:rPr>
                <w:rFonts w:ascii="Garamond" w:hAnsi="Garamond"/>
                <w:lang w:val="es-MX"/>
              </w:rPr>
            </w:pPr>
            <w:r w:rsidRPr="009B7B5A">
              <w:rPr>
                <w:rFonts w:ascii="Garamond" w:hAnsi="Garamond" w:cs="Arial"/>
                <w:sz w:val="20"/>
                <w:szCs w:val="20"/>
                <w:lang w:val="es-MX"/>
              </w:rPr>
              <w:t>Acuerdo por el que se determina el plazo para realizar la Consulta Pública sobre la actualización metodológica de la Encuesta Nacional sobre Uso del Tiempo.</w:t>
            </w:r>
          </w:p>
        </w:tc>
        <w:tc>
          <w:tcPr>
            <w:tcW w:w="3873"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78799595" w14:textId="77777777" w:rsidR="002B5F71" w:rsidRPr="009B7B5A" w:rsidRDefault="002B5F71">
            <w:pPr>
              <w:pStyle w:val="NormalWeb"/>
              <w:jc w:val="center"/>
              <w:rPr>
                <w:rFonts w:ascii="Garamond" w:hAnsi="Garamond"/>
                <w:lang w:val="es-MX"/>
              </w:rPr>
            </w:pPr>
            <w:r w:rsidRPr="009B7B5A">
              <w:rPr>
                <w:rFonts w:ascii="Garamond" w:hAnsi="Garamond" w:cs="Arial"/>
                <w:sz w:val="20"/>
                <w:szCs w:val="20"/>
                <w:lang w:val="es-MX"/>
              </w:rPr>
              <w:t>Sexta sesión. 21 de abril de 2023.</w:t>
            </w:r>
          </w:p>
        </w:tc>
      </w:tr>
      <w:tr w:rsidR="002B5F71" w14:paraId="19D098F0" w14:textId="77777777" w:rsidTr="00224CC8">
        <w:trPr>
          <w:trHeight w:val="531"/>
          <w:jc w:val="center"/>
        </w:trPr>
        <w:tc>
          <w:tcPr>
            <w:tcW w:w="7088"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37B6540B" w14:textId="77777777" w:rsidR="002B5F71" w:rsidRPr="009B7B5A" w:rsidRDefault="002B5F71" w:rsidP="00224CC8">
            <w:pPr>
              <w:pStyle w:val="NormalWeb"/>
              <w:rPr>
                <w:rFonts w:ascii="Garamond" w:hAnsi="Garamond"/>
                <w:lang w:val="es-MX"/>
              </w:rPr>
            </w:pPr>
            <w:r w:rsidRPr="009B7B5A">
              <w:rPr>
                <w:rFonts w:ascii="Garamond" w:hAnsi="Garamond" w:cs="Arial"/>
                <w:sz w:val="20"/>
                <w:szCs w:val="20"/>
                <w:lang w:val="es-MX"/>
              </w:rPr>
              <w:t>Acuerdo por el que se determina el plazo para realizar la Consulta Pública sobre la actualización metodológica del Índice Nacional de Precios al Consumidor en 2024.</w:t>
            </w:r>
          </w:p>
        </w:tc>
        <w:tc>
          <w:tcPr>
            <w:tcW w:w="3873"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68C2F226" w14:textId="77777777" w:rsidR="002B5F71" w:rsidRPr="009B7B5A" w:rsidRDefault="002B5F71">
            <w:pPr>
              <w:pStyle w:val="NormalWeb"/>
              <w:jc w:val="center"/>
              <w:rPr>
                <w:rFonts w:ascii="Garamond" w:hAnsi="Garamond"/>
                <w:lang w:val="es-MX"/>
              </w:rPr>
            </w:pPr>
            <w:r w:rsidRPr="009B7B5A">
              <w:rPr>
                <w:rFonts w:ascii="Garamond" w:hAnsi="Garamond" w:cs="Arial"/>
                <w:sz w:val="20"/>
                <w:szCs w:val="20"/>
                <w:lang w:val="es-MX"/>
              </w:rPr>
              <w:t>Sexta sesión. 21 de abril de 2023.</w:t>
            </w:r>
          </w:p>
        </w:tc>
      </w:tr>
      <w:tr w:rsidR="002B5F71" w14:paraId="778EFF53" w14:textId="77777777" w:rsidTr="00224CC8">
        <w:trPr>
          <w:trHeight w:val="572"/>
          <w:jc w:val="center"/>
        </w:trPr>
        <w:tc>
          <w:tcPr>
            <w:tcW w:w="7088"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7287EFB3" w14:textId="77777777" w:rsidR="002B5F71" w:rsidRPr="009B7B5A" w:rsidRDefault="002B5F71" w:rsidP="00224CC8">
            <w:pPr>
              <w:pStyle w:val="NormalWeb"/>
              <w:rPr>
                <w:rFonts w:ascii="Garamond" w:hAnsi="Garamond"/>
                <w:lang w:val="es-MX"/>
              </w:rPr>
            </w:pPr>
            <w:r w:rsidRPr="009B7B5A">
              <w:rPr>
                <w:rFonts w:ascii="Garamond" w:hAnsi="Garamond" w:cs="Arial"/>
                <w:sz w:val="20"/>
                <w:szCs w:val="20"/>
                <w:lang w:val="es-MX"/>
              </w:rPr>
              <w:t>Acuerdo por el que se determina el plazo para realizar la Consulta Pública sobre la actualización metodológica de la Información Topográfica a escala 1:50 000 y sus actualizaciones.</w:t>
            </w:r>
          </w:p>
        </w:tc>
        <w:tc>
          <w:tcPr>
            <w:tcW w:w="3873"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64038EED" w14:textId="77777777" w:rsidR="002B5F71" w:rsidRPr="009B7B5A" w:rsidRDefault="002B5F71">
            <w:pPr>
              <w:pStyle w:val="NormalWeb"/>
              <w:jc w:val="center"/>
              <w:rPr>
                <w:rFonts w:ascii="Garamond" w:hAnsi="Garamond"/>
                <w:lang w:val="es-MX"/>
              </w:rPr>
            </w:pPr>
            <w:r w:rsidRPr="009B7B5A">
              <w:rPr>
                <w:rFonts w:ascii="Garamond" w:hAnsi="Garamond" w:cs="Arial"/>
                <w:sz w:val="20"/>
                <w:szCs w:val="20"/>
                <w:lang w:val="es-MX"/>
              </w:rPr>
              <w:t>Octava sesión. 06 de junio de 2023.</w:t>
            </w:r>
          </w:p>
        </w:tc>
      </w:tr>
      <w:tr w:rsidR="002B5F71" w14:paraId="1EB0DDDA" w14:textId="77777777" w:rsidTr="00224CC8">
        <w:trPr>
          <w:trHeight w:val="564"/>
          <w:jc w:val="center"/>
        </w:trPr>
        <w:tc>
          <w:tcPr>
            <w:tcW w:w="7088"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43E5FC34" w14:textId="70D237E5" w:rsidR="002B5F71" w:rsidRPr="009B7B5A" w:rsidRDefault="002B5F71" w:rsidP="00224CC8">
            <w:pPr>
              <w:pStyle w:val="NormalWeb"/>
              <w:rPr>
                <w:rFonts w:ascii="Garamond" w:hAnsi="Garamond"/>
                <w:lang w:val="es-MX"/>
              </w:rPr>
            </w:pPr>
            <w:r w:rsidRPr="009B7B5A">
              <w:rPr>
                <w:rFonts w:ascii="Garamond" w:hAnsi="Garamond" w:cs="Arial"/>
                <w:sz w:val="20"/>
                <w:szCs w:val="20"/>
                <w:lang w:val="es-MX"/>
              </w:rPr>
              <w:t>Acuerdo por el que se determina el plazo para realizar la Consulta Pública sobre la actualización de variables sociodemográficas y clasificadores de la Encuesta Nacional de Ingresos y Gastos de los Hogares 2024.</w:t>
            </w:r>
          </w:p>
        </w:tc>
        <w:tc>
          <w:tcPr>
            <w:tcW w:w="3873"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690923D7" w14:textId="77777777" w:rsidR="002B5F71" w:rsidRPr="009B7B5A" w:rsidRDefault="002B5F71">
            <w:pPr>
              <w:pStyle w:val="NormalWeb"/>
              <w:jc w:val="center"/>
              <w:rPr>
                <w:rFonts w:ascii="Garamond" w:hAnsi="Garamond"/>
                <w:lang w:val="es-MX"/>
              </w:rPr>
            </w:pPr>
            <w:r w:rsidRPr="009B7B5A">
              <w:rPr>
                <w:rFonts w:ascii="Garamond" w:hAnsi="Garamond" w:cs="Arial"/>
                <w:sz w:val="20"/>
                <w:szCs w:val="20"/>
                <w:lang w:val="es-MX"/>
              </w:rPr>
              <w:t>Novena sesión. 13 de julio de 2023.</w:t>
            </w:r>
          </w:p>
        </w:tc>
      </w:tr>
      <w:tr w:rsidR="002B5F71" w14:paraId="1C3FA0E7" w14:textId="77777777" w:rsidTr="00224CC8">
        <w:trPr>
          <w:trHeight w:val="529"/>
          <w:jc w:val="center"/>
        </w:trPr>
        <w:tc>
          <w:tcPr>
            <w:tcW w:w="7088"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023BB982" w14:textId="77777777" w:rsidR="002B5F71" w:rsidRPr="009B7B5A" w:rsidRDefault="002B5F71" w:rsidP="00224CC8">
            <w:pPr>
              <w:pStyle w:val="NormalWeb"/>
              <w:rPr>
                <w:rFonts w:ascii="Garamond" w:hAnsi="Garamond"/>
                <w:lang w:val="es-MX"/>
              </w:rPr>
            </w:pPr>
            <w:r w:rsidRPr="009B7B5A">
              <w:rPr>
                <w:rFonts w:ascii="Garamond" w:hAnsi="Garamond" w:cs="Arial"/>
                <w:sz w:val="20"/>
                <w:szCs w:val="20"/>
                <w:lang w:val="es-MX"/>
              </w:rPr>
              <w:t>Acuerdo por el que se determina el plazo para realizar la Consulta Pública sobre la actualización metodológica del Inventario Nacional Forestal y de Suelos.</w:t>
            </w:r>
          </w:p>
        </w:tc>
        <w:tc>
          <w:tcPr>
            <w:tcW w:w="3873" w:type="dxa"/>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vAlign w:val="center"/>
            <w:hideMark/>
          </w:tcPr>
          <w:p w14:paraId="48486460" w14:textId="77777777" w:rsidR="002B5F71" w:rsidRPr="009B7B5A" w:rsidRDefault="002B5F71">
            <w:pPr>
              <w:pStyle w:val="NormalWeb"/>
              <w:jc w:val="center"/>
              <w:rPr>
                <w:rFonts w:ascii="Garamond" w:hAnsi="Garamond"/>
                <w:lang w:val="es-MX"/>
              </w:rPr>
            </w:pPr>
            <w:r w:rsidRPr="009B7B5A">
              <w:rPr>
                <w:rFonts w:ascii="Garamond" w:hAnsi="Garamond" w:cs="Arial"/>
                <w:sz w:val="20"/>
                <w:szCs w:val="20"/>
                <w:lang w:val="es-MX"/>
              </w:rPr>
              <w:t>Décima primera. 18 de agosto de 2023.</w:t>
            </w:r>
          </w:p>
        </w:tc>
      </w:tr>
    </w:tbl>
    <w:p w14:paraId="7DD0953A" w14:textId="77777777" w:rsidR="002B5F71" w:rsidRDefault="002B5F71" w:rsidP="00631063">
      <w:pPr>
        <w:spacing w:before="240"/>
        <w:jc w:val="both"/>
        <w:rPr>
          <w:rFonts w:ascii="Garamond" w:hAnsi="Garamond"/>
        </w:rPr>
      </w:pPr>
    </w:p>
    <w:p w14:paraId="55C9603B" w14:textId="297D9D0A" w:rsidR="00DF1B21" w:rsidRDefault="00DF1B21">
      <w:r>
        <w:br w:type="page"/>
      </w:r>
    </w:p>
    <w:p w14:paraId="640FA86C" w14:textId="637462A9" w:rsidR="00445EC7" w:rsidRPr="00B93915" w:rsidRDefault="009837EB" w:rsidP="00DB575B">
      <w:pPr>
        <w:pStyle w:val="Ttulo1"/>
        <w:ind w:left="2835" w:hanging="2835"/>
        <w:rPr>
          <w:rFonts w:ascii="Garamond" w:hAnsi="Garamond" w:cstheme="minorHAnsi"/>
          <w:b/>
          <w:bCs/>
          <w:color w:val="002060"/>
          <w:sz w:val="24"/>
          <w:szCs w:val="24"/>
        </w:rPr>
      </w:pPr>
      <w:bookmarkStart w:id="12" w:name="_Toc164684576"/>
      <w:r w:rsidRPr="00B93915">
        <w:rPr>
          <w:rFonts w:ascii="Garamond" w:hAnsi="Garamond" w:cstheme="minorHAnsi"/>
          <w:b/>
          <w:bCs/>
          <w:color w:val="002060"/>
          <w:sz w:val="24"/>
          <w:szCs w:val="24"/>
        </w:rPr>
        <w:lastRenderedPageBreak/>
        <w:t>I</w:t>
      </w:r>
      <w:r w:rsidR="00445EC7" w:rsidRPr="00B93915">
        <w:rPr>
          <w:rFonts w:ascii="Garamond" w:hAnsi="Garamond" w:cstheme="minorHAnsi"/>
          <w:b/>
          <w:bCs/>
          <w:color w:val="002060"/>
          <w:sz w:val="24"/>
          <w:szCs w:val="24"/>
        </w:rPr>
        <w:t>V. CONCLUSIONES</w:t>
      </w:r>
      <w:bookmarkEnd w:id="12"/>
    </w:p>
    <w:p w14:paraId="3CFC199A" w14:textId="70319A88" w:rsidR="002D462D" w:rsidRPr="00B93915" w:rsidRDefault="00B069F3" w:rsidP="009B353C">
      <w:pPr>
        <w:spacing w:before="240"/>
        <w:jc w:val="both"/>
        <w:rPr>
          <w:rFonts w:ascii="Garamond" w:hAnsi="Garamond"/>
        </w:rPr>
      </w:pPr>
      <w:r w:rsidRPr="00B93915">
        <w:rPr>
          <w:rFonts w:ascii="Garamond" w:hAnsi="Garamond"/>
        </w:rPr>
        <w:t>E</w:t>
      </w:r>
      <w:r w:rsidR="00487118" w:rsidRPr="00B93915">
        <w:rPr>
          <w:rFonts w:ascii="Garamond" w:hAnsi="Garamond"/>
        </w:rPr>
        <w:t xml:space="preserve">ste </w:t>
      </w:r>
      <w:r w:rsidRPr="00B93915">
        <w:rPr>
          <w:rFonts w:ascii="Garamond" w:hAnsi="Garamond"/>
        </w:rPr>
        <w:t xml:space="preserve">Informe de resultados </w:t>
      </w:r>
      <w:r w:rsidR="00E72D7D" w:rsidRPr="00B93915">
        <w:rPr>
          <w:rFonts w:ascii="Garamond" w:hAnsi="Garamond"/>
        </w:rPr>
        <w:t xml:space="preserve">permite </w:t>
      </w:r>
      <w:r w:rsidR="00DB438A" w:rsidRPr="00B93915">
        <w:rPr>
          <w:rFonts w:ascii="Garamond" w:hAnsi="Garamond"/>
        </w:rPr>
        <w:t xml:space="preserve">atestiguar </w:t>
      </w:r>
      <w:r w:rsidR="00D44757" w:rsidRPr="00B93915">
        <w:rPr>
          <w:rFonts w:ascii="Garamond" w:hAnsi="Garamond"/>
        </w:rPr>
        <w:t>e</w:t>
      </w:r>
      <w:r w:rsidR="001B2A88" w:rsidRPr="00B93915">
        <w:rPr>
          <w:rFonts w:ascii="Garamond" w:hAnsi="Garamond"/>
        </w:rPr>
        <w:t>l</w:t>
      </w:r>
      <w:r w:rsidR="00D44757" w:rsidRPr="00B93915">
        <w:rPr>
          <w:rFonts w:ascii="Garamond" w:hAnsi="Garamond"/>
        </w:rPr>
        <w:t xml:space="preserve"> </w:t>
      </w:r>
      <w:r w:rsidR="001B2A88" w:rsidRPr="00B93915">
        <w:rPr>
          <w:rFonts w:ascii="Garamond" w:hAnsi="Garamond"/>
        </w:rPr>
        <w:t>fortalecimiento de</w:t>
      </w:r>
      <w:r w:rsidR="00D44757" w:rsidRPr="00B93915">
        <w:rPr>
          <w:rFonts w:ascii="Garamond" w:hAnsi="Garamond"/>
        </w:rPr>
        <w:t xml:space="preserve"> la institucionalidad de</w:t>
      </w:r>
      <w:r w:rsidR="001B2A88" w:rsidRPr="00B93915">
        <w:rPr>
          <w:rFonts w:ascii="Garamond" w:hAnsi="Garamond"/>
        </w:rPr>
        <w:t>l</w:t>
      </w:r>
      <w:r w:rsidR="001C6AF3" w:rsidRPr="00B93915">
        <w:rPr>
          <w:rFonts w:ascii="Garamond" w:hAnsi="Garamond"/>
        </w:rPr>
        <w:t xml:space="preserve"> </w:t>
      </w:r>
      <w:proofErr w:type="spellStart"/>
      <w:r w:rsidR="000B6078" w:rsidRPr="00B93915">
        <w:rPr>
          <w:rFonts w:ascii="Garamond" w:hAnsi="Garamond"/>
          <w:smallCaps/>
        </w:rPr>
        <w:t>inegi</w:t>
      </w:r>
      <w:proofErr w:type="spellEnd"/>
      <w:r w:rsidR="009A6D25" w:rsidRPr="00B93915">
        <w:rPr>
          <w:rFonts w:ascii="Garamond" w:hAnsi="Garamond"/>
          <w:smallCaps/>
        </w:rPr>
        <w:t>,</w:t>
      </w:r>
      <w:r w:rsidR="009A6D25" w:rsidRPr="00B93915">
        <w:rPr>
          <w:rFonts w:ascii="Garamond" w:hAnsi="Garamond"/>
        </w:rPr>
        <w:t xml:space="preserve"> que se </w:t>
      </w:r>
      <w:r w:rsidR="00435FB5" w:rsidRPr="00B93915">
        <w:rPr>
          <w:rFonts w:ascii="Garamond" w:hAnsi="Garamond"/>
        </w:rPr>
        <w:t>refleja</w:t>
      </w:r>
      <w:r w:rsidR="00B31092" w:rsidRPr="00B93915">
        <w:rPr>
          <w:rFonts w:ascii="Garamond" w:hAnsi="Garamond"/>
        </w:rPr>
        <w:t xml:space="preserve"> </w:t>
      </w:r>
      <w:r w:rsidR="00435FB5" w:rsidRPr="00B93915">
        <w:rPr>
          <w:rFonts w:ascii="Garamond" w:hAnsi="Garamond"/>
        </w:rPr>
        <w:t xml:space="preserve">en compromisos </w:t>
      </w:r>
      <w:r w:rsidR="00B31092" w:rsidRPr="00B93915">
        <w:rPr>
          <w:rFonts w:ascii="Garamond" w:hAnsi="Garamond"/>
        </w:rPr>
        <w:t xml:space="preserve">por </w:t>
      </w:r>
      <w:r w:rsidR="00C52B71" w:rsidRPr="00B93915">
        <w:rPr>
          <w:rFonts w:ascii="Garamond" w:hAnsi="Garamond"/>
        </w:rPr>
        <w:t xml:space="preserve">continuar mejorando la gestión de la información </w:t>
      </w:r>
      <w:r w:rsidR="00E76F44" w:rsidRPr="00B93915">
        <w:rPr>
          <w:rFonts w:ascii="Garamond" w:hAnsi="Garamond"/>
        </w:rPr>
        <w:t>estadística y geográfica</w:t>
      </w:r>
      <w:r w:rsidR="00965194" w:rsidRPr="00B93915">
        <w:rPr>
          <w:rFonts w:ascii="Garamond" w:hAnsi="Garamond"/>
        </w:rPr>
        <w:t>, y</w:t>
      </w:r>
      <w:r w:rsidR="00EF43EF" w:rsidRPr="00B93915">
        <w:rPr>
          <w:rFonts w:ascii="Garamond" w:hAnsi="Garamond"/>
        </w:rPr>
        <w:t xml:space="preserve"> los servicios que </w:t>
      </w:r>
      <w:r w:rsidR="00965194" w:rsidRPr="00B93915">
        <w:rPr>
          <w:rFonts w:ascii="Garamond" w:hAnsi="Garamond"/>
        </w:rPr>
        <w:t xml:space="preserve">el Instituto </w:t>
      </w:r>
      <w:r w:rsidR="00EF43EF" w:rsidRPr="00B93915">
        <w:rPr>
          <w:rFonts w:ascii="Garamond" w:hAnsi="Garamond"/>
        </w:rPr>
        <w:t>pr</w:t>
      </w:r>
      <w:r w:rsidR="00965194" w:rsidRPr="00B93915">
        <w:rPr>
          <w:rFonts w:ascii="Garamond" w:hAnsi="Garamond"/>
        </w:rPr>
        <w:t>ovee</w:t>
      </w:r>
      <w:r w:rsidR="00EF43EF" w:rsidRPr="00B93915">
        <w:rPr>
          <w:rFonts w:ascii="Garamond" w:hAnsi="Garamond"/>
        </w:rPr>
        <w:t xml:space="preserve"> a las personas usuarias.</w:t>
      </w:r>
    </w:p>
    <w:p w14:paraId="54E3291E" w14:textId="7A2D5105" w:rsidR="00DC0E1E" w:rsidRPr="00B93915" w:rsidRDefault="00D10F78" w:rsidP="009B353C">
      <w:pPr>
        <w:spacing w:before="240"/>
        <w:jc w:val="both"/>
        <w:rPr>
          <w:rFonts w:ascii="Garamond" w:hAnsi="Garamond"/>
        </w:rPr>
      </w:pPr>
      <w:r w:rsidRPr="00B93915">
        <w:rPr>
          <w:rFonts w:ascii="Garamond" w:hAnsi="Garamond"/>
        </w:rPr>
        <w:t>De acuerdo con el Esquema Integral de Aseguramiento de la Calidad</w:t>
      </w:r>
      <w:r w:rsidR="00743A01" w:rsidRPr="00B93915">
        <w:rPr>
          <w:rFonts w:ascii="Garamond" w:hAnsi="Garamond"/>
        </w:rPr>
        <w:t xml:space="preserve">, el Instituto debe </w:t>
      </w:r>
      <w:r w:rsidR="00B96C67" w:rsidRPr="00B93915">
        <w:rPr>
          <w:rFonts w:ascii="Garamond" w:hAnsi="Garamond"/>
        </w:rPr>
        <w:t xml:space="preserve">persistir </w:t>
      </w:r>
      <w:r w:rsidR="00D40226" w:rsidRPr="00B93915">
        <w:rPr>
          <w:rFonts w:ascii="Garamond" w:hAnsi="Garamond"/>
        </w:rPr>
        <w:t xml:space="preserve">en sus esfuerzos </w:t>
      </w:r>
      <w:r w:rsidR="00D24AD6" w:rsidRPr="00B93915">
        <w:rPr>
          <w:rFonts w:ascii="Garamond" w:hAnsi="Garamond"/>
        </w:rPr>
        <w:t xml:space="preserve">mejorando </w:t>
      </w:r>
      <w:r w:rsidR="00172ACD" w:rsidRPr="00B93915">
        <w:rPr>
          <w:rFonts w:ascii="Garamond" w:hAnsi="Garamond"/>
        </w:rPr>
        <w:t xml:space="preserve">y proponiendo </w:t>
      </w:r>
      <w:r w:rsidR="00747456" w:rsidRPr="00B93915">
        <w:rPr>
          <w:rFonts w:ascii="Garamond" w:hAnsi="Garamond"/>
        </w:rPr>
        <w:t>indicadores de calidad</w:t>
      </w:r>
      <w:r w:rsidR="00473914" w:rsidRPr="00B93915">
        <w:rPr>
          <w:rFonts w:ascii="Garamond" w:hAnsi="Garamond"/>
        </w:rPr>
        <w:t xml:space="preserve">, pero también </w:t>
      </w:r>
      <w:r w:rsidR="00A66627" w:rsidRPr="00B93915">
        <w:rPr>
          <w:rFonts w:ascii="Garamond" w:hAnsi="Garamond"/>
        </w:rPr>
        <w:t xml:space="preserve">ampliando </w:t>
      </w:r>
      <w:r w:rsidR="00F3448B" w:rsidRPr="00B93915">
        <w:rPr>
          <w:rFonts w:ascii="Garamond" w:hAnsi="Garamond"/>
        </w:rPr>
        <w:t xml:space="preserve">la </w:t>
      </w:r>
      <w:r w:rsidR="00747456" w:rsidRPr="00B93915">
        <w:rPr>
          <w:rFonts w:ascii="Garamond" w:hAnsi="Garamond"/>
        </w:rPr>
        <w:t xml:space="preserve">cobertura </w:t>
      </w:r>
      <w:r w:rsidR="0015102F" w:rsidRPr="00B93915">
        <w:rPr>
          <w:rFonts w:ascii="Garamond" w:hAnsi="Garamond"/>
        </w:rPr>
        <w:t>de</w:t>
      </w:r>
      <w:r w:rsidR="00F3448B" w:rsidRPr="00B93915">
        <w:rPr>
          <w:rFonts w:ascii="Garamond" w:hAnsi="Garamond"/>
        </w:rPr>
        <w:t xml:space="preserve"> los principios de calidad</w:t>
      </w:r>
      <w:r w:rsidR="0015102F" w:rsidRPr="00B93915">
        <w:rPr>
          <w:rFonts w:ascii="Garamond" w:hAnsi="Garamond"/>
        </w:rPr>
        <w:t xml:space="preserve">, tanto los </w:t>
      </w:r>
      <w:r w:rsidR="00F3448B" w:rsidRPr="00B93915">
        <w:rPr>
          <w:rFonts w:ascii="Garamond" w:hAnsi="Garamond"/>
        </w:rPr>
        <w:t>relativos a productos (</w:t>
      </w:r>
      <w:r w:rsidR="0071601E" w:rsidRPr="00B93915">
        <w:rPr>
          <w:rFonts w:ascii="Garamond" w:hAnsi="Garamond"/>
        </w:rPr>
        <w:t>coherencia</w:t>
      </w:r>
      <w:r w:rsidR="00324530" w:rsidRPr="00B93915">
        <w:rPr>
          <w:rFonts w:ascii="Garamond" w:hAnsi="Garamond"/>
        </w:rPr>
        <w:t xml:space="preserve">, </w:t>
      </w:r>
      <w:r w:rsidR="0071601E" w:rsidRPr="00B93915">
        <w:rPr>
          <w:rFonts w:ascii="Garamond" w:hAnsi="Garamond"/>
        </w:rPr>
        <w:t>comparabilidad</w:t>
      </w:r>
      <w:r w:rsidR="00BC6329" w:rsidRPr="00B93915">
        <w:rPr>
          <w:rFonts w:ascii="Garamond" w:hAnsi="Garamond"/>
        </w:rPr>
        <w:t>), como</w:t>
      </w:r>
      <w:r w:rsidR="00473914" w:rsidRPr="00B93915">
        <w:rPr>
          <w:rFonts w:ascii="Garamond" w:hAnsi="Garamond"/>
        </w:rPr>
        <w:t>, por ejemplo,</w:t>
      </w:r>
      <w:r w:rsidR="00BC6329" w:rsidRPr="00B93915">
        <w:rPr>
          <w:rFonts w:ascii="Garamond" w:hAnsi="Garamond"/>
        </w:rPr>
        <w:t xml:space="preserve"> los correspondientes a los procesos de producción (</w:t>
      </w:r>
      <w:r w:rsidR="00575E08" w:rsidRPr="00B93915">
        <w:rPr>
          <w:rFonts w:ascii="Garamond" w:hAnsi="Garamond"/>
        </w:rPr>
        <w:t>costo-efectividad</w:t>
      </w:r>
      <w:r w:rsidR="00E43401" w:rsidRPr="00B93915">
        <w:rPr>
          <w:rFonts w:ascii="Garamond" w:hAnsi="Garamond"/>
        </w:rPr>
        <w:t xml:space="preserve">, carga no excesiva a </w:t>
      </w:r>
      <w:r w:rsidR="00FA37DA">
        <w:rPr>
          <w:rFonts w:ascii="Garamond" w:hAnsi="Garamond"/>
        </w:rPr>
        <w:t xml:space="preserve">las personas </w:t>
      </w:r>
      <w:r w:rsidR="00E43401" w:rsidRPr="00B93915">
        <w:rPr>
          <w:rFonts w:ascii="Garamond" w:hAnsi="Garamond"/>
        </w:rPr>
        <w:t>informantes).</w:t>
      </w:r>
      <w:r w:rsidR="00E63C83" w:rsidRPr="00B93915">
        <w:rPr>
          <w:rFonts w:ascii="Garamond" w:hAnsi="Garamond"/>
        </w:rPr>
        <w:t xml:space="preserve"> </w:t>
      </w:r>
      <w:r w:rsidR="00B10E9E" w:rsidRPr="00B93915">
        <w:rPr>
          <w:rFonts w:ascii="Garamond" w:hAnsi="Garamond"/>
        </w:rPr>
        <w:t>En 2023 se tuvo un avance significativo en la medición de la precisión geográfica</w:t>
      </w:r>
      <w:r w:rsidR="008333DB" w:rsidRPr="00B93915">
        <w:rPr>
          <w:rFonts w:ascii="Garamond" w:hAnsi="Garamond"/>
        </w:rPr>
        <w:t>.</w:t>
      </w:r>
    </w:p>
    <w:p w14:paraId="29FE1142" w14:textId="68CF6E4E" w:rsidR="009D203B" w:rsidRDefault="00EB56C9" w:rsidP="00C956F1">
      <w:pPr>
        <w:spacing w:before="240"/>
        <w:jc w:val="both"/>
        <w:rPr>
          <w:rFonts w:ascii="Garamond" w:hAnsi="Garamond"/>
        </w:rPr>
      </w:pPr>
      <w:r w:rsidRPr="00B93915">
        <w:rPr>
          <w:rFonts w:ascii="Garamond" w:hAnsi="Garamond"/>
        </w:rPr>
        <w:t xml:space="preserve">El Comité de Aseguramiento de la Calidad se ha consolidado como </w:t>
      </w:r>
      <w:r w:rsidR="00486C4B" w:rsidRPr="00B93915">
        <w:rPr>
          <w:rFonts w:ascii="Garamond" w:hAnsi="Garamond"/>
        </w:rPr>
        <w:t xml:space="preserve">el espacio </w:t>
      </w:r>
      <w:r w:rsidR="00806056" w:rsidRPr="00B93915">
        <w:rPr>
          <w:rFonts w:ascii="Garamond" w:hAnsi="Garamond"/>
        </w:rPr>
        <w:t>de deliberación a nivel estratégico</w:t>
      </w:r>
      <w:r w:rsidR="004C0F12" w:rsidRPr="00B93915">
        <w:rPr>
          <w:rFonts w:ascii="Garamond" w:hAnsi="Garamond"/>
        </w:rPr>
        <w:t xml:space="preserve">. </w:t>
      </w:r>
      <w:r w:rsidR="00233AED" w:rsidRPr="00B93915">
        <w:rPr>
          <w:rFonts w:ascii="Garamond" w:hAnsi="Garamond"/>
        </w:rPr>
        <w:t xml:space="preserve">Durante 2024 </w:t>
      </w:r>
      <w:r w:rsidR="009C1644" w:rsidRPr="00B93915">
        <w:rPr>
          <w:rFonts w:ascii="Garamond" w:hAnsi="Garamond"/>
        </w:rPr>
        <w:t xml:space="preserve">deberán </w:t>
      </w:r>
      <w:r w:rsidR="004E5559" w:rsidRPr="00B93915">
        <w:rPr>
          <w:rFonts w:ascii="Garamond" w:hAnsi="Garamond"/>
        </w:rPr>
        <w:t xml:space="preserve">apuntalarse </w:t>
      </w:r>
      <w:r w:rsidR="00125E1B" w:rsidRPr="00B93915">
        <w:rPr>
          <w:rFonts w:ascii="Garamond" w:hAnsi="Garamond"/>
        </w:rPr>
        <w:t xml:space="preserve">iniciativas encaminadas a </w:t>
      </w:r>
      <w:r w:rsidR="00EE0C83" w:rsidRPr="00B93915">
        <w:rPr>
          <w:rFonts w:ascii="Garamond" w:hAnsi="Garamond"/>
        </w:rPr>
        <w:t xml:space="preserve">seguir </w:t>
      </w:r>
      <w:r w:rsidR="00E77FCD" w:rsidRPr="00B93915">
        <w:rPr>
          <w:rFonts w:ascii="Garamond" w:hAnsi="Garamond"/>
        </w:rPr>
        <w:t>fortale</w:t>
      </w:r>
      <w:r w:rsidR="00EE0C83" w:rsidRPr="00B93915">
        <w:rPr>
          <w:rFonts w:ascii="Garamond" w:hAnsi="Garamond"/>
        </w:rPr>
        <w:t>ciendo</w:t>
      </w:r>
      <w:r w:rsidR="00E77FCD" w:rsidRPr="00B93915">
        <w:rPr>
          <w:rFonts w:ascii="Garamond" w:hAnsi="Garamond"/>
        </w:rPr>
        <w:t xml:space="preserve"> </w:t>
      </w:r>
      <w:r w:rsidR="00503B34" w:rsidRPr="00B93915">
        <w:rPr>
          <w:rFonts w:ascii="Garamond" w:hAnsi="Garamond"/>
        </w:rPr>
        <w:t>la gestión de</w:t>
      </w:r>
      <w:r w:rsidR="00BB7B78" w:rsidRPr="00B93915">
        <w:rPr>
          <w:rFonts w:ascii="Garamond" w:hAnsi="Garamond"/>
        </w:rPr>
        <w:t>l ciclo de vida de los</w:t>
      </w:r>
      <w:r w:rsidR="00503B34" w:rsidRPr="00B93915">
        <w:rPr>
          <w:rFonts w:ascii="Garamond" w:hAnsi="Garamond"/>
        </w:rPr>
        <w:t xml:space="preserve"> datos para mejorar el aprovechamiento de la información estadística y geográfica</w:t>
      </w:r>
      <w:r w:rsidR="00EE0C83" w:rsidRPr="00B93915">
        <w:rPr>
          <w:rFonts w:ascii="Garamond" w:hAnsi="Garamond"/>
        </w:rPr>
        <w:t>.</w:t>
      </w:r>
    </w:p>
    <w:p w14:paraId="56E1A76F" w14:textId="29E1248B" w:rsidR="007568D9" w:rsidRDefault="007568D9">
      <w:pPr>
        <w:rPr>
          <w:rFonts w:ascii="Garamond" w:hAnsi="Garamond"/>
        </w:rPr>
      </w:pPr>
      <w:r>
        <w:rPr>
          <w:rFonts w:ascii="Garamond" w:hAnsi="Garamond"/>
        </w:rPr>
        <w:br w:type="page"/>
      </w:r>
    </w:p>
    <w:p w14:paraId="6126DDF6" w14:textId="77777777" w:rsidR="00CF12D6" w:rsidRPr="00F9698F" w:rsidRDefault="00CF12D6" w:rsidP="00F9698F">
      <w:pPr>
        <w:pStyle w:val="Ttulo1"/>
        <w:ind w:left="2835" w:hanging="2835"/>
        <w:rPr>
          <w:rFonts w:ascii="Garamond" w:hAnsi="Garamond" w:cstheme="minorHAnsi"/>
          <w:b/>
          <w:bCs/>
          <w:color w:val="002060"/>
          <w:sz w:val="24"/>
          <w:szCs w:val="24"/>
        </w:rPr>
      </w:pPr>
      <w:bookmarkStart w:id="13" w:name="_Toc160462309"/>
      <w:bookmarkStart w:id="14" w:name="_Toc164684577"/>
      <w:r w:rsidRPr="00F9698F">
        <w:rPr>
          <w:rFonts w:ascii="Garamond" w:hAnsi="Garamond" w:cstheme="minorHAnsi"/>
          <w:b/>
          <w:bCs/>
          <w:color w:val="002060"/>
          <w:sz w:val="24"/>
          <w:szCs w:val="24"/>
        </w:rPr>
        <w:lastRenderedPageBreak/>
        <w:t>GLOSARIO DE ACRÓNIMOS</w:t>
      </w:r>
      <w:bookmarkEnd w:id="13"/>
      <w:bookmarkEnd w:id="14"/>
    </w:p>
    <w:p w14:paraId="1D434F73" w14:textId="77777777" w:rsidR="00CF12D6" w:rsidRPr="004B057E" w:rsidRDefault="00CF12D6" w:rsidP="00CF12D6">
      <w:pPr>
        <w:spacing w:after="0"/>
        <w:jc w:val="center"/>
        <w:rPr>
          <w:rFonts w:ascii="Garamond" w:hAnsi="Garamond"/>
          <w:sz w:val="21"/>
          <w:szCs w:val="21"/>
        </w:rPr>
      </w:pPr>
    </w:p>
    <w:tbl>
      <w:tblPr>
        <w:tblW w:w="10065" w:type="dxa"/>
        <w:jc w:val="center"/>
        <w:tblBorders>
          <w:bottom w:val="single" w:sz="8" w:space="0" w:color="BFBFBF" w:themeColor="background1" w:themeShade="BF"/>
          <w:insideH w:val="single" w:sz="8" w:space="0" w:color="BFBFBF" w:themeColor="background1" w:themeShade="BF"/>
        </w:tblBorders>
        <w:tblLook w:val="04A0" w:firstRow="1" w:lastRow="0" w:firstColumn="1" w:lastColumn="0" w:noHBand="0" w:noVBand="1"/>
      </w:tblPr>
      <w:tblGrid>
        <w:gridCol w:w="1555"/>
        <w:gridCol w:w="8510"/>
      </w:tblGrid>
      <w:tr w:rsidR="00053F07" w:rsidRPr="004B057E" w14:paraId="197C0600" w14:textId="77777777" w:rsidTr="00BC553F">
        <w:trPr>
          <w:trHeight w:val="20"/>
          <w:tblHeader/>
          <w:jc w:val="center"/>
        </w:trPr>
        <w:tc>
          <w:tcPr>
            <w:tcW w:w="1555" w:type="dxa"/>
            <w:tcBorders>
              <w:bottom w:val="single" w:sz="4" w:space="0" w:color="BFBFBF" w:themeColor="background1" w:themeShade="BF"/>
            </w:tcBorders>
            <w:shd w:val="clear" w:color="auto" w:fill="002060"/>
            <w:noWrap/>
            <w:vAlign w:val="center"/>
            <w:hideMark/>
          </w:tcPr>
          <w:p w14:paraId="41E717BD" w14:textId="77777777" w:rsidR="00053F07" w:rsidRPr="004B057E" w:rsidRDefault="00053F07" w:rsidP="00CC55ED">
            <w:pPr>
              <w:spacing w:after="0"/>
              <w:rPr>
                <w:rFonts w:ascii="Garamond" w:hAnsi="Garamond" w:cs="Calibri"/>
                <w:b/>
                <w:color w:val="FFFFFF" w:themeColor="background1"/>
                <w:sz w:val="21"/>
                <w:szCs w:val="21"/>
              </w:rPr>
            </w:pPr>
            <w:r w:rsidRPr="004B057E">
              <w:rPr>
                <w:rFonts w:ascii="Garamond" w:hAnsi="Garamond" w:cs="Calibri"/>
                <w:b/>
                <w:color w:val="FFFFFF" w:themeColor="background1"/>
                <w:sz w:val="21"/>
                <w:szCs w:val="21"/>
              </w:rPr>
              <w:t>Acrónimo</w:t>
            </w:r>
          </w:p>
        </w:tc>
        <w:tc>
          <w:tcPr>
            <w:tcW w:w="8510" w:type="dxa"/>
            <w:tcBorders>
              <w:bottom w:val="single" w:sz="4" w:space="0" w:color="BFBFBF" w:themeColor="background1" w:themeShade="BF"/>
            </w:tcBorders>
            <w:shd w:val="clear" w:color="auto" w:fill="002060"/>
            <w:noWrap/>
            <w:vAlign w:val="center"/>
          </w:tcPr>
          <w:p w14:paraId="59868A7F" w14:textId="0218C52B" w:rsidR="00053F07" w:rsidRPr="004B057E" w:rsidRDefault="00053F07" w:rsidP="00CC55ED">
            <w:pPr>
              <w:spacing w:after="0"/>
              <w:rPr>
                <w:rFonts w:ascii="Garamond" w:hAnsi="Garamond" w:cs="Calibri"/>
                <w:b/>
                <w:color w:val="FFFFFF" w:themeColor="background1"/>
                <w:sz w:val="21"/>
                <w:szCs w:val="21"/>
              </w:rPr>
            </w:pPr>
          </w:p>
        </w:tc>
      </w:tr>
      <w:tr w:rsidR="00053F07" w:rsidRPr="004B057E" w14:paraId="10CF14F6"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45FEFC00" w14:textId="1C5B8A6D" w:rsidR="00053F07" w:rsidRPr="007D22AF" w:rsidRDefault="007C6EDF" w:rsidP="00CC55ED">
            <w:pPr>
              <w:spacing w:after="0"/>
              <w:rPr>
                <w:rFonts w:ascii="Garamond" w:hAnsi="Garamond" w:cs="Calibri"/>
                <w:smallCaps/>
                <w:sz w:val="21"/>
                <w:szCs w:val="21"/>
              </w:rPr>
            </w:pPr>
            <w:proofErr w:type="spellStart"/>
            <w:r w:rsidRPr="007C6EDF">
              <w:rPr>
                <w:rFonts w:ascii="Garamond" w:hAnsi="Garamond" w:cs="Calibri"/>
                <w:smallCaps/>
                <w:sz w:val="21"/>
                <w:szCs w:val="21"/>
              </w:rPr>
              <w:t>ccp</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62166936" w14:textId="77777777" w:rsidR="00053F07" w:rsidRPr="004B057E" w:rsidRDefault="00053F07" w:rsidP="00CC55ED">
            <w:pPr>
              <w:spacing w:after="0"/>
              <w:rPr>
                <w:rFonts w:ascii="Garamond" w:hAnsi="Garamond" w:cs="Calibri"/>
                <w:sz w:val="21"/>
                <w:szCs w:val="21"/>
              </w:rPr>
            </w:pPr>
            <w:r w:rsidRPr="004B057E">
              <w:rPr>
                <w:rFonts w:ascii="Garamond" w:hAnsi="Garamond" w:cs="Calibri"/>
                <w:sz w:val="21"/>
                <w:szCs w:val="21"/>
              </w:rPr>
              <w:t>Cuentas de Corto Plazo</w:t>
            </w:r>
          </w:p>
        </w:tc>
      </w:tr>
      <w:tr w:rsidR="00053F07" w:rsidRPr="004B057E" w14:paraId="303CCFE8"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7363DAC2" w14:textId="160EC2E9" w:rsidR="00053F07" w:rsidRPr="007D22AF" w:rsidRDefault="007C6EDF" w:rsidP="00CC55ED">
            <w:pPr>
              <w:spacing w:after="0"/>
              <w:rPr>
                <w:rFonts w:ascii="Garamond" w:hAnsi="Garamond" w:cs="Calibri"/>
                <w:smallCaps/>
                <w:sz w:val="21"/>
                <w:szCs w:val="21"/>
              </w:rPr>
            </w:pPr>
            <w:proofErr w:type="spellStart"/>
            <w:r w:rsidRPr="007C6EDF">
              <w:rPr>
                <w:rFonts w:ascii="Garamond" w:hAnsi="Garamond" w:cs="Calibri"/>
                <w:smallCaps/>
                <w:sz w:val="21"/>
                <w:szCs w:val="21"/>
              </w:rPr>
              <w:t>cnge</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58CC49EC" w14:textId="77777777" w:rsidR="00053F07" w:rsidRPr="004B057E" w:rsidRDefault="00053F07" w:rsidP="00CC55ED">
            <w:pPr>
              <w:spacing w:after="0"/>
              <w:rPr>
                <w:rFonts w:ascii="Garamond" w:hAnsi="Garamond" w:cs="Calibri"/>
                <w:sz w:val="21"/>
                <w:szCs w:val="21"/>
              </w:rPr>
            </w:pPr>
            <w:r w:rsidRPr="004B057E">
              <w:rPr>
                <w:rFonts w:ascii="Garamond" w:hAnsi="Garamond" w:cs="Calibri"/>
                <w:sz w:val="21"/>
                <w:szCs w:val="21"/>
              </w:rPr>
              <w:t>Censo Nacional de Gobiernos Estatales</w:t>
            </w:r>
          </w:p>
        </w:tc>
      </w:tr>
      <w:tr w:rsidR="00053F07" w:rsidRPr="004B057E" w14:paraId="5EC196C9"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2800C3B6" w14:textId="00E47779" w:rsidR="00053F07" w:rsidRPr="007D22AF" w:rsidRDefault="007C6EDF" w:rsidP="00CC55ED">
            <w:pPr>
              <w:spacing w:after="0"/>
              <w:rPr>
                <w:rFonts w:ascii="Garamond" w:hAnsi="Garamond" w:cs="Calibri"/>
                <w:smallCaps/>
                <w:sz w:val="21"/>
                <w:szCs w:val="21"/>
              </w:rPr>
            </w:pPr>
            <w:proofErr w:type="spellStart"/>
            <w:r w:rsidRPr="007C6EDF">
              <w:rPr>
                <w:rFonts w:ascii="Garamond" w:hAnsi="Garamond" w:cs="Calibri"/>
                <w:smallCaps/>
                <w:sz w:val="21"/>
                <w:szCs w:val="21"/>
              </w:rPr>
              <w:t>cr</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4060DB15" w14:textId="77777777" w:rsidR="00053F07" w:rsidRPr="004B057E" w:rsidRDefault="00053F07" w:rsidP="00CC55ED">
            <w:pPr>
              <w:spacing w:after="0"/>
              <w:rPr>
                <w:rFonts w:ascii="Garamond" w:hAnsi="Garamond" w:cs="Calibri"/>
                <w:sz w:val="21"/>
                <w:szCs w:val="21"/>
              </w:rPr>
            </w:pPr>
            <w:r w:rsidRPr="004B057E">
              <w:rPr>
                <w:rFonts w:ascii="Garamond" w:hAnsi="Garamond" w:cs="Calibri"/>
                <w:sz w:val="21"/>
                <w:szCs w:val="21"/>
              </w:rPr>
              <w:t>Cuentas Regionales</w:t>
            </w:r>
          </w:p>
        </w:tc>
      </w:tr>
      <w:tr w:rsidR="00C73409" w:rsidRPr="004B057E" w14:paraId="05646E05"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2F0BF1A1" w14:textId="5F5CC817" w:rsidR="00C73409" w:rsidRPr="007C6EDF" w:rsidRDefault="00C73409" w:rsidP="00CC55ED">
            <w:pPr>
              <w:spacing w:after="0"/>
              <w:rPr>
                <w:rFonts w:ascii="Garamond" w:hAnsi="Garamond" w:cs="Calibri"/>
                <w:smallCaps/>
                <w:sz w:val="21"/>
                <w:szCs w:val="21"/>
              </w:rPr>
            </w:pPr>
            <w:proofErr w:type="spellStart"/>
            <w:r>
              <w:rPr>
                <w:rFonts w:ascii="Garamond" w:hAnsi="Garamond" w:cs="Calibri"/>
                <w:smallCaps/>
                <w:sz w:val="21"/>
                <w:szCs w:val="21"/>
              </w:rPr>
              <w:t>cv</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78418A52" w14:textId="3E6D5085" w:rsidR="00C73409" w:rsidRPr="004B057E" w:rsidRDefault="00C73409" w:rsidP="00CC55ED">
            <w:pPr>
              <w:spacing w:after="0"/>
              <w:rPr>
                <w:rFonts w:ascii="Garamond" w:hAnsi="Garamond" w:cs="Calibri"/>
                <w:sz w:val="21"/>
                <w:szCs w:val="21"/>
              </w:rPr>
            </w:pPr>
            <w:r>
              <w:rPr>
                <w:rFonts w:ascii="Garamond" w:hAnsi="Garamond" w:cs="Calibri"/>
                <w:sz w:val="21"/>
                <w:szCs w:val="21"/>
              </w:rPr>
              <w:t xml:space="preserve">Coeficiente de </w:t>
            </w:r>
            <w:r w:rsidR="00286627">
              <w:rPr>
                <w:rFonts w:ascii="Garamond" w:hAnsi="Garamond" w:cs="Calibri"/>
                <w:sz w:val="21"/>
                <w:szCs w:val="21"/>
              </w:rPr>
              <w:t>V</w:t>
            </w:r>
            <w:r>
              <w:rPr>
                <w:rFonts w:ascii="Garamond" w:hAnsi="Garamond" w:cs="Calibri"/>
                <w:sz w:val="21"/>
                <w:szCs w:val="21"/>
              </w:rPr>
              <w:t>ariación</w:t>
            </w:r>
          </w:p>
        </w:tc>
      </w:tr>
      <w:tr w:rsidR="00900278" w:rsidRPr="004B057E" w14:paraId="3D0313EC"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1598AFBA" w14:textId="4F1A75BC" w:rsidR="00900278" w:rsidRDefault="00900278" w:rsidP="00CC55ED">
            <w:pPr>
              <w:spacing w:after="0"/>
              <w:rPr>
                <w:rFonts w:ascii="Garamond" w:hAnsi="Garamond" w:cs="Calibri"/>
                <w:smallCaps/>
                <w:sz w:val="21"/>
                <w:szCs w:val="21"/>
              </w:rPr>
            </w:pPr>
            <w:proofErr w:type="spellStart"/>
            <w:r>
              <w:rPr>
                <w:rFonts w:ascii="Garamond" w:hAnsi="Garamond" w:cs="Calibri"/>
                <w:smallCaps/>
                <w:sz w:val="21"/>
                <w:szCs w:val="21"/>
              </w:rPr>
              <w:t>ddi</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1D9A217A" w14:textId="719D2259" w:rsidR="00900278" w:rsidRDefault="00F82C01" w:rsidP="00CC55ED">
            <w:pPr>
              <w:spacing w:after="0"/>
              <w:rPr>
                <w:rFonts w:ascii="Garamond" w:hAnsi="Garamond" w:cs="Calibri"/>
                <w:sz w:val="21"/>
                <w:szCs w:val="21"/>
              </w:rPr>
            </w:pPr>
            <w:r>
              <w:rPr>
                <w:rFonts w:ascii="Garamond" w:hAnsi="Garamond" w:cs="Calibri"/>
                <w:sz w:val="21"/>
                <w:szCs w:val="21"/>
              </w:rPr>
              <w:t xml:space="preserve">Data </w:t>
            </w:r>
            <w:proofErr w:type="spellStart"/>
            <w:r>
              <w:rPr>
                <w:rFonts w:ascii="Garamond" w:hAnsi="Garamond" w:cs="Calibri"/>
                <w:sz w:val="21"/>
                <w:szCs w:val="21"/>
              </w:rPr>
              <w:t>Documentation</w:t>
            </w:r>
            <w:proofErr w:type="spellEnd"/>
            <w:r>
              <w:rPr>
                <w:rFonts w:ascii="Garamond" w:hAnsi="Garamond" w:cs="Calibri"/>
                <w:sz w:val="21"/>
                <w:szCs w:val="21"/>
              </w:rPr>
              <w:t xml:space="preserve"> </w:t>
            </w:r>
            <w:proofErr w:type="spellStart"/>
            <w:r>
              <w:rPr>
                <w:rFonts w:ascii="Garamond" w:hAnsi="Garamond" w:cs="Calibri"/>
                <w:sz w:val="21"/>
                <w:szCs w:val="21"/>
              </w:rPr>
              <w:t>Initiative</w:t>
            </w:r>
            <w:proofErr w:type="spellEnd"/>
          </w:p>
        </w:tc>
      </w:tr>
      <w:tr w:rsidR="0025414B" w:rsidRPr="004B057E" w14:paraId="27140A75"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3ECDAB89" w14:textId="319E3ED3"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color w:val="000000"/>
                <w:sz w:val="21"/>
                <w:szCs w:val="21"/>
              </w:rPr>
              <w:t>dgee</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733A852D" w14:textId="705A6F76" w:rsidR="0025414B" w:rsidRPr="004B057E" w:rsidRDefault="0025414B" w:rsidP="0025414B">
            <w:pPr>
              <w:spacing w:after="0"/>
              <w:rPr>
                <w:rFonts w:ascii="Garamond" w:hAnsi="Garamond" w:cs="Calibri"/>
                <w:sz w:val="21"/>
                <w:szCs w:val="21"/>
              </w:rPr>
            </w:pPr>
            <w:r w:rsidRPr="004B057E">
              <w:rPr>
                <w:rFonts w:ascii="Garamond" w:hAnsi="Garamond" w:cs="Calibri"/>
                <w:color w:val="000000"/>
                <w:sz w:val="21"/>
                <w:szCs w:val="21"/>
              </w:rPr>
              <w:t>Dirección General de Estadísticas Económicas</w:t>
            </w:r>
          </w:p>
        </w:tc>
      </w:tr>
      <w:tr w:rsidR="0025414B" w:rsidRPr="004B057E" w14:paraId="6A799A98"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3C10CD19" w14:textId="1F0D9A18"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color w:val="000000"/>
                <w:sz w:val="21"/>
                <w:szCs w:val="21"/>
              </w:rPr>
              <w:t>dgegspj</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6B9912F8" w14:textId="4FB017E0" w:rsidR="0025414B" w:rsidRPr="004B057E" w:rsidRDefault="0025414B" w:rsidP="0025414B">
            <w:pPr>
              <w:spacing w:after="0"/>
              <w:rPr>
                <w:rFonts w:ascii="Garamond" w:hAnsi="Garamond" w:cs="Calibri"/>
                <w:sz w:val="21"/>
                <w:szCs w:val="21"/>
              </w:rPr>
            </w:pPr>
            <w:r w:rsidRPr="004B057E">
              <w:rPr>
                <w:rFonts w:ascii="Garamond" w:hAnsi="Garamond" w:cs="Calibri"/>
                <w:color w:val="000000"/>
                <w:sz w:val="21"/>
                <w:szCs w:val="21"/>
              </w:rPr>
              <w:t>Dirección General de Estadísticas de Gobierno, Seguridad Pública y Justicia</w:t>
            </w:r>
          </w:p>
        </w:tc>
      </w:tr>
      <w:tr w:rsidR="0025414B" w:rsidRPr="004B057E" w14:paraId="47D79075"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633EBFE7" w14:textId="30AD130C"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color w:val="000000"/>
                <w:sz w:val="21"/>
                <w:szCs w:val="21"/>
              </w:rPr>
              <w:t>dges</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7954DE0D" w14:textId="187BAFE4" w:rsidR="0025414B" w:rsidRPr="004B057E" w:rsidRDefault="0025414B" w:rsidP="0025414B">
            <w:pPr>
              <w:spacing w:after="0"/>
              <w:rPr>
                <w:rFonts w:ascii="Garamond" w:hAnsi="Garamond" w:cs="Calibri"/>
                <w:sz w:val="21"/>
                <w:szCs w:val="21"/>
              </w:rPr>
            </w:pPr>
            <w:r w:rsidRPr="004B057E">
              <w:rPr>
                <w:rFonts w:ascii="Garamond" w:hAnsi="Garamond" w:cs="Calibri"/>
                <w:color w:val="000000"/>
                <w:sz w:val="21"/>
                <w:szCs w:val="21"/>
              </w:rPr>
              <w:t>Dirección General de Estadísticas Sociodemográficas</w:t>
            </w:r>
          </w:p>
        </w:tc>
      </w:tr>
      <w:tr w:rsidR="0025414B" w:rsidRPr="004B057E" w14:paraId="14F77708"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5DB604D5" w14:textId="487CC91F"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color w:val="000000"/>
                <w:sz w:val="21"/>
                <w:szCs w:val="21"/>
              </w:rPr>
              <w:t>dggma</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2AE45757" w14:textId="0B28E616" w:rsidR="0025414B" w:rsidRPr="004B057E" w:rsidRDefault="0025414B" w:rsidP="0025414B">
            <w:pPr>
              <w:spacing w:after="0"/>
              <w:rPr>
                <w:rFonts w:ascii="Garamond" w:hAnsi="Garamond" w:cs="Calibri"/>
                <w:sz w:val="21"/>
                <w:szCs w:val="21"/>
              </w:rPr>
            </w:pPr>
            <w:r w:rsidRPr="004B057E">
              <w:rPr>
                <w:rFonts w:ascii="Garamond" w:hAnsi="Garamond" w:cs="Calibri"/>
                <w:color w:val="000000"/>
                <w:sz w:val="21"/>
                <w:szCs w:val="21"/>
              </w:rPr>
              <w:t>Dirección General de Geografía y Medio Ambiente</w:t>
            </w:r>
          </w:p>
        </w:tc>
      </w:tr>
      <w:tr w:rsidR="0025414B" w:rsidRPr="004B057E" w14:paraId="49651A07"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282F4B2E" w14:textId="0A4E6F00"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color w:val="000000"/>
                <w:sz w:val="21"/>
                <w:szCs w:val="21"/>
              </w:rPr>
              <w:t>dgiai</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3963EC18" w14:textId="319EC47B" w:rsidR="0025414B" w:rsidRPr="004B057E" w:rsidRDefault="0025414B" w:rsidP="0025414B">
            <w:pPr>
              <w:spacing w:after="0"/>
              <w:rPr>
                <w:rFonts w:ascii="Garamond" w:hAnsi="Garamond" w:cs="Calibri"/>
                <w:sz w:val="21"/>
                <w:szCs w:val="21"/>
              </w:rPr>
            </w:pPr>
            <w:r>
              <w:rPr>
                <w:rFonts w:ascii="Garamond" w:hAnsi="Garamond" w:cs="Calibri"/>
                <w:color w:val="000000"/>
                <w:sz w:val="21"/>
                <w:szCs w:val="21"/>
              </w:rPr>
              <w:t>Dirección General de Integración</w:t>
            </w:r>
            <w:r w:rsidR="008C3A48">
              <w:rPr>
                <w:rFonts w:ascii="Garamond" w:hAnsi="Garamond" w:cs="Calibri"/>
                <w:color w:val="000000"/>
                <w:sz w:val="21"/>
                <w:szCs w:val="21"/>
              </w:rPr>
              <w:t>,</w:t>
            </w:r>
            <w:r>
              <w:rPr>
                <w:rFonts w:ascii="Garamond" w:hAnsi="Garamond" w:cs="Calibri"/>
                <w:color w:val="000000"/>
                <w:sz w:val="21"/>
                <w:szCs w:val="21"/>
              </w:rPr>
              <w:t xml:space="preserve"> Análisis e Investigación</w:t>
            </w:r>
          </w:p>
        </w:tc>
      </w:tr>
      <w:tr w:rsidR="0025414B" w:rsidRPr="004B057E" w14:paraId="62418A73"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C274E9" w14:textId="230CBA07"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eaec</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60BEAF6"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Anual de Empresas Constructoras</w:t>
            </w:r>
          </w:p>
        </w:tc>
      </w:tr>
      <w:tr w:rsidR="0025414B" w:rsidRPr="004B057E" w14:paraId="4F456EF0"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43D37167" w14:textId="2B6D6641"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color w:val="000000"/>
                <w:sz w:val="21"/>
                <w:szCs w:val="21"/>
              </w:rPr>
              <w:t>iio</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21B24673" w14:textId="19927D71" w:rsidR="0025414B" w:rsidRPr="004B057E" w:rsidRDefault="0025414B" w:rsidP="0025414B">
            <w:pPr>
              <w:spacing w:after="0"/>
              <w:rPr>
                <w:rFonts w:ascii="Garamond" w:hAnsi="Garamond" w:cs="Calibri"/>
                <w:sz w:val="21"/>
                <w:szCs w:val="21"/>
              </w:rPr>
            </w:pPr>
            <w:r>
              <w:rPr>
                <w:rFonts w:ascii="Garamond" w:hAnsi="Garamond" w:cs="Calibri"/>
                <w:color w:val="000000"/>
                <w:sz w:val="21"/>
                <w:szCs w:val="21"/>
              </w:rPr>
              <w:t>Indicador Institucional de Oportunidad</w:t>
            </w:r>
          </w:p>
        </w:tc>
      </w:tr>
      <w:tr w:rsidR="0025414B" w:rsidRPr="004B057E" w14:paraId="32D2C31C"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76948A1" w14:textId="3FC2D4EC"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eaim</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D13FCB6"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Anual de la Industria Manufacturera</w:t>
            </w:r>
          </w:p>
        </w:tc>
      </w:tr>
      <w:tr w:rsidR="0025414B" w:rsidRPr="004B057E" w14:paraId="1CADCE0B"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93DFB6" w14:textId="36028B70"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easpnf</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5FA4173" w14:textId="39955EF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 xml:space="preserve">Encuesta Anual de Servicios Privados no </w:t>
            </w:r>
            <w:r w:rsidR="00286627">
              <w:rPr>
                <w:rFonts w:ascii="Garamond" w:hAnsi="Garamond" w:cs="Calibri"/>
                <w:sz w:val="21"/>
                <w:szCs w:val="21"/>
              </w:rPr>
              <w:t>F</w:t>
            </w:r>
            <w:r w:rsidRPr="004B057E">
              <w:rPr>
                <w:rFonts w:ascii="Garamond" w:hAnsi="Garamond" w:cs="Calibri"/>
                <w:sz w:val="21"/>
                <w:szCs w:val="21"/>
              </w:rPr>
              <w:t>inancieros</w:t>
            </w:r>
          </w:p>
        </w:tc>
      </w:tr>
      <w:tr w:rsidR="0025414B" w:rsidRPr="004B057E" w14:paraId="5EB83CCA"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2C639D0" w14:textId="574D1833" w:rsidR="0025414B" w:rsidRPr="007D22AF" w:rsidRDefault="007C6EDF" w:rsidP="0025414B">
            <w:pPr>
              <w:spacing w:after="0"/>
              <w:rPr>
                <w:rFonts w:ascii="Garamond" w:hAnsi="Garamond" w:cs="Calibri"/>
                <w:smallCaps/>
                <w:sz w:val="21"/>
                <w:szCs w:val="21"/>
                <w:lang w:val="en-US"/>
              </w:rPr>
            </w:pPr>
            <w:r w:rsidRPr="007C6EDF">
              <w:rPr>
                <w:rFonts w:ascii="Garamond" w:hAnsi="Garamond" w:cs="Calibri"/>
                <w:smallCaps/>
                <w:sz w:val="21"/>
                <w:szCs w:val="21"/>
                <w:lang w:val="en-US"/>
              </w:rPr>
              <w:t>eat</w:t>
            </w:r>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9A4B4C9"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Anual de Transportes</w:t>
            </w:r>
          </w:p>
        </w:tc>
      </w:tr>
      <w:tr w:rsidR="0025414B" w:rsidRPr="007458B1" w14:paraId="0E10D51E"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5D00ECF2" w14:textId="5A9D4487"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ecis</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078ED868" w14:textId="77777777" w:rsidR="0025414B" w:rsidRPr="007458B1" w:rsidRDefault="0025414B" w:rsidP="0025414B">
            <w:pPr>
              <w:spacing w:after="0"/>
              <w:rPr>
                <w:rFonts w:ascii="Garamond" w:hAnsi="Garamond" w:cs="Calibri"/>
                <w:sz w:val="21"/>
                <w:szCs w:val="21"/>
              </w:rPr>
            </w:pPr>
            <w:r w:rsidRPr="007458B1">
              <w:rPr>
                <w:rFonts w:ascii="Garamond" w:hAnsi="Garamond" w:cs="Calibri"/>
                <w:sz w:val="21"/>
                <w:szCs w:val="21"/>
              </w:rPr>
              <w:t>Encuesta de Comercio Internacional de Servicios</w:t>
            </w:r>
          </w:p>
        </w:tc>
      </w:tr>
      <w:tr w:rsidR="0025414B" w:rsidRPr="004B057E" w14:paraId="7EE1979E"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CC9061" w14:textId="5B5ADD76"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rPr>
              <w:t>efipem</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CBA0B8"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Finanzas Públicas Estatales y Municipales</w:t>
            </w:r>
          </w:p>
        </w:tc>
      </w:tr>
      <w:tr w:rsidR="0025414B" w:rsidRPr="004B057E" w14:paraId="104070A0"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F82945E" w14:textId="340BEF18"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emec</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829950"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Mensual Sobre Empresas Comerciales</w:t>
            </w:r>
          </w:p>
        </w:tc>
      </w:tr>
      <w:tr w:rsidR="0025414B" w:rsidRPr="00BF07E0" w14:paraId="0EE88BE4"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132D6672" w14:textId="5CF66659" w:rsidR="0025414B" w:rsidRPr="007D22AF" w:rsidRDefault="007C6EDF" w:rsidP="0025414B">
            <w:pPr>
              <w:spacing w:after="0"/>
              <w:rPr>
                <w:rFonts w:ascii="Garamond" w:hAnsi="Garamond" w:cs="Calibri"/>
                <w:smallCaps/>
                <w:sz w:val="21"/>
                <w:szCs w:val="21"/>
              </w:rPr>
            </w:pPr>
            <w:proofErr w:type="spellStart"/>
            <w:r w:rsidRPr="007C6EDF">
              <w:rPr>
                <w:rFonts w:ascii="Garamond" w:hAnsi="Garamond" w:cs="Calibri"/>
                <w:smallCaps/>
                <w:sz w:val="21"/>
                <w:szCs w:val="21"/>
              </w:rPr>
              <w:t>enadis</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4FBFDF5B" w14:textId="77777777" w:rsidR="0025414B" w:rsidRPr="00BF07E0" w:rsidRDefault="0025414B" w:rsidP="0025414B">
            <w:pPr>
              <w:spacing w:after="0"/>
              <w:rPr>
                <w:rFonts w:ascii="Garamond" w:hAnsi="Garamond" w:cs="Calibri"/>
                <w:sz w:val="21"/>
                <w:szCs w:val="21"/>
              </w:rPr>
            </w:pPr>
            <w:r w:rsidRPr="00BF07E0">
              <w:rPr>
                <w:rFonts w:ascii="Garamond" w:hAnsi="Garamond" w:cs="Calibri"/>
                <w:sz w:val="21"/>
                <w:szCs w:val="21"/>
              </w:rPr>
              <w:t>Encuesta Nacional sobre Discriminación</w:t>
            </w:r>
          </w:p>
        </w:tc>
      </w:tr>
      <w:tr w:rsidR="0025414B" w:rsidRPr="004B057E" w14:paraId="06E78B8A"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A4B578A" w14:textId="57AEAD54"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rPr>
              <w:t>enasjup</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769F4F8"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Nacional de Adolescentes en el Sistema de Justicia Penal</w:t>
            </w:r>
          </w:p>
        </w:tc>
      </w:tr>
      <w:tr w:rsidR="0025414B" w:rsidRPr="004B057E" w14:paraId="2FE87E92"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E0DE82" w14:textId="1B27761D"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rPr>
              <w:t>enco</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C515F6"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Nacional sobre Confianza del Consumidor</w:t>
            </w:r>
          </w:p>
        </w:tc>
      </w:tr>
      <w:tr w:rsidR="0025414B" w:rsidRPr="004B057E" w14:paraId="01362E59"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4C78CA" w14:textId="7603880D"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rPr>
              <w:t>enec</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C29760"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Nacional de Empresas Constructoras</w:t>
            </w:r>
          </w:p>
        </w:tc>
      </w:tr>
      <w:tr w:rsidR="0025414B" w:rsidRPr="004B057E" w14:paraId="229E52EA"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69CB219" w14:textId="641403B4"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enoe</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469318B"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Encuesta Nacional de Ocupación y Empleo</w:t>
            </w:r>
          </w:p>
        </w:tc>
      </w:tr>
      <w:tr w:rsidR="0025414B" w:rsidRPr="004B057E" w14:paraId="502FCEE3"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DF99B0" w14:textId="7D02A612"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ensu</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317B962"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 xml:space="preserve">Encuesta Nacional de Seguridad Pública Urbana </w:t>
            </w:r>
          </w:p>
        </w:tc>
      </w:tr>
      <w:tr w:rsidR="0025414B" w:rsidRPr="004B057E" w14:paraId="42193543"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520BA5F" w14:textId="370B6BE1"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rPr>
              <w:t>molec</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39ABB88"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Módulo de Lectura</w:t>
            </w:r>
          </w:p>
        </w:tc>
      </w:tr>
      <w:tr w:rsidR="0025414B" w:rsidRPr="004B057E" w14:paraId="746B54A2"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C1D118C" w14:textId="5DA3E54B" w:rsidR="0025414B" w:rsidRPr="007D22AF" w:rsidRDefault="007C6EDF" w:rsidP="0025414B">
            <w:pPr>
              <w:spacing w:after="0"/>
              <w:rPr>
                <w:rFonts w:ascii="Garamond" w:hAnsi="Garamond" w:cs="Calibri"/>
                <w:smallCaps/>
                <w:sz w:val="21"/>
                <w:szCs w:val="21"/>
                <w:lang w:val="en-US"/>
              </w:rPr>
            </w:pPr>
            <w:proofErr w:type="spellStart"/>
            <w:r w:rsidRPr="007C6EDF">
              <w:rPr>
                <w:rFonts w:ascii="Garamond" w:hAnsi="Garamond" w:cs="Calibri"/>
                <w:smallCaps/>
                <w:sz w:val="21"/>
                <w:szCs w:val="21"/>
                <w:lang w:val="en-US"/>
              </w:rPr>
              <w:t>mopradef</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2370944" w14:textId="77777777" w:rsidR="0025414B" w:rsidRPr="004B057E" w:rsidRDefault="0025414B" w:rsidP="0025414B">
            <w:pPr>
              <w:spacing w:after="0"/>
              <w:rPr>
                <w:rFonts w:ascii="Garamond" w:hAnsi="Garamond" w:cs="Calibri"/>
                <w:sz w:val="21"/>
                <w:szCs w:val="21"/>
              </w:rPr>
            </w:pPr>
            <w:r w:rsidRPr="004B057E">
              <w:rPr>
                <w:rFonts w:ascii="Garamond" w:hAnsi="Garamond" w:cs="Calibri"/>
                <w:sz w:val="21"/>
                <w:szCs w:val="21"/>
              </w:rPr>
              <w:t>Módulo de Práctica Deportiva y Ejercicio Físico</w:t>
            </w:r>
          </w:p>
        </w:tc>
      </w:tr>
      <w:tr w:rsidR="000F0113" w:rsidRPr="004B057E" w14:paraId="653E24A9"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16942DAD" w14:textId="338792B4" w:rsidR="000F0113" w:rsidRPr="007D22AF" w:rsidRDefault="007C6EDF" w:rsidP="000F0113">
            <w:pPr>
              <w:spacing w:after="0"/>
              <w:rPr>
                <w:rFonts w:ascii="Garamond" w:hAnsi="Garamond" w:cs="Calibri"/>
                <w:smallCaps/>
                <w:sz w:val="21"/>
                <w:szCs w:val="21"/>
                <w:lang w:val="en-US"/>
              </w:rPr>
            </w:pPr>
            <w:proofErr w:type="spellStart"/>
            <w:r w:rsidRPr="007C6EDF">
              <w:rPr>
                <w:rFonts w:ascii="Garamond" w:hAnsi="Garamond" w:cs="Calibri"/>
                <w:smallCaps/>
                <w:color w:val="000000"/>
                <w:sz w:val="21"/>
                <w:szCs w:val="21"/>
              </w:rPr>
              <w:t>pnd</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4DA8F14E" w14:textId="5223A1C3" w:rsidR="000F0113" w:rsidRPr="004B057E" w:rsidRDefault="000F0113" w:rsidP="000F0113">
            <w:pPr>
              <w:spacing w:after="0"/>
              <w:rPr>
                <w:rFonts w:ascii="Garamond" w:hAnsi="Garamond" w:cs="Calibri"/>
                <w:sz w:val="21"/>
                <w:szCs w:val="21"/>
              </w:rPr>
            </w:pPr>
            <w:r>
              <w:rPr>
                <w:rFonts w:ascii="Garamond" w:hAnsi="Garamond" w:cs="Calibri"/>
                <w:color w:val="000000"/>
                <w:sz w:val="21"/>
                <w:szCs w:val="21"/>
              </w:rPr>
              <w:t>Plan Nacional de Desarrollo</w:t>
            </w:r>
          </w:p>
        </w:tc>
      </w:tr>
      <w:tr w:rsidR="000F0113" w:rsidRPr="004B057E" w14:paraId="66466ED8"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549AD05F" w14:textId="5B183DBE" w:rsidR="000F0113" w:rsidRPr="007D22AF" w:rsidRDefault="007C6EDF" w:rsidP="000F0113">
            <w:pPr>
              <w:spacing w:after="0"/>
              <w:rPr>
                <w:rFonts w:ascii="Garamond" w:hAnsi="Garamond" w:cs="Calibri"/>
                <w:smallCaps/>
                <w:sz w:val="21"/>
                <w:szCs w:val="21"/>
              </w:rPr>
            </w:pPr>
            <w:proofErr w:type="spellStart"/>
            <w:r w:rsidRPr="007C6EDF">
              <w:rPr>
                <w:rFonts w:ascii="Garamond" w:hAnsi="Garamond" w:cs="Calibri"/>
                <w:smallCaps/>
                <w:sz w:val="21"/>
                <w:szCs w:val="21"/>
              </w:rPr>
              <w:t>rnc</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5238C0BA" w14:textId="77777777" w:rsidR="000F0113" w:rsidRPr="004B057E" w:rsidRDefault="000F0113" w:rsidP="000F0113">
            <w:pPr>
              <w:spacing w:after="0"/>
              <w:rPr>
                <w:rFonts w:ascii="Garamond" w:hAnsi="Garamond" w:cs="Calibri"/>
                <w:sz w:val="21"/>
                <w:szCs w:val="21"/>
              </w:rPr>
            </w:pPr>
            <w:r w:rsidRPr="004B057E">
              <w:rPr>
                <w:rFonts w:ascii="Garamond" w:hAnsi="Garamond" w:cs="Calibri"/>
                <w:sz w:val="21"/>
                <w:szCs w:val="21"/>
              </w:rPr>
              <w:t>Red Nacional de Caminos</w:t>
            </w:r>
          </w:p>
        </w:tc>
      </w:tr>
      <w:tr w:rsidR="000F0113" w:rsidRPr="004B057E" w14:paraId="10EA7610" w14:textId="77777777" w:rsidTr="00BC553F">
        <w:trPr>
          <w:trHeight w:val="20"/>
          <w:jc w:val="center"/>
        </w:trPr>
        <w:tc>
          <w:tcPr>
            <w:tcW w:w="1555" w:type="dxa"/>
            <w:tcBorders>
              <w:top w:val="single" w:sz="4" w:space="0" w:color="BFBFBF" w:themeColor="background1" w:themeShade="BF"/>
              <w:bottom w:val="single" w:sz="4" w:space="0" w:color="BFBFBF" w:themeColor="background1" w:themeShade="BF"/>
            </w:tcBorders>
            <w:shd w:val="clear" w:color="auto" w:fill="auto"/>
            <w:noWrap/>
            <w:vAlign w:val="center"/>
          </w:tcPr>
          <w:p w14:paraId="3717350D" w14:textId="0D337382" w:rsidR="000F0113" w:rsidRPr="007D22AF" w:rsidRDefault="007C6EDF" w:rsidP="000F0113">
            <w:pPr>
              <w:spacing w:after="0"/>
              <w:rPr>
                <w:rFonts w:ascii="Garamond" w:hAnsi="Garamond" w:cs="Calibri"/>
                <w:smallCaps/>
                <w:sz w:val="21"/>
                <w:szCs w:val="21"/>
              </w:rPr>
            </w:pPr>
            <w:proofErr w:type="spellStart"/>
            <w:r w:rsidRPr="007C6EDF">
              <w:rPr>
                <w:rFonts w:ascii="Garamond" w:hAnsi="Garamond" w:cs="Calibri"/>
                <w:smallCaps/>
                <w:sz w:val="21"/>
                <w:szCs w:val="21"/>
              </w:rPr>
              <w:t>scnm_ct</w:t>
            </w:r>
            <w:proofErr w:type="spellEnd"/>
          </w:p>
        </w:tc>
        <w:tc>
          <w:tcPr>
            <w:tcW w:w="8510" w:type="dxa"/>
            <w:tcBorders>
              <w:top w:val="single" w:sz="4" w:space="0" w:color="BFBFBF" w:themeColor="background1" w:themeShade="BF"/>
              <w:bottom w:val="single" w:sz="4" w:space="0" w:color="BFBFBF" w:themeColor="background1" w:themeShade="BF"/>
            </w:tcBorders>
            <w:shd w:val="clear" w:color="auto" w:fill="auto"/>
            <w:noWrap/>
            <w:vAlign w:val="center"/>
          </w:tcPr>
          <w:p w14:paraId="105B12BC" w14:textId="77777777" w:rsidR="000F0113" w:rsidRPr="004B057E" w:rsidRDefault="000F0113" w:rsidP="000F0113">
            <w:pPr>
              <w:spacing w:after="0"/>
              <w:rPr>
                <w:rFonts w:ascii="Garamond" w:hAnsi="Garamond" w:cs="Calibri"/>
                <w:sz w:val="21"/>
                <w:szCs w:val="21"/>
              </w:rPr>
            </w:pPr>
            <w:r w:rsidRPr="004B057E">
              <w:rPr>
                <w:rFonts w:ascii="Garamond" w:hAnsi="Garamond" w:cs="Calibri"/>
                <w:sz w:val="21"/>
                <w:szCs w:val="21"/>
              </w:rPr>
              <w:t>Cuentas Satélite y sus Indicadores</w:t>
            </w:r>
          </w:p>
        </w:tc>
      </w:tr>
      <w:tr w:rsidR="000F0113" w:rsidRPr="004B057E" w14:paraId="60795DB8" w14:textId="77777777" w:rsidTr="00BC553F">
        <w:trPr>
          <w:trHeight w:val="20"/>
          <w:jc w:val="center"/>
        </w:trPr>
        <w:tc>
          <w:tcPr>
            <w:tcW w:w="1555" w:type="dxa"/>
            <w:tcBorders>
              <w:top w:val="single" w:sz="4" w:space="0" w:color="BFBFBF" w:themeColor="background1" w:themeShade="BF"/>
            </w:tcBorders>
            <w:shd w:val="clear" w:color="auto" w:fill="auto"/>
            <w:noWrap/>
            <w:vAlign w:val="center"/>
          </w:tcPr>
          <w:p w14:paraId="0DC00D65" w14:textId="625D930B" w:rsidR="000F0113" w:rsidRPr="007D22AF" w:rsidRDefault="007C6EDF" w:rsidP="000F0113">
            <w:pPr>
              <w:spacing w:after="0"/>
              <w:rPr>
                <w:rFonts w:ascii="Garamond" w:hAnsi="Garamond" w:cs="Calibri"/>
                <w:smallCaps/>
                <w:sz w:val="21"/>
                <w:szCs w:val="21"/>
              </w:rPr>
            </w:pPr>
            <w:r w:rsidRPr="007C6EDF">
              <w:rPr>
                <w:rFonts w:ascii="Garamond" w:hAnsi="Garamond" w:cs="Calibri"/>
                <w:smallCaps/>
                <w:sz w:val="21"/>
                <w:szCs w:val="21"/>
              </w:rPr>
              <w:t>topo</w:t>
            </w:r>
          </w:p>
        </w:tc>
        <w:tc>
          <w:tcPr>
            <w:tcW w:w="8510" w:type="dxa"/>
            <w:tcBorders>
              <w:top w:val="single" w:sz="4" w:space="0" w:color="BFBFBF" w:themeColor="background1" w:themeShade="BF"/>
            </w:tcBorders>
            <w:shd w:val="clear" w:color="auto" w:fill="auto"/>
            <w:noWrap/>
            <w:vAlign w:val="center"/>
          </w:tcPr>
          <w:p w14:paraId="1BCE9D68" w14:textId="77777777" w:rsidR="000F0113" w:rsidRPr="004B057E" w:rsidRDefault="000F0113" w:rsidP="000F0113">
            <w:pPr>
              <w:spacing w:after="0"/>
              <w:rPr>
                <w:rFonts w:ascii="Garamond" w:hAnsi="Garamond" w:cs="Calibri"/>
                <w:sz w:val="21"/>
                <w:szCs w:val="21"/>
              </w:rPr>
            </w:pPr>
            <w:r w:rsidRPr="004B057E">
              <w:rPr>
                <w:rFonts w:ascii="Garamond" w:hAnsi="Garamond" w:cs="Calibri"/>
                <w:sz w:val="21"/>
                <w:szCs w:val="21"/>
              </w:rPr>
              <w:t>Topografía</w:t>
            </w:r>
          </w:p>
        </w:tc>
      </w:tr>
    </w:tbl>
    <w:p w14:paraId="3D43AC75" w14:textId="77777777" w:rsidR="009D203B" w:rsidRPr="00B93915" w:rsidRDefault="009D203B" w:rsidP="00C956F1">
      <w:pPr>
        <w:spacing w:before="240"/>
        <w:jc w:val="both"/>
        <w:rPr>
          <w:rFonts w:ascii="Garamond" w:hAnsi="Garamond"/>
        </w:rPr>
      </w:pPr>
    </w:p>
    <w:sectPr w:rsidR="009D203B" w:rsidRPr="00B93915" w:rsidSect="00DC37AD">
      <w:headerReference w:type="even" r:id="rId27"/>
      <w:headerReference w:type="default" r:id="rId28"/>
      <w:footerReference w:type="even" r:id="rId29"/>
      <w:footerReference w:type="default" r:id="rId30"/>
      <w:pgSz w:w="12240" w:h="15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9785" w14:textId="77777777" w:rsidR="00603830" w:rsidRPr="00395213" w:rsidRDefault="00603830" w:rsidP="000331FF">
      <w:pPr>
        <w:spacing w:after="0" w:line="240" w:lineRule="auto"/>
      </w:pPr>
      <w:r w:rsidRPr="00395213">
        <w:separator/>
      </w:r>
    </w:p>
  </w:endnote>
  <w:endnote w:type="continuationSeparator" w:id="0">
    <w:p w14:paraId="4C1E87B8" w14:textId="77777777" w:rsidR="00603830" w:rsidRPr="00395213" w:rsidRDefault="00603830" w:rsidP="000331FF">
      <w:pPr>
        <w:spacing w:after="0" w:line="240" w:lineRule="auto"/>
      </w:pPr>
      <w:r w:rsidRPr="00395213">
        <w:continuationSeparator/>
      </w:r>
    </w:p>
  </w:endnote>
  <w:endnote w:type="continuationNotice" w:id="1">
    <w:p w14:paraId="01E86A93" w14:textId="77777777" w:rsidR="00603830" w:rsidRPr="00395213" w:rsidRDefault="006038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03617"/>
      <w:docPartObj>
        <w:docPartGallery w:val="Page Numbers (Bottom of Page)"/>
        <w:docPartUnique/>
      </w:docPartObj>
    </w:sdtPr>
    <w:sdtEndPr/>
    <w:sdtContent>
      <w:p w14:paraId="1B516E36" w14:textId="56BBEE6B" w:rsidR="00431D67" w:rsidRPr="00395213" w:rsidRDefault="00431D67">
        <w:pPr>
          <w:pStyle w:val="Piedepgina"/>
          <w:jc w:val="right"/>
        </w:pPr>
        <w:r w:rsidRPr="005B4E90">
          <w:rPr>
            <w:rFonts w:ascii="Garamond" w:hAnsi="Garamond"/>
          </w:rPr>
          <w:fldChar w:fldCharType="begin"/>
        </w:r>
        <w:r w:rsidRPr="005B4E90">
          <w:rPr>
            <w:rFonts w:ascii="Garamond" w:hAnsi="Garamond"/>
          </w:rPr>
          <w:instrText>PAGE   \* MERGEFORMAT</w:instrText>
        </w:r>
        <w:r w:rsidRPr="005B4E90">
          <w:rPr>
            <w:rFonts w:ascii="Garamond" w:hAnsi="Garamond"/>
          </w:rPr>
          <w:fldChar w:fldCharType="separate"/>
        </w:r>
        <w:r w:rsidRPr="005B4E90">
          <w:rPr>
            <w:rFonts w:ascii="Garamond" w:hAnsi="Garamond"/>
          </w:rPr>
          <w:t>2</w:t>
        </w:r>
        <w:r w:rsidRPr="005B4E90">
          <w:rPr>
            <w:rFonts w:ascii="Garamond" w:hAnsi="Garamond"/>
          </w:rPr>
          <w:fldChar w:fldCharType="end"/>
        </w:r>
      </w:p>
    </w:sdtContent>
  </w:sdt>
  <w:p w14:paraId="0BE9A2FA" w14:textId="77777777" w:rsidR="00431D67" w:rsidRPr="00395213" w:rsidRDefault="00431D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69945"/>
      <w:docPartObj>
        <w:docPartGallery w:val="Page Numbers (Bottom of Page)"/>
        <w:docPartUnique/>
      </w:docPartObj>
    </w:sdtPr>
    <w:sdtEndPr>
      <w:rPr>
        <w:rFonts w:ascii="Garamond" w:hAnsi="Garamond"/>
      </w:rPr>
    </w:sdtEndPr>
    <w:sdtContent>
      <w:p w14:paraId="23385DCC" w14:textId="76AD1000" w:rsidR="00431D67" w:rsidRPr="00BE414E" w:rsidRDefault="00431D67">
        <w:pPr>
          <w:pStyle w:val="Piedepgina"/>
          <w:jc w:val="right"/>
          <w:rPr>
            <w:rFonts w:ascii="Garamond" w:hAnsi="Garamond"/>
          </w:rPr>
        </w:pPr>
        <w:r w:rsidRPr="00BE414E">
          <w:rPr>
            <w:rFonts w:ascii="Garamond" w:hAnsi="Garamond"/>
          </w:rPr>
          <w:fldChar w:fldCharType="begin"/>
        </w:r>
        <w:r w:rsidRPr="00BE414E">
          <w:rPr>
            <w:rFonts w:ascii="Garamond" w:hAnsi="Garamond"/>
          </w:rPr>
          <w:instrText>PAGE   \* MERGEFORMAT</w:instrText>
        </w:r>
        <w:r w:rsidRPr="00BE414E">
          <w:rPr>
            <w:rFonts w:ascii="Garamond" w:hAnsi="Garamond"/>
          </w:rPr>
          <w:fldChar w:fldCharType="separate"/>
        </w:r>
        <w:r w:rsidRPr="00BE414E">
          <w:rPr>
            <w:rFonts w:ascii="Garamond" w:hAnsi="Garamond"/>
          </w:rPr>
          <w:t>17</w:t>
        </w:r>
        <w:r w:rsidRPr="00BE414E">
          <w:rPr>
            <w:rFonts w:ascii="Garamond" w:hAnsi="Garamond"/>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1EA16" w14:textId="77777777" w:rsidR="00603830" w:rsidRPr="00395213" w:rsidRDefault="00603830" w:rsidP="000331FF">
      <w:pPr>
        <w:spacing w:after="0" w:line="240" w:lineRule="auto"/>
      </w:pPr>
      <w:r w:rsidRPr="00395213">
        <w:separator/>
      </w:r>
    </w:p>
  </w:footnote>
  <w:footnote w:type="continuationSeparator" w:id="0">
    <w:p w14:paraId="1FEB0E66" w14:textId="77777777" w:rsidR="00603830" w:rsidRPr="00395213" w:rsidRDefault="00603830" w:rsidP="000331FF">
      <w:pPr>
        <w:spacing w:after="0" w:line="240" w:lineRule="auto"/>
      </w:pPr>
      <w:r w:rsidRPr="00395213">
        <w:continuationSeparator/>
      </w:r>
    </w:p>
  </w:footnote>
  <w:footnote w:type="continuationNotice" w:id="1">
    <w:p w14:paraId="2A1894BB" w14:textId="77777777" w:rsidR="00603830" w:rsidRPr="00395213" w:rsidRDefault="00603830">
      <w:pPr>
        <w:spacing w:after="0" w:line="240" w:lineRule="auto"/>
      </w:pPr>
    </w:p>
  </w:footnote>
  <w:footnote w:id="2">
    <w:p w14:paraId="609D6B5E" w14:textId="618D8336" w:rsidR="00F530AC" w:rsidRPr="00BB4FDF" w:rsidRDefault="00F530AC">
      <w:pPr>
        <w:pStyle w:val="Textonotapie"/>
        <w:rPr>
          <w:rFonts w:ascii="Garamond" w:hAnsi="Garamond"/>
          <w:sz w:val="18"/>
          <w:szCs w:val="18"/>
        </w:rPr>
      </w:pPr>
      <w:r w:rsidRPr="00BB4FDF">
        <w:rPr>
          <w:rStyle w:val="Refdenotaalpie"/>
          <w:rFonts w:ascii="Garamond" w:hAnsi="Garamond"/>
          <w:sz w:val="18"/>
          <w:szCs w:val="18"/>
        </w:rPr>
        <w:footnoteRef/>
      </w:r>
      <w:r w:rsidRPr="00BB4FDF">
        <w:rPr>
          <w:rFonts w:ascii="Garamond" w:hAnsi="Garamond"/>
          <w:sz w:val="18"/>
          <w:szCs w:val="18"/>
        </w:rPr>
        <w:t xml:space="preserve"> Para mayor detalle de los cursos impartidos </w:t>
      </w:r>
      <w:r w:rsidR="00E7388C" w:rsidRPr="00BB4FDF">
        <w:rPr>
          <w:rFonts w:ascii="Garamond" w:hAnsi="Garamond"/>
          <w:sz w:val="18"/>
          <w:szCs w:val="18"/>
        </w:rPr>
        <w:t>ver el Anexo 1.</w:t>
      </w:r>
    </w:p>
  </w:footnote>
  <w:footnote w:id="3">
    <w:p w14:paraId="39AD29CC" w14:textId="462A434C" w:rsidR="001E4BE0" w:rsidRPr="00BB4FDF" w:rsidRDefault="001E4BE0" w:rsidP="004A5DD3">
      <w:pPr>
        <w:pStyle w:val="Textonotapie"/>
        <w:jc w:val="both"/>
        <w:rPr>
          <w:rFonts w:ascii="Garamond" w:hAnsi="Garamond"/>
          <w:sz w:val="18"/>
          <w:szCs w:val="18"/>
        </w:rPr>
      </w:pPr>
      <w:r w:rsidRPr="00BB4FDF">
        <w:rPr>
          <w:rStyle w:val="Refdenotaalpie"/>
          <w:rFonts w:ascii="Garamond" w:hAnsi="Garamond"/>
          <w:sz w:val="18"/>
          <w:szCs w:val="18"/>
        </w:rPr>
        <w:footnoteRef/>
      </w:r>
      <w:r w:rsidRPr="00BB4FDF">
        <w:rPr>
          <w:rFonts w:ascii="Garamond" w:hAnsi="Garamond"/>
          <w:sz w:val="18"/>
          <w:szCs w:val="18"/>
        </w:rPr>
        <w:t xml:space="preserve"> </w:t>
      </w:r>
      <w:r w:rsidR="0021500F" w:rsidRPr="00BB4FDF">
        <w:rPr>
          <w:rFonts w:ascii="Garamond" w:hAnsi="Garamond"/>
          <w:sz w:val="18"/>
          <w:szCs w:val="18"/>
        </w:rPr>
        <w:t>L</w:t>
      </w:r>
      <w:r w:rsidR="00571A6B" w:rsidRPr="00BB4FDF">
        <w:rPr>
          <w:rFonts w:ascii="Garamond" w:hAnsi="Garamond"/>
          <w:sz w:val="18"/>
          <w:szCs w:val="18"/>
        </w:rPr>
        <w:t xml:space="preserve">os </w:t>
      </w:r>
      <w:r w:rsidR="003459EF" w:rsidRPr="00BB4FDF">
        <w:rPr>
          <w:rFonts w:ascii="Garamond" w:hAnsi="Garamond"/>
          <w:sz w:val="18"/>
          <w:szCs w:val="18"/>
        </w:rPr>
        <w:t xml:space="preserve">resultados </w:t>
      </w:r>
      <w:r w:rsidR="00571A6B" w:rsidRPr="00BB4FDF">
        <w:rPr>
          <w:rFonts w:ascii="Garamond" w:hAnsi="Garamond"/>
          <w:sz w:val="18"/>
          <w:szCs w:val="18"/>
        </w:rPr>
        <w:t xml:space="preserve">presentados </w:t>
      </w:r>
      <w:r w:rsidR="007F1211" w:rsidRPr="00BB4FDF">
        <w:rPr>
          <w:rFonts w:ascii="Garamond" w:hAnsi="Garamond"/>
          <w:sz w:val="18"/>
          <w:szCs w:val="18"/>
        </w:rPr>
        <w:t xml:space="preserve">son </w:t>
      </w:r>
      <w:r w:rsidR="00A024AC" w:rsidRPr="00BB4FDF">
        <w:rPr>
          <w:rFonts w:ascii="Garamond" w:hAnsi="Garamond"/>
          <w:sz w:val="18"/>
          <w:szCs w:val="18"/>
        </w:rPr>
        <w:t>elaboración de</w:t>
      </w:r>
      <w:r w:rsidR="00CE480F" w:rsidRPr="00BB4FDF">
        <w:rPr>
          <w:rFonts w:ascii="Garamond" w:hAnsi="Garamond"/>
          <w:sz w:val="18"/>
          <w:szCs w:val="18"/>
        </w:rPr>
        <w:t xml:space="preserve"> la </w:t>
      </w:r>
      <w:r w:rsidR="00DB6BDE" w:rsidRPr="002E0A4D">
        <w:rPr>
          <w:rFonts w:ascii="Garamond" w:hAnsi="Garamond"/>
          <w:smallCaps/>
          <w:sz w:val="18"/>
          <w:szCs w:val="18"/>
        </w:rPr>
        <w:t>dgiai</w:t>
      </w:r>
      <w:r w:rsidR="002674E4" w:rsidRPr="00BB4FDF">
        <w:rPr>
          <w:rFonts w:ascii="Garamond" w:hAnsi="Garamond"/>
          <w:sz w:val="18"/>
          <w:szCs w:val="18"/>
        </w:rPr>
        <w:t xml:space="preserve">, con base </w:t>
      </w:r>
      <w:r w:rsidR="00D62030" w:rsidRPr="00BB4FDF">
        <w:rPr>
          <w:rFonts w:ascii="Garamond" w:hAnsi="Garamond"/>
          <w:sz w:val="18"/>
          <w:szCs w:val="18"/>
        </w:rPr>
        <w:t xml:space="preserve">en los </w:t>
      </w:r>
      <w:r w:rsidR="00B02DC9" w:rsidRPr="00BB4FDF">
        <w:rPr>
          <w:rFonts w:ascii="Garamond" w:hAnsi="Garamond"/>
          <w:sz w:val="18"/>
          <w:szCs w:val="18"/>
        </w:rPr>
        <w:t xml:space="preserve">reportes </w:t>
      </w:r>
      <w:r w:rsidR="00500017" w:rsidRPr="00BB4FDF">
        <w:rPr>
          <w:rFonts w:ascii="Garamond" w:hAnsi="Garamond"/>
          <w:sz w:val="18"/>
          <w:szCs w:val="18"/>
        </w:rPr>
        <w:t xml:space="preserve">de los indicadores de calidad </w:t>
      </w:r>
      <w:r w:rsidR="00D62030" w:rsidRPr="00BB4FDF">
        <w:rPr>
          <w:rFonts w:ascii="Garamond" w:hAnsi="Garamond"/>
          <w:sz w:val="18"/>
          <w:szCs w:val="18"/>
        </w:rPr>
        <w:t xml:space="preserve">remitidos </w:t>
      </w:r>
      <w:r w:rsidR="002369B9" w:rsidRPr="00BB4FDF">
        <w:rPr>
          <w:rFonts w:ascii="Garamond" w:hAnsi="Garamond"/>
          <w:sz w:val="18"/>
          <w:szCs w:val="18"/>
        </w:rPr>
        <w:t>por</w:t>
      </w:r>
      <w:r w:rsidR="00B02DC9" w:rsidRPr="00BB4FDF">
        <w:rPr>
          <w:rFonts w:ascii="Garamond" w:hAnsi="Garamond"/>
          <w:sz w:val="18"/>
          <w:szCs w:val="18"/>
        </w:rPr>
        <w:t xml:space="preserve"> las áreas responsables.</w:t>
      </w:r>
    </w:p>
  </w:footnote>
  <w:footnote w:id="4">
    <w:p w14:paraId="147117E3" w14:textId="7963F698" w:rsidR="0085341D" w:rsidRPr="004D36BB" w:rsidRDefault="0085341D" w:rsidP="00E45079">
      <w:pPr>
        <w:pStyle w:val="Textonotapie"/>
        <w:jc w:val="both"/>
        <w:rPr>
          <w:sz w:val="18"/>
          <w:szCs w:val="18"/>
        </w:rPr>
      </w:pPr>
      <w:r w:rsidRPr="00BB4FDF">
        <w:rPr>
          <w:rStyle w:val="Refdenotaalpie"/>
          <w:rFonts w:ascii="Garamond" w:hAnsi="Garamond"/>
          <w:sz w:val="18"/>
          <w:szCs w:val="18"/>
        </w:rPr>
        <w:footnoteRef/>
      </w:r>
      <w:r w:rsidRPr="00BB4FDF">
        <w:rPr>
          <w:rFonts w:ascii="Garamond" w:hAnsi="Garamond"/>
          <w:sz w:val="18"/>
          <w:szCs w:val="18"/>
        </w:rPr>
        <w:t xml:space="preserve"> </w:t>
      </w:r>
      <w:r w:rsidR="00BB4FDF" w:rsidRPr="00BB4FDF">
        <w:rPr>
          <w:rFonts w:ascii="Garamond" w:hAnsi="Garamond"/>
          <w:sz w:val="18"/>
          <w:szCs w:val="18"/>
        </w:rPr>
        <w:t xml:space="preserve">Para mayor detalle, ver anexo </w:t>
      </w:r>
      <w:r w:rsidR="00A52E25">
        <w:rPr>
          <w:rFonts w:ascii="Garamond" w:hAnsi="Garamond"/>
          <w:sz w:val="18"/>
          <w:szCs w:val="18"/>
        </w:rPr>
        <w:t>2</w:t>
      </w:r>
      <w:r w:rsidR="00BB4FDF" w:rsidRPr="00BB4FDF">
        <w:rPr>
          <w:rFonts w:ascii="Garamond" w:hAnsi="Garamond"/>
          <w:sz w:val="18"/>
          <w:szCs w:val="18"/>
        </w:rPr>
        <w:t>.</w:t>
      </w:r>
    </w:p>
  </w:footnote>
  <w:footnote w:id="5">
    <w:p w14:paraId="31085999" w14:textId="45C3C1C2" w:rsidR="00BB4FDF" w:rsidRPr="00A52E25" w:rsidRDefault="00BB4FDF" w:rsidP="00E45079">
      <w:pPr>
        <w:pStyle w:val="Textonotapie"/>
        <w:jc w:val="both"/>
        <w:rPr>
          <w:rFonts w:ascii="Garamond" w:hAnsi="Garamond"/>
          <w:sz w:val="18"/>
          <w:szCs w:val="18"/>
          <w:lang w:val="es-ES"/>
        </w:rPr>
      </w:pPr>
      <w:r w:rsidRPr="00A52E25">
        <w:rPr>
          <w:rStyle w:val="Refdenotaalpie"/>
          <w:rFonts w:ascii="Garamond" w:hAnsi="Garamond"/>
          <w:sz w:val="18"/>
          <w:szCs w:val="18"/>
        </w:rPr>
        <w:footnoteRef/>
      </w:r>
      <w:r w:rsidRPr="00A52E25">
        <w:rPr>
          <w:rFonts w:ascii="Garamond" w:hAnsi="Garamond"/>
          <w:sz w:val="18"/>
          <w:szCs w:val="18"/>
        </w:rPr>
        <w:t xml:space="preserve"> </w:t>
      </w:r>
      <w:r w:rsidRPr="00A52E25">
        <w:rPr>
          <w:rFonts w:ascii="Garamond" w:hAnsi="Garamond"/>
          <w:sz w:val="18"/>
          <w:szCs w:val="18"/>
          <w:lang w:val="es-ES"/>
        </w:rPr>
        <w:t>Para mayor detalle ver</w:t>
      </w:r>
      <w:r w:rsidR="00F60B53" w:rsidRPr="00A52E25">
        <w:rPr>
          <w:rFonts w:ascii="Garamond" w:hAnsi="Garamond"/>
          <w:sz w:val="18"/>
          <w:szCs w:val="18"/>
          <w:lang w:val="es-ES"/>
        </w:rPr>
        <w:t xml:space="preserve"> los anexos 2 y 3</w:t>
      </w:r>
      <w:r w:rsidR="00FC0494" w:rsidRPr="00E41093">
        <w:rPr>
          <w:rFonts w:ascii="Garamond" w:hAnsi="Garamond"/>
          <w:sz w:val="18"/>
          <w:szCs w:val="18"/>
          <w:lang w:val="es-ES"/>
        </w:rPr>
        <w:t>.</w:t>
      </w:r>
    </w:p>
  </w:footnote>
  <w:footnote w:id="6">
    <w:p w14:paraId="6A7EAC0C" w14:textId="7D321E1A" w:rsidR="00A52E25" w:rsidRPr="00E41093" w:rsidRDefault="00A52E25" w:rsidP="00E45079">
      <w:pPr>
        <w:pStyle w:val="Textonotapie"/>
        <w:jc w:val="both"/>
        <w:rPr>
          <w:rFonts w:ascii="Garamond" w:hAnsi="Garamond"/>
          <w:sz w:val="18"/>
          <w:szCs w:val="18"/>
        </w:rPr>
      </w:pPr>
      <w:r w:rsidRPr="00A52E25">
        <w:rPr>
          <w:rStyle w:val="Refdenotaalpie"/>
          <w:rFonts w:ascii="Garamond" w:hAnsi="Garamond"/>
          <w:sz w:val="18"/>
          <w:szCs w:val="18"/>
        </w:rPr>
        <w:footnoteRef/>
      </w:r>
      <w:r w:rsidRPr="00A52E25">
        <w:rPr>
          <w:rFonts w:ascii="Garamond" w:hAnsi="Garamond"/>
          <w:sz w:val="18"/>
          <w:szCs w:val="18"/>
        </w:rPr>
        <w:t xml:space="preserve"> Para mayor detalle</w:t>
      </w:r>
      <w:r w:rsidRPr="00A52E25">
        <w:rPr>
          <w:rFonts w:ascii="Garamond" w:hAnsi="Garamond"/>
          <w:sz w:val="18"/>
          <w:szCs w:val="18"/>
        </w:rPr>
        <w:t xml:space="preserve"> ver anexo 3</w:t>
      </w:r>
      <w:r w:rsidR="00FC0494" w:rsidRPr="00E41093">
        <w:rPr>
          <w:rFonts w:ascii="Garamond" w:hAnsi="Garamond"/>
          <w:sz w:val="18"/>
          <w:szCs w:val="18"/>
        </w:rPr>
        <w:t>.</w:t>
      </w:r>
    </w:p>
  </w:footnote>
  <w:footnote w:id="7">
    <w:p w14:paraId="20570F16" w14:textId="072088B5" w:rsidR="00EB5243" w:rsidRPr="00BC39A3" w:rsidRDefault="00EB5243">
      <w:pPr>
        <w:pStyle w:val="Textonotapie"/>
        <w:rPr>
          <w:rFonts w:ascii="Garamond" w:hAnsi="Garamond"/>
          <w:sz w:val="18"/>
          <w:szCs w:val="18"/>
        </w:rPr>
      </w:pPr>
      <w:r w:rsidRPr="00BC39A3">
        <w:rPr>
          <w:rStyle w:val="Refdenotaalpie"/>
          <w:rFonts w:ascii="Garamond" w:hAnsi="Garamond"/>
          <w:sz w:val="18"/>
          <w:szCs w:val="18"/>
        </w:rPr>
        <w:footnoteRef/>
      </w:r>
      <w:r w:rsidRPr="00E45079">
        <w:rPr>
          <w:rFonts w:ascii="Garamond" w:hAnsi="Garamond"/>
          <w:sz w:val="18"/>
          <w:szCs w:val="18"/>
        </w:rPr>
        <w:t xml:space="preserve"> Ver ficha técnica disponible en </w:t>
      </w:r>
      <w:hyperlink r:id="rId1" w:history="1">
        <w:r w:rsidR="003F0B23" w:rsidRPr="00E45079">
          <w:rPr>
            <w:rStyle w:val="Hipervnculo"/>
            <w:rFonts w:ascii="Garamond" w:hAnsi="Garamond"/>
            <w:sz w:val="18"/>
            <w:szCs w:val="18"/>
          </w:rPr>
          <w:t>https://intranet.inegi.org.mx/calidad/indicadores-de-calidad-y-evaluaciones/</w:t>
        </w:r>
      </w:hyperlink>
      <w:r w:rsidR="003F0B23" w:rsidRPr="00E45079">
        <w:rPr>
          <w:rFonts w:ascii="Garamond" w:hAnsi="Garamond"/>
          <w:sz w:val="18"/>
          <w:szCs w:val="18"/>
        </w:rPr>
        <w:t>.</w:t>
      </w:r>
    </w:p>
  </w:footnote>
  <w:footnote w:id="8">
    <w:p w14:paraId="64CEDD60" w14:textId="0647A1B8" w:rsidR="00D5220F" w:rsidRPr="00BC39A3" w:rsidRDefault="00D5220F">
      <w:pPr>
        <w:pStyle w:val="Textonotapie"/>
        <w:rPr>
          <w:rFonts w:ascii="Garamond" w:hAnsi="Garamond"/>
          <w:sz w:val="18"/>
          <w:szCs w:val="18"/>
        </w:rPr>
      </w:pPr>
      <w:r w:rsidRPr="00BC39A3">
        <w:rPr>
          <w:rStyle w:val="Refdenotaalpie"/>
          <w:rFonts w:ascii="Garamond" w:hAnsi="Garamond"/>
          <w:sz w:val="18"/>
          <w:szCs w:val="18"/>
        </w:rPr>
        <w:footnoteRef/>
      </w:r>
      <w:r w:rsidRPr="00E45079">
        <w:rPr>
          <w:rFonts w:ascii="Garamond" w:hAnsi="Garamond"/>
          <w:sz w:val="18"/>
          <w:szCs w:val="18"/>
        </w:rPr>
        <w:t xml:space="preserve"> </w:t>
      </w:r>
      <w:r w:rsidR="005352B6" w:rsidRPr="00E45079">
        <w:rPr>
          <w:rFonts w:ascii="Garamond" w:hAnsi="Garamond"/>
          <w:sz w:val="18"/>
          <w:szCs w:val="18"/>
        </w:rPr>
        <w:t>D</w:t>
      </w:r>
      <w:r w:rsidRPr="00E45079">
        <w:rPr>
          <w:rFonts w:ascii="Garamond" w:hAnsi="Garamond"/>
          <w:sz w:val="18"/>
          <w:szCs w:val="18"/>
        </w:rPr>
        <w:t xml:space="preserve">isponible en </w:t>
      </w:r>
      <w:hyperlink r:id="rId2" w:history="1">
        <w:r w:rsidR="005352B6" w:rsidRPr="00E45079">
          <w:rPr>
            <w:rStyle w:val="Hipervnculo"/>
            <w:rFonts w:ascii="Garamond" w:hAnsi="Garamond"/>
            <w:sz w:val="18"/>
            <w:szCs w:val="18"/>
          </w:rPr>
          <w:t>https://www.inegi.org.mx/app/saladeprensa/calendario/</w:t>
        </w:r>
      </w:hyperlink>
      <w:r w:rsidR="005352B6" w:rsidRPr="00E45079">
        <w:rPr>
          <w:rFonts w:ascii="Garamond" w:hAnsi="Garamond"/>
          <w:sz w:val="18"/>
          <w:szCs w:val="18"/>
        </w:rPr>
        <w:t>.</w:t>
      </w:r>
    </w:p>
  </w:footnote>
  <w:footnote w:id="9">
    <w:p w14:paraId="350D9B64" w14:textId="315BE086" w:rsidR="001234BA" w:rsidRPr="00E45079" w:rsidRDefault="001234BA">
      <w:pPr>
        <w:pStyle w:val="Textonotapie"/>
        <w:rPr>
          <w:rFonts w:ascii="Garamond" w:hAnsi="Garamond"/>
          <w:sz w:val="18"/>
          <w:szCs w:val="18"/>
        </w:rPr>
      </w:pPr>
      <w:r w:rsidRPr="00BC39A3">
        <w:rPr>
          <w:rStyle w:val="Refdenotaalpie"/>
          <w:rFonts w:ascii="Garamond" w:hAnsi="Garamond"/>
          <w:sz w:val="18"/>
          <w:szCs w:val="18"/>
        </w:rPr>
        <w:footnoteRef/>
      </w:r>
      <w:r w:rsidRPr="00BC39A3">
        <w:rPr>
          <w:rFonts w:ascii="Garamond" w:hAnsi="Garamond"/>
          <w:sz w:val="18"/>
          <w:szCs w:val="18"/>
        </w:rPr>
        <w:t xml:space="preserve"> Para mayor detalle</w:t>
      </w:r>
      <w:r w:rsidRPr="00BC39A3">
        <w:rPr>
          <w:rFonts w:ascii="Garamond" w:hAnsi="Garamond"/>
          <w:sz w:val="18"/>
          <w:szCs w:val="18"/>
        </w:rPr>
        <w:t xml:space="preserve"> ver anexo </w:t>
      </w:r>
      <w:r w:rsidR="00BC39A3" w:rsidRPr="00BC39A3">
        <w:rPr>
          <w:rFonts w:ascii="Garamond" w:hAnsi="Garamond"/>
          <w:sz w:val="18"/>
          <w:szCs w:val="18"/>
        </w:rPr>
        <w:t>4</w:t>
      </w:r>
      <w:r w:rsidR="009778B6" w:rsidRPr="00E45079">
        <w:rPr>
          <w:rFonts w:ascii="Garamond" w:hAnsi="Garamond"/>
          <w:sz w:val="18"/>
          <w:szCs w:val="18"/>
        </w:rPr>
        <w:t>.</w:t>
      </w:r>
    </w:p>
  </w:footnote>
  <w:footnote w:id="10">
    <w:p w14:paraId="2558857D" w14:textId="524467E0" w:rsidR="002F2B83" w:rsidRPr="00033C5A" w:rsidRDefault="002F2B83">
      <w:pPr>
        <w:pStyle w:val="Textonotapie"/>
        <w:rPr>
          <w:rFonts w:ascii="Garamond" w:hAnsi="Garamond"/>
          <w:sz w:val="18"/>
          <w:szCs w:val="18"/>
        </w:rPr>
      </w:pPr>
      <w:r w:rsidRPr="00033C5A">
        <w:rPr>
          <w:rStyle w:val="Refdenotaalpie"/>
          <w:rFonts w:ascii="Garamond" w:hAnsi="Garamond"/>
          <w:sz w:val="18"/>
          <w:szCs w:val="18"/>
        </w:rPr>
        <w:footnoteRef/>
      </w:r>
      <w:r w:rsidRPr="00033C5A">
        <w:rPr>
          <w:rFonts w:ascii="Garamond" w:hAnsi="Garamond"/>
          <w:sz w:val="18"/>
          <w:szCs w:val="18"/>
        </w:rPr>
        <w:t xml:space="preserve"> Para mayor detalle</w:t>
      </w:r>
      <w:r w:rsidRPr="00033C5A">
        <w:rPr>
          <w:rFonts w:ascii="Garamond" w:hAnsi="Garamond"/>
          <w:sz w:val="18"/>
          <w:szCs w:val="18"/>
        </w:rPr>
        <w:t xml:space="preserve"> ver anexo </w:t>
      </w:r>
      <w:r w:rsidR="00033C5A" w:rsidRPr="00033C5A">
        <w:rPr>
          <w:rFonts w:ascii="Garamond" w:hAnsi="Garamond"/>
          <w:sz w:val="18"/>
          <w:szCs w:val="18"/>
        </w:rPr>
        <w:t>5.</w:t>
      </w:r>
    </w:p>
  </w:footnote>
  <w:footnote w:id="11">
    <w:p w14:paraId="20DFF12F" w14:textId="0C91812D" w:rsidR="003311D2" w:rsidRPr="00E45079" w:rsidRDefault="003311D2">
      <w:pPr>
        <w:pStyle w:val="Textonotapie"/>
        <w:rPr>
          <w:rFonts w:ascii="Garamond" w:hAnsi="Garamond"/>
          <w:sz w:val="18"/>
          <w:szCs w:val="18"/>
        </w:rPr>
      </w:pPr>
      <w:r w:rsidRPr="00E45079">
        <w:rPr>
          <w:rStyle w:val="Refdenotaalpie"/>
          <w:rFonts w:ascii="Garamond" w:hAnsi="Garamond"/>
          <w:sz w:val="18"/>
          <w:szCs w:val="18"/>
        </w:rPr>
        <w:footnoteRef/>
      </w:r>
      <w:r w:rsidRPr="00E45079">
        <w:rPr>
          <w:rFonts w:ascii="Garamond" w:hAnsi="Garamond"/>
          <w:sz w:val="18"/>
          <w:szCs w:val="18"/>
        </w:rPr>
        <w:t xml:space="preserve"> Para mayor detalle </w:t>
      </w:r>
      <w:r w:rsidR="00EB0ACF" w:rsidRPr="00E45079">
        <w:rPr>
          <w:rFonts w:ascii="Garamond" w:hAnsi="Garamond"/>
          <w:sz w:val="18"/>
          <w:szCs w:val="18"/>
        </w:rPr>
        <w:t xml:space="preserve">ver Anexo </w:t>
      </w:r>
      <w:r w:rsidR="005E0ED9" w:rsidRPr="00E45079">
        <w:rPr>
          <w:rFonts w:ascii="Garamond" w:hAnsi="Garamond"/>
          <w:sz w:val="18"/>
          <w:szCs w:val="18"/>
        </w:rPr>
        <w:t>6</w:t>
      </w:r>
      <w:r w:rsidR="00EB0ACF" w:rsidRPr="00E45079">
        <w:rPr>
          <w:rFonts w:ascii="Garamond" w:hAnsi="Garamond"/>
          <w:sz w:val="18"/>
          <w:szCs w:val="18"/>
        </w:rPr>
        <w:t>.</w:t>
      </w:r>
    </w:p>
  </w:footnote>
  <w:footnote w:id="12">
    <w:p w14:paraId="5ADC640E" w14:textId="4BAEB1BC" w:rsidR="00862711" w:rsidRPr="00837E20" w:rsidRDefault="00862711">
      <w:pPr>
        <w:pStyle w:val="Textonotapie"/>
        <w:rPr>
          <w:rFonts w:ascii="Garamond" w:hAnsi="Garamond"/>
          <w:sz w:val="18"/>
          <w:szCs w:val="18"/>
        </w:rPr>
      </w:pPr>
      <w:r w:rsidRPr="00837E20">
        <w:rPr>
          <w:rStyle w:val="Refdenotaalpie"/>
          <w:rFonts w:ascii="Garamond" w:hAnsi="Garamond"/>
          <w:sz w:val="18"/>
          <w:szCs w:val="18"/>
        </w:rPr>
        <w:footnoteRef/>
      </w:r>
      <w:r w:rsidRPr="00837E20">
        <w:rPr>
          <w:rFonts w:ascii="Garamond" w:hAnsi="Garamond"/>
          <w:sz w:val="18"/>
          <w:szCs w:val="18"/>
        </w:rPr>
        <w:t xml:space="preserve"> Para mayor detalle ver </w:t>
      </w:r>
      <w:r w:rsidR="00837E20" w:rsidRPr="00837E20">
        <w:rPr>
          <w:rFonts w:ascii="Garamond" w:hAnsi="Garamond"/>
          <w:sz w:val="18"/>
          <w:szCs w:val="18"/>
        </w:rPr>
        <w:t xml:space="preserve">anexo </w:t>
      </w:r>
      <w:r w:rsidR="002805E0">
        <w:rPr>
          <w:rFonts w:ascii="Garamond" w:hAnsi="Garamond"/>
          <w:sz w:val="18"/>
          <w:szCs w:val="18"/>
        </w:rPr>
        <w:t>7</w:t>
      </w:r>
      <w:r w:rsidR="00837E20" w:rsidRPr="00837E20">
        <w:rPr>
          <w:rFonts w:ascii="Garamond" w:hAnsi="Garamond"/>
          <w:sz w:val="18"/>
          <w:szCs w:val="18"/>
        </w:rPr>
        <w:t>.</w:t>
      </w:r>
    </w:p>
  </w:footnote>
  <w:footnote w:id="13">
    <w:p w14:paraId="54871BC0" w14:textId="2527C4D4" w:rsidR="00B35AB0" w:rsidRPr="00E45079" w:rsidRDefault="00B35AB0">
      <w:pPr>
        <w:pStyle w:val="Textonotapie"/>
        <w:rPr>
          <w:rFonts w:ascii="Garamond" w:hAnsi="Garamond"/>
          <w:sz w:val="18"/>
          <w:szCs w:val="18"/>
        </w:rPr>
      </w:pPr>
      <w:r w:rsidRPr="00E45079">
        <w:rPr>
          <w:rStyle w:val="Refdenotaalpie"/>
          <w:rFonts w:ascii="Garamond" w:hAnsi="Garamond"/>
          <w:sz w:val="18"/>
          <w:szCs w:val="18"/>
        </w:rPr>
        <w:footnoteRef/>
      </w:r>
      <w:r w:rsidRPr="00E45079">
        <w:rPr>
          <w:rFonts w:ascii="Garamond" w:hAnsi="Garamond"/>
          <w:sz w:val="18"/>
          <w:szCs w:val="18"/>
        </w:rPr>
        <w:t xml:space="preserve"> Para mayor detalle ver Anexo 8.</w:t>
      </w:r>
    </w:p>
  </w:footnote>
  <w:footnote w:id="14">
    <w:p w14:paraId="67C1B0F6" w14:textId="450AC8F0" w:rsidR="00472DF7" w:rsidRPr="00032F18" w:rsidRDefault="00472DF7">
      <w:pPr>
        <w:pStyle w:val="Textonotapie"/>
        <w:rPr>
          <w:rFonts w:ascii="Garamond" w:hAnsi="Garamond"/>
          <w:sz w:val="18"/>
          <w:szCs w:val="18"/>
        </w:rPr>
      </w:pPr>
      <w:r w:rsidRPr="00032F18">
        <w:rPr>
          <w:rStyle w:val="Refdenotaalpie"/>
          <w:rFonts w:ascii="Garamond" w:hAnsi="Garamond"/>
          <w:sz w:val="18"/>
          <w:szCs w:val="18"/>
        </w:rPr>
        <w:footnoteRef/>
      </w:r>
      <w:r w:rsidRPr="00032F18">
        <w:rPr>
          <w:rFonts w:ascii="Garamond" w:hAnsi="Garamond"/>
          <w:sz w:val="18"/>
          <w:szCs w:val="18"/>
        </w:rPr>
        <w:t xml:space="preserve"> Para mayor detalle ver </w:t>
      </w:r>
      <w:r w:rsidR="00032F18" w:rsidRPr="00032F18">
        <w:rPr>
          <w:rFonts w:ascii="Garamond" w:hAnsi="Garamond"/>
          <w:sz w:val="18"/>
          <w:szCs w:val="18"/>
        </w:rPr>
        <w:t xml:space="preserve">Anexo </w:t>
      </w:r>
      <w:r w:rsidR="00B35AB0" w:rsidRPr="00E45079">
        <w:rPr>
          <w:rFonts w:ascii="Garamond" w:hAnsi="Garamond"/>
          <w:sz w:val="18"/>
          <w:szCs w:val="18"/>
        </w:rPr>
        <w:t>9</w:t>
      </w:r>
      <w:r w:rsidR="00032F18" w:rsidRPr="00032F18">
        <w:rPr>
          <w:rFonts w:ascii="Garamond" w:hAnsi="Garamond"/>
          <w:sz w:val="18"/>
          <w:szCs w:val="18"/>
        </w:rPr>
        <w:t>.</w:t>
      </w:r>
    </w:p>
  </w:footnote>
  <w:footnote w:id="15">
    <w:p w14:paraId="2506D4BD" w14:textId="3DBE8C37" w:rsidR="00FD27CB" w:rsidRPr="00E45079" w:rsidRDefault="00FD27CB">
      <w:pPr>
        <w:pStyle w:val="Textonotapie"/>
        <w:rPr>
          <w:rFonts w:ascii="Garamond" w:hAnsi="Garamond"/>
          <w:sz w:val="18"/>
          <w:szCs w:val="18"/>
        </w:rPr>
      </w:pPr>
      <w:r w:rsidRPr="00FD27CB">
        <w:rPr>
          <w:rStyle w:val="Refdenotaalpie"/>
          <w:rFonts w:ascii="Garamond" w:hAnsi="Garamond"/>
          <w:sz w:val="18"/>
          <w:szCs w:val="18"/>
        </w:rPr>
        <w:footnoteRef/>
      </w:r>
      <w:r w:rsidRPr="00FD27CB">
        <w:rPr>
          <w:rFonts w:ascii="Garamond" w:hAnsi="Garamond"/>
          <w:sz w:val="18"/>
          <w:szCs w:val="18"/>
        </w:rPr>
        <w:t xml:space="preserve"> Para mayor detalle</w:t>
      </w:r>
      <w:r w:rsidRPr="00FD27CB">
        <w:rPr>
          <w:rFonts w:ascii="Garamond" w:hAnsi="Garamond"/>
          <w:sz w:val="18"/>
          <w:szCs w:val="18"/>
        </w:rPr>
        <w:t xml:space="preserve"> ver anexo </w:t>
      </w:r>
      <w:r w:rsidR="000F6D0B" w:rsidRPr="00E45079">
        <w:rPr>
          <w:rFonts w:ascii="Garamond" w:hAnsi="Garamond"/>
          <w:sz w:val="18"/>
          <w:szCs w:val="18"/>
        </w:rPr>
        <w:t>9</w:t>
      </w:r>
      <w:r w:rsidRPr="00E45079">
        <w:rPr>
          <w:rFonts w:ascii="Garamond" w:hAnsi="Garamond"/>
          <w:sz w:val="18"/>
          <w:szCs w:val="18"/>
        </w:rPr>
        <w:t>.</w:t>
      </w:r>
    </w:p>
  </w:footnote>
  <w:footnote w:id="16">
    <w:p w14:paraId="4F69A191" w14:textId="6D707115" w:rsidR="00D46AFA" w:rsidRPr="00B93915" w:rsidRDefault="00D46AFA" w:rsidP="00194B47">
      <w:pPr>
        <w:pStyle w:val="Textonotapie"/>
        <w:jc w:val="both"/>
        <w:rPr>
          <w:rFonts w:ascii="Garamond" w:hAnsi="Garamond"/>
          <w:sz w:val="18"/>
          <w:szCs w:val="18"/>
        </w:rPr>
      </w:pPr>
      <w:r w:rsidRPr="00E45079">
        <w:rPr>
          <w:rStyle w:val="Refdenotaalpie"/>
          <w:rFonts w:ascii="Garamond" w:hAnsi="Garamond"/>
          <w:sz w:val="18"/>
          <w:szCs w:val="18"/>
        </w:rPr>
        <w:footnoteRef/>
      </w:r>
      <w:r w:rsidR="000F7EA3" w:rsidRPr="00E45079">
        <w:rPr>
          <w:rFonts w:ascii="Garamond" w:hAnsi="Garamond"/>
          <w:sz w:val="18"/>
          <w:szCs w:val="18"/>
        </w:rPr>
        <w:t xml:space="preserve"> </w:t>
      </w:r>
      <w:r w:rsidR="009C3452" w:rsidRPr="00E45079">
        <w:rPr>
          <w:rFonts w:ascii="Garamond" w:hAnsi="Garamond"/>
          <w:sz w:val="18"/>
          <w:szCs w:val="18"/>
        </w:rPr>
        <w:t>A</w:t>
      </w:r>
      <w:r w:rsidR="00EE1A69" w:rsidRPr="00E45079">
        <w:rPr>
          <w:rFonts w:ascii="Garamond" w:hAnsi="Garamond"/>
          <w:sz w:val="18"/>
          <w:szCs w:val="18"/>
        </w:rPr>
        <w:t>rtículo</w:t>
      </w:r>
      <w:r w:rsidR="00EE1A69">
        <w:rPr>
          <w:rFonts w:ascii="Garamond" w:hAnsi="Garamond"/>
          <w:sz w:val="18"/>
          <w:szCs w:val="18"/>
        </w:rPr>
        <w:t xml:space="preserve"> 4</w:t>
      </w:r>
      <w:r w:rsidR="00006AA7" w:rsidRPr="00E45079">
        <w:rPr>
          <w:rFonts w:ascii="Garamond" w:hAnsi="Garamond"/>
          <w:sz w:val="18"/>
          <w:szCs w:val="18"/>
        </w:rPr>
        <w:t>. C</w:t>
      </w:r>
      <w:r w:rsidR="00E40F9E" w:rsidRPr="00E45079">
        <w:rPr>
          <w:rFonts w:ascii="Garamond" w:hAnsi="Garamond"/>
          <w:sz w:val="18"/>
          <w:szCs w:val="18"/>
        </w:rPr>
        <w:t>ambios</w:t>
      </w:r>
      <w:r w:rsidR="00E40F9E" w:rsidRPr="00B93915">
        <w:rPr>
          <w:rFonts w:ascii="Garamond" w:hAnsi="Garamond"/>
          <w:sz w:val="18"/>
          <w:szCs w:val="18"/>
        </w:rPr>
        <w:t xml:space="preserve"> previstos: Son aquellos cambios que pueden esperar al siguiente ciclo del programa y ser analizados y desarrollados durante la fase de diseño del proceso</w:t>
      </w:r>
      <w:r w:rsidR="00006AA7" w:rsidRPr="00E45079">
        <w:rPr>
          <w:rFonts w:ascii="Garamond" w:hAnsi="Garamond"/>
          <w:sz w:val="18"/>
          <w:szCs w:val="18"/>
        </w:rPr>
        <w:t>. C</w:t>
      </w:r>
      <w:r w:rsidR="00E40F9E" w:rsidRPr="00E45079">
        <w:rPr>
          <w:rFonts w:ascii="Garamond" w:hAnsi="Garamond"/>
          <w:sz w:val="18"/>
          <w:szCs w:val="18"/>
        </w:rPr>
        <w:t>ambios</w:t>
      </w:r>
      <w:r w:rsidR="00E40F9E" w:rsidRPr="00B93915">
        <w:rPr>
          <w:rFonts w:ascii="Garamond" w:hAnsi="Garamond"/>
          <w:sz w:val="18"/>
          <w:szCs w:val="18"/>
        </w:rPr>
        <w:t xml:space="preserve"> no previstos: Son aquellos cambios que surgen durante las fases de ejecución del proceso, es decir, durante las fases de captación, procesamiento, análisis de la producción y difusión, y que por su naturaleza deben ser implementados inmediatamente.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99B4" w14:textId="7FCC4F05" w:rsidR="00431D67" w:rsidRPr="00395213" w:rsidRDefault="00431D67">
    <w:pPr>
      <w:pStyle w:val="Encabezado"/>
    </w:pPr>
    <w:r w:rsidRPr="00395213">
      <w:rPr>
        <w:rFonts w:ascii="Century Gothic" w:hAnsi="Century Gothic"/>
        <w:noProof/>
        <w:lang w:eastAsia="es-MX"/>
      </w:rPr>
      <w:drawing>
        <wp:inline distT="0" distB="0" distL="0" distR="0" wp14:anchorId="5C007497" wp14:editId="11D6CD71">
          <wp:extent cx="1108659" cy="374650"/>
          <wp:effectExtent l="0" t="0" r="0" b="6350"/>
          <wp:docPr id="186578523" name="Imagen 18657852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7540" cy="384410"/>
                  </a:xfrm>
                  <a:prstGeom prst="rect">
                    <a:avLst/>
                  </a:prstGeom>
                </pic:spPr>
              </pic:pic>
            </a:graphicData>
          </a:graphic>
        </wp:inline>
      </w:drawing>
    </w:r>
  </w:p>
  <w:p w14:paraId="075A377E" w14:textId="77777777" w:rsidR="00431D67" w:rsidRPr="00395213" w:rsidRDefault="00431D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CA42" w14:textId="02FA416A" w:rsidR="00431D67" w:rsidRPr="005A3A96" w:rsidRDefault="00431D67">
    <w:pPr>
      <w:pStyle w:val="Encabezado"/>
      <w:rPr>
        <w:rFonts w:ascii="Garamond" w:hAnsi="Garamond"/>
        <w:b/>
        <w:bCs/>
        <w:color w:val="002060"/>
        <w:sz w:val="24"/>
        <w:szCs w:val="24"/>
      </w:rPr>
    </w:pPr>
    <w:r w:rsidRPr="005A3A96">
      <w:rPr>
        <w:rFonts w:ascii="Garamond" w:hAnsi="Garamond"/>
        <w:b/>
        <w:bCs/>
        <w:color w:val="002060"/>
        <w:sz w:val="24"/>
        <w:szCs w:val="24"/>
      </w:rPr>
      <w:t>Informe de resultados 202</w:t>
    </w:r>
    <w:r w:rsidR="008D6348" w:rsidRPr="005A3A96">
      <w:rPr>
        <w:rFonts w:ascii="Garamond" w:hAnsi="Garamond"/>
        <w:b/>
        <w:bCs/>
        <w:color w:val="002060"/>
        <w:sz w:val="24"/>
        <w:szCs w:val="24"/>
      </w:rPr>
      <w:t>3</w:t>
    </w:r>
  </w:p>
  <w:p w14:paraId="38D4E506" w14:textId="77777777" w:rsidR="005A3A96" w:rsidRPr="005A3A96" w:rsidRDefault="005A3A96">
    <w:pPr>
      <w:pStyle w:val="Encabezado"/>
      <w:rPr>
        <w:rFonts w:ascii="Garamond" w:hAnsi="Garamond"/>
        <w:b/>
        <w:bCs/>
        <w:color w:val="00206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942759"/>
    <w:multiLevelType w:val="hybridMultilevel"/>
    <w:tmpl w:val="99D61C0A"/>
    <w:lvl w:ilvl="0" w:tplc="3B9A0D9C">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344A47"/>
    <w:multiLevelType w:val="hybridMultilevel"/>
    <w:tmpl w:val="7F38FC80"/>
    <w:lvl w:ilvl="0" w:tplc="D16C9CDA">
      <w:start w:val="1"/>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F231E"/>
    <w:multiLevelType w:val="hybridMultilevel"/>
    <w:tmpl w:val="CB38DE6A"/>
    <w:lvl w:ilvl="0" w:tplc="66343AFA">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A5371B"/>
    <w:multiLevelType w:val="hybridMultilevel"/>
    <w:tmpl w:val="2E248F14"/>
    <w:lvl w:ilvl="0" w:tplc="2FF2E75A">
      <w:numFmt w:val="bullet"/>
      <w:lvlText w:val="•"/>
      <w:lvlJc w:val="left"/>
      <w:pPr>
        <w:ind w:left="1130" w:hanging="77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10CBC"/>
    <w:multiLevelType w:val="hybridMultilevel"/>
    <w:tmpl w:val="5A4A4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5A3634"/>
    <w:multiLevelType w:val="hybridMultilevel"/>
    <w:tmpl w:val="2CEA7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B966A3"/>
    <w:multiLevelType w:val="hybridMultilevel"/>
    <w:tmpl w:val="9DC6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97290"/>
    <w:multiLevelType w:val="hybridMultilevel"/>
    <w:tmpl w:val="A6DE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E60C0"/>
    <w:multiLevelType w:val="hybridMultilevel"/>
    <w:tmpl w:val="DF207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F81812"/>
    <w:multiLevelType w:val="hybridMultilevel"/>
    <w:tmpl w:val="B01A7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2C742C"/>
    <w:multiLevelType w:val="hybridMultilevel"/>
    <w:tmpl w:val="3E76920A"/>
    <w:lvl w:ilvl="0" w:tplc="BE1A71E6">
      <w:start w:val="2"/>
      <w:numFmt w:val="upp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82D54"/>
    <w:multiLevelType w:val="hybridMultilevel"/>
    <w:tmpl w:val="8062A1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BF0199"/>
    <w:multiLevelType w:val="hybridMultilevel"/>
    <w:tmpl w:val="F2983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3E1E74"/>
    <w:multiLevelType w:val="hybridMultilevel"/>
    <w:tmpl w:val="DD361076"/>
    <w:lvl w:ilvl="0" w:tplc="08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701C68"/>
    <w:multiLevelType w:val="hybridMultilevel"/>
    <w:tmpl w:val="F1AE5E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197B7B"/>
    <w:multiLevelType w:val="hybridMultilevel"/>
    <w:tmpl w:val="94A86038"/>
    <w:lvl w:ilvl="0" w:tplc="080A0015">
      <w:start w:val="1"/>
      <w:numFmt w:val="upperLetter"/>
      <w:lvlText w:val="%1."/>
      <w:lvlJc w:val="left"/>
      <w:pPr>
        <w:ind w:left="360" w:hanging="360"/>
      </w:pPr>
    </w:lvl>
    <w:lvl w:ilvl="1" w:tplc="522E3CC2">
      <w:start w:val="1"/>
      <w:numFmt w:val="decimal"/>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4CB450DF"/>
    <w:multiLevelType w:val="hybridMultilevel"/>
    <w:tmpl w:val="59966140"/>
    <w:lvl w:ilvl="0" w:tplc="F1586644">
      <w:start w:val="1"/>
      <w:numFmt w:val="upperLetter"/>
      <w:lvlText w:val="%1."/>
      <w:lvlJc w:val="left"/>
      <w:pPr>
        <w:ind w:left="360" w:hanging="360"/>
      </w:pPr>
      <w:rPr>
        <w:rFonts w:hint="default"/>
      </w:rPr>
    </w:lvl>
    <w:lvl w:ilvl="1" w:tplc="080A0001">
      <w:start w:val="1"/>
      <w:numFmt w:val="bullet"/>
      <w:lvlText w:val=""/>
      <w:lvlJc w:val="left"/>
      <w:pPr>
        <w:ind w:left="72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F43EEE"/>
    <w:multiLevelType w:val="hybridMultilevel"/>
    <w:tmpl w:val="15ACC9EA"/>
    <w:lvl w:ilvl="0" w:tplc="FFFFFFFF">
      <w:start w:val="1"/>
      <w:numFmt w:val="upperLetter"/>
      <w:lvlText w:val="%1."/>
      <w:lvlJc w:val="left"/>
      <w:pPr>
        <w:ind w:left="360" w:hanging="360"/>
      </w:pPr>
    </w:lvl>
    <w:lvl w:ilvl="1" w:tplc="080A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1B2524"/>
    <w:multiLevelType w:val="hybridMultilevel"/>
    <w:tmpl w:val="92E62B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4A2145"/>
    <w:multiLevelType w:val="hybridMultilevel"/>
    <w:tmpl w:val="2D100988"/>
    <w:lvl w:ilvl="0" w:tplc="7804C5A8">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761ED7"/>
    <w:multiLevelType w:val="hybridMultilevel"/>
    <w:tmpl w:val="3E8878B6"/>
    <w:lvl w:ilvl="0" w:tplc="3D86A26A">
      <w:start w:val="1"/>
      <w:numFmt w:val="decimal"/>
      <w:lvlText w:val="%1."/>
      <w:lvlJc w:val="left"/>
      <w:pPr>
        <w:ind w:left="1648" w:hanging="720"/>
      </w:pPr>
      <w:rPr>
        <w:rFonts w:hint="default"/>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27" w15:restartNumberingAfterBreak="0">
    <w:nsid w:val="5F574F83"/>
    <w:multiLevelType w:val="hybridMultilevel"/>
    <w:tmpl w:val="3F588D3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2D55AA9"/>
    <w:multiLevelType w:val="hybridMultilevel"/>
    <w:tmpl w:val="84B0D108"/>
    <w:lvl w:ilvl="0" w:tplc="D51E6DCE">
      <w:start w:val="1"/>
      <w:numFmt w:val="upp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30408B"/>
    <w:multiLevelType w:val="hybridMultilevel"/>
    <w:tmpl w:val="965CB5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9702977"/>
    <w:multiLevelType w:val="hybridMultilevel"/>
    <w:tmpl w:val="130034B8"/>
    <w:lvl w:ilvl="0" w:tplc="FFFFFFFF">
      <w:start w:val="1"/>
      <w:numFmt w:val="upperLetter"/>
      <w:lvlText w:val="%1."/>
      <w:lvlJc w:val="left"/>
      <w:pPr>
        <w:ind w:left="360" w:hanging="360"/>
      </w:pPr>
    </w:lvl>
    <w:lvl w:ilvl="1" w:tplc="FFFFFFFF">
      <w:start w:val="1"/>
      <w:numFmt w:val="bullet"/>
      <w:lvlText w:val=""/>
      <w:lvlJc w:val="left"/>
      <w:pPr>
        <w:ind w:left="720" w:hanging="360"/>
      </w:pPr>
      <w:rPr>
        <w:rFonts w:ascii="Symbol" w:hAnsi="Symbol" w:hint="default"/>
      </w:rPr>
    </w:lvl>
    <w:lvl w:ilvl="2" w:tplc="08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ABF7CF0"/>
    <w:multiLevelType w:val="hybridMultilevel"/>
    <w:tmpl w:val="CE46E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E550AC1"/>
    <w:multiLevelType w:val="hybridMultilevel"/>
    <w:tmpl w:val="B4827D8C"/>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8015"/>
        </w:tabs>
        <w:ind w:left="8015"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16cid:durableId="1506631540">
    <w:abstractNumId w:val="36"/>
  </w:num>
  <w:num w:numId="2" w16cid:durableId="1111127712">
    <w:abstractNumId w:val="18"/>
  </w:num>
  <w:num w:numId="3" w16cid:durableId="876240006">
    <w:abstractNumId w:val="31"/>
  </w:num>
  <w:num w:numId="4" w16cid:durableId="619841184">
    <w:abstractNumId w:val="13"/>
  </w:num>
  <w:num w:numId="5" w16cid:durableId="391737152">
    <w:abstractNumId w:val="0"/>
  </w:num>
  <w:num w:numId="6" w16cid:durableId="408040445">
    <w:abstractNumId w:val="7"/>
  </w:num>
  <w:num w:numId="7" w16cid:durableId="2036691382">
    <w:abstractNumId w:val="23"/>
  </w:num>
  <w:num w:numId="8" w16cid:durableId="1997372594">
    <w:abstractNumId w:val="20"/>
  </w:num>
  <w:num w:numId="9" w16cid:durableId="1342509060">
    <w:abstractNumId w:val="28"/>
  </w:num>
  <w:num w:numId="10" w16cid:durableId="449857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8981809">
    <w:abstractNumId w:val="8"/>
  </w:num>
  <w:num w:numId="12" w16cid:durableId="1856846418">
    <w:abstractNumId w:val="27"/>
  </w:num>
  <w:num w:numId="13" w16cid:durableId="1106848670">
    <w:abstractNumId w:val="6"/>
  </w:num>
  <w:num w:numId="14" w16cid:durableId="10568581">
    <w:abstractNumId w:val="10"/>
  </w:num>
  <w:num w:numId="15" w16cid:durableId="936527206">
    <w:abstractNumId w:val="11"/>
  </w:num>
  <w:num w:numId="16" w16cid:durableId="752434206">
    <w:abstractNumId w:val="9"/>
  </w:num>
  <w:num w:numId="17" w16cid:durableId="2071924566">
    <w:abstractNumId w:val="15"/>
  </w:num>
  <w:num w:numId="18" w16cid:durableId="1749226771">
    <w:abstractNumId w:val="26"/>
  </w:num>
  <w:num w:numId="19" w16cid:durableId="1457916732">
    <w:abstractNumId w:val="14"/>
  </w:num>
  <w:num w:numId="20" w16cid:durableId="1526820361">
    <w:abstractNumId w:val="24"/>
  </w:num>
  <w:num w:numId="21" w16cid:durableId="252201872">
    <w:abstractNumId w:val="19"/>
  </w:num>
  <w:num w:numId="22" w16cid:durableId="1554468284">
    <w:abstractNumId w:val="22"/>
  </w:num>
  <w:num w:numId="23" w16cid:durableId="35400096">
    <w:abstractNumId w:val="32"/>
  </w:num>
  <w:num w:numId="24" w16cid:durableId="1899514430">
    <w:abstractNumId w:val="21"/>
  </w:num>
  <w:num w:numId="25" w16cid:durableId="181094767">
    <w:abstractNumId w:val="25"/>
  </w:num>
  <w:num w:numId="26" w16cid:durableId="1406875109">
    <w:abstractNumId w:val="3"/>
  </w:num>
  <w:num w:numId="27" w16cid:durableId="848174950">
    <w:abstractNumId w:val="16"/>
  </w:num>
  <w:num w:numId="28" w16cid:durableId="588468661">
    <w:abstractNumId w:val="1"/>
  </w:num>
  <w:num w:numId="29" w16cid:durableId="83767972">
    <w:abstractNumId w:val="12"/>
  </w:num>
  <w:num w:numId="30" w16cid:durableId="2039309645">
    <w:abstractNumId w:val="29"/>
  </w:num>
  <w:num w:numId="31" w16cid:durableId="1144279613">
    <w:abstractNumId w:val="33"/>
  </w:num>
  <w:num w:numId="32" w16cid:durableId="978726557">
    <w:abstractNumId w:val="4"/>
  </w:num>
  <w:num w:numId="33" w16cid:durableId="242841027">
    <w:abstractNumId w:val="5"/>
  </w:num>
  <w:num w:numId="34" w16cid:durableId="1572423423">
    <w:abstractNumId w:val="30"/>
  </w:num>
  <w:num w:numId="35" w16cid:durableId="1159688279">
    <w:abstractNumId w:val="17"/>
  </w:num>
  <w:num w:numId="36" w16cid:durableId="568005730">
    <w:abstractNumId w:val="35"/>
  </w:num>
  <w:num w:numId="37" w16cid:durableId="2049253107">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proofState w:spelling="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897"/>
    <w:rsid w:val="00000B6F"/>
    <w:rsid w:val="00000EB5"/>
    <w:rsid w:val="000010ED"/>
    <w:rsid w:val="000010FB"/>
    <w:rsid w:val="0000111B"/>
    <w:rsid w:val="0000124A"/>
    <w:rsid w:val="000017BE"/>
    <w:rsid w:val="00001F55"/>
    <w:rsid w:val="00002071"/>
    <w:rsid w:val="000024AF"/>
    <w:rsid w:val="0000255C"/>
    <w:rsid w:val="000034BB"/>
    <w:rsid w:val="00003D18"/>
    <w:rsid w:val="000046BD"/>
    <w:rsid w:val="000048CF"/>
    <w:rsid w:val="0000497F"/>
    <w:rsid w:val="00004A1F"/>
    <w:rsid w:val="00005687"/>
    <w:rsid w:val="00005717"/>
    <w:rsid w:val="000057FA"/>
    <w:rsid w:val="00005E74"/>
    <w:rsid w:val="00006824"/>
    <w:rsid w:val="00006AA7"/>
    <w:rsid w:val="00006C61"/>
    <w:rsid w:val="000070EC"/>
    <w:rsid w:val="00007243"/>
    <w:rsid w:val="00007708"/>
    <w:rsid w:val="000077C0"/>
    <w:rsid w:val="00007B8A"/>
    <w:rsid w:val="00007CE9"/>
    <w:rsid w:val="000104AB"/>
    <w:rsid w:val="000104EB"/>
    <w:rsid w:val="00010729"/>
    <w:rsid w:val="00010D7F"/>
    <w:rsid w:val="00010FD0"/>
    <w:rsid w:val="00011807"/>
    <w:rsid w:val="00011E7F"/>
    <w:rsid w:val="00012320"/>
    <w:rsid w:val="00013011"/>
    <w:rsid w:val="000130C8"/>
    <w:rsid w:val="0001337F"/>
    <w:rsid w:val="00013CD0"/>
    <w:rsid w:val="00014440"/>
    <w:rsid w:val="00014869"/>
    <w:rsid w:val="00014A00"/>
    <w:rsid w:val="00015158"/>
    <w:rsid w:val="00015160"/>
    <w:rsid w:val="000151CB"/>
    <w:rsid w:val="000158DC"/>
    <w:rsid w:val="00015C47"/>
    <w:rsid w:val="000162C5"/>
    <w:rsid w:val="000164F8"/>
    <w:rsid w:val="00016695"/>
    <w:rsid w:val="00016698"/>
    <w:rsid w:val="00016BBE"/>
    <w:rsid w:val="00016EB4"/>
    <w:rsid w:val="00016FC8"/>
    <w:rsid w:val="00017207"/>
    <w:rsid w:val="000174D2"/>
    <w:rsid w:val="00017748"/>
    <w:rsid w:val="00017B4D"/>
    <w:rsid w:val="00017F0F"/>
    <w:rsid w:val="0002039F"/>
    <w:rsid w:val="000206B7"/>
    <w:rsid w:val="00020B0E"/>
    <w:rsid w:val="00020E62"/>
    <w:rsid w:val="000219DC"/>
    <w:rsid w:val="00021DF2"/>
    <w:rsid w:val="00021ED7"/>
    <w:rsid w:val="000220AB"/>
    <w:rsid w:val="00022134"/>
    <w:rsid w:val="00022147"/>
    <w:rsid w:val="000221DC"/>
    <w:rsid w:val="00022555"/>
    <w:rsid w:val="00022AD3"/>
    <w:rsid w:val="00022B43"/>
    <w:rsid w:val="00022C32"/>
    <w:rsid w:val="00023461"/>
    <w:rsid w:val="000235D3"/>
    <w:rsid w:val="000238A3"/>
    <w:rsid w:val="00023B0E"/>
    <w:rsid w:val="00023D16"/>
    <w:rsid w:val="00023DDE"/>
    <w:rsid w:val="000243E7"/>
    <w:rsid w:val="000248EF"/>
    <w:rsid w:val="000249A7"/>
    <w:rsid w:val="00024CA9"/>
    <w:rsid w:val="00025561"/>
    <w:rsid w:val="000257B9"/>
    <w:rsid w:val="000257C5"/>
    <w:rsid w:val="0002668B"/>
    <w:rsid w:val="0002668D"/>
    <w:rsid w:val="0002683F"/>
    <w:rsid w:val="00026918"/>
    <w:rsid w:val="00026C93"/>
    <w:rsid w:val="00026CAB"/>
    <w:rsid w:val="00026E99"/>
    <w:rsid w:val="00026F07"/>
    <w:rsid w:val="0002767F"/>
    <w:rsid w:val="000276B7"/>
    <w:rsid w:val="00027859"/>
    <w:rsid w:val="00027F1D"/>
    <w:rsid w:val="0003150D"/>
    <w:rsid w:val="00031728"/>
    <w:rsid w:val="000317FC"/>
    <w:rsid w:val="00031800"/>
    <w:rsid w:val="00031897"/>
    <w:rsid w:val="0003227C"/>
    <w:rsid w:val="00032F18"/>
    <w:rsid w:val="000331C1"/>
    <w:rsid w:val="000331FF"/>
    <w:rsid w:val="00033302"/>
    <w:rsid w:val="00033375"/>
    <w:rsid w:val="00033398"/>
    <w:rsid w:val="000334BE"/>
    <w:rsid w:val="0003352B"/>
    <w:rsid w:val="00033654"/>
    <w:rsid w:val="00033A97"/>
    <w:rsid w:val="00033C5A"/>
    <w:rsid w:val="00033F8D"/>
    <w:rsid w:val="00033FD4"/>
    <w:rsid w:val="0003413E"/>
    <w:rsid w:val="00034617"/>
    <w:rsid w:val="0003498B"/>
    <w:rsid w:val="00034BB8"/>
    <w:rsid w:val="0003521F"/>
    <w:rsid w:val="00035A3F"/>
    <w:rsid w:val="00035BE4"/>
    <w:rsid w:val="00036059"/>
    <w:rsid w:val="00036138"/>
    <w:rsid w:val="00036FD3"/>
    <w:rsid w:val="00036FE5"/>
    <w:rsid w:val="000370DE"/>
    <w:rsid w:val="00037252"/>
    <w:rsid w:val="00037355"/>
    <w:rsid w:val="000373E6"/>
    <w:rsid w:val="00037439"/>
    <w:rsid w:val="0003747C"/>
    <w:rsid w:val="000376C9"/>
    <w:rsid w:val="00037797"/>
    <w:rsid w:val="00037855"/>
    <w:rsid w:val="00037DA5"/>
    <w:rsid w:val="000402A8"/>
    <w:rsid w:val="000405BA"/>
    <w:rsid w:val="00040E24"/>
    <w:rsid w:val="00041145"/>
    <w:rsid w:val="000412B6"/>
    <w:rsid w:val="00041544"/>
    <w:rsid w:val="0004156C"/>
    <w:rsid w:val="00041616"/>
    <w:rsid w:val="000416D7"/>
    <w:rsid w:val="000417E4"/>
    <w:rsid w:val="00042159"/>
    <w:rsid w:val="00042274"/>
    <w:rsid w:val="000423B0"/>
    <w:rsid w:val="0004252C"/>
    <w:rsid w:val="000428D7"/>
    <w:rsid w:val="000430D6"/>
    <w:rsid w:val="00043202"/>
    <w:rsid w:val="00043892"/>
    <w:rsid w:val="00043B91"/>
    <w:rsid w:val="00043B97"/>
    <w:rsid w:val="00043D73"/>
    <w:rsid w:val="000440A5"/>
    <w:rsid w:val="0004492C"/>
    <w:rsid w:val="00044AE9"/>
    <w:rsid w:val="00044C0C"/>
    <w:rsid w:val="00044DDB"/>
    <w:rsid w:val="00044F5A"/>
    <w:rsid w:val="00044F82"/>
    <w:rsid w:val="0004512F"/>
    <w:rsid w:val="000452ED"/>
    <w:rsid w:val="00045D14"/>
    <w:rsid w:val="000460C4"/>
    <w:rsid w:val="000462B5"/>
    <w:rsid w:val="000466EE"/>
    <w:rsid w:val="00047124"/>
    <w:rsid w:val="0004730A"/>
    <w:rsid w:val="00047541"/>
    <w:rsid w:val="00047757"/>
    <w:rsid w:val="00050573"/>
    <w:rsid w:val="000509DF"/>
    <w:rsid w:val="00051413"/>
    <w:rsid w:val="000514C3"/>
    <w:rsid w:val="000516D5"/>
    <w:rsid w:val="000518C8"/>
    <w:rsid w:val="00051DC7"/>
    <w:rsid w:val="00051E4E"/>
    <w:rsid w:val="00051F54"/>
    <w:rsid w:val="00052253"/>
    <w:rsid w:val="00052537"/>
    <w:rsid w:val="000527B7"/>
    <w:rsid w:val="00052DAE"/>
    <w:rsid w:val="00052F2C"/>
    <w:rsid w:val="00052FCC"/>
    <w:rsid w:val="000535F2"/>
    <w:rsid w:val="0005396D"/>
    <w:rsid w:val="00053BCB"/>
    <w:rsid w:val="00053D6C"/>
    <w:rsid w:val="00053E3F"/>
    <w:rsid w:val="00053F07"/>
    <w:rsid w:val="000543D5"/>
    <w:rsid w:val="00054590"/>
    <w:rsid w:val="0005499F"/>
    <w:rsid w:val="00054F3C"/>
    <w:rsid w:val="0005517E"/>
    <w:rsid w:val="00055192"/>
    <w:rsid w:val="00055689"/>
    <w:rsid w:val="00055C06"/>
    <w:rsid w:val="00055D73"/>
    <w:rsid w:val="00055F51"/>
    <w:rsid w:val="0005607D"/>
    <w:rsid w:val="0005634A"/>
    <w:rsid w:val="000563F3"/>
    <w:rsid w:val="00056605"/>
    <w:rsid w:val="000566E5"/>
    <w:rsid w:val="0005693B"/>
    <w:rsid w:val="000569BD"/>
    <w:rsid w:val="00056E74"/>
    <w:rsid w:val="00057000"/>
    <w:rsid w:val="0005759B"/>
    <w:rsid w:val="00057616"/>
    <w:rsid w:val="00057C1E"/>
    <w:rsid w:val="00057EAF"/>
    <w:rsid w:val="000600DC"/>
    <w:rsid w:val="00060A9D"/>
    <w:rsid w:val="0006123C"/>
    <w:rsid w:val="000612A3"/>
    <w:rsid w:val="00061394"/>
    <w:rsid w:val="00061560"/>
    <w:rsid w:val="00061DA1"/>
    <w:rsid w:val="00061F4D"/>
    <w:rsid w:val="00062387"/>
    <w:rsid w:val="0006275D"/>
    <w:rsid w:val="00062990"/>
    <w:rsid w:val="00062D81"/>
    <w:rsid w:val="00063022"/>
    <w:rsid w:val="00063181"/>
    <w:rsid w:val="000632CD"/>
    <w:rsid w:val="0006343F"/>
    <w:rsid w:val="000636C5"/>
    <w:rsid w:val="00064154"/>
    <w:rsid w:val="00064875"/>
    <w:rsid w:val="00064C4A"/>
    <w:rsid w:val="00064CE3"/>
    <w:rsid w:val="00065249"/>
    <w:rsid w:val="0006554F"/>
    <w:rsid w:val="000656F6"/>
    <w:rsid w:val="00065C69"/>
    <w:rsid w:val="0006621F"/>
    <w:rsid w:val="0006630A"/>
    <w:rsid w:val="0006630D"/>
    <w:rsid w:val="0006657D"/>
    <w:rsid w:val="000667A8"/>
    <w:rsid w:val="00066A8E"/>
    <w:rsid w:val="00067459"/>
    <w:rsid w:val="00067532"/>
    <w:rsid w:val="00067C2B"/>
    <w:rsid w:val="00067C6C"/>
    <w:rsid w:val="00067D44"/>
    <w:rsid w:val="00070335"/>
    <w:rsid w:val="000704F7"/>
    <w:rsid w:val="00070637"/>
    <w:rsid w:val="00070768"/>
    <w:rsid w:val="00070CDE"/>
    <w:rsid w:val="00070CEE"/>
    <w:rsid w:val="00070FBC"/>
    <w:rsid w:val="00071718"/>
    <w:rsid w:val="00071C0E"/>
    <w:rsid w:val="00071CD3"/>
    <w:rsid w:val="00071D57"/>
    <w:rsid w:val="00072037"/>
    <w:rsid w:val="00072188"/>
    <w:rsid w:val="000725ED"/>
    <w:rsid w:val="00072718"/>
    <w:rsid w:val="00072EC7"/>
    <w:rsid w:val="00073475"/>
    <w:rsid w:val="000735E4"/>
    <w:rsid w:val="0007375D"/>
    <w:rsid w:val="00073E00"/>
    <w:rsid w:val="0007427D"/>
    <w:rsid w:val="00074520"/>
    <w:rsid w:val="00074E2F"/>
    <w:rsid w:val="00074FB7"/>
    <w:rsid w:val="00075651"/>
    <w:rsid w:val="00075CFB"/>
    <w:rsid w:val="00075E50"/>
    <w:rsid w:val="00075E7B"/>
    <w:rsid w:val="000762EF"/>
    <w:rsid w:val="0007653E"/>
    <w:rsid w:val="0007678B"/>
    <w:rsid w:val="00076AA1"/>
    <w:rsid w:val="00076ADC"/>
    <w:rsid w:val="00076B9B"/>
    <w:rsid w:val="00076CEA"/>
    <w:rsid w:val="00076E8F"/>
    <w:rsid w:val="00077063"/>
    <w:rsid w:val="00077182"/>
    <w:rsid w:val="00077279"/>
    <w:rsid w:val="0007749F"/>
    <w:rsid w:val="00077BB7"/>
    <w:rsid w:val="00077D19"/>
    <w:rsid w:val="00080235"/>
    <w:rsid w:val="000807C7"/>
    <w:rsid w:val="000809B5"/>
    <w:rsid w:val="00080AFC"/>
    <w:rsid w:val="00080B2B"/>
    <w:rsid w:val="00080FAA"/>
    <w:rsid w:val="00081309"/>
    <w:rsid w:val="00081638"/>
    <w:rsid w:val="00081691"/>
    <w:rsid w:val="0008182B"/>
    <w:rsid w:val="00081863"/>
    <w:rsid w:val="00081ACE"/>
    <w:rsid w:val="00081DB7"/>
    <w:rsid w:val="00082272"/>
    <w:rsid w:val="000824AC"/>
    <w:rsid w:val="00082C3E"/>
    <w:rsid w:val="00082E39"/>
    <w:rsid w:val="00083916"/>
    <w:rsid w:val="00083E4D"/>
    <w:rsid w:val="00084256"/>
    <w:rsid w:val="00084391"/>
    <w:rsid w:val="00084454"/>
    <w:rsid w:val="000845F8"/>
    <w:rsid w:val="00084999"/>
    <w:rsid w:val="000849C2"/>
    <w:rsid w:val="0008577D"/>
    <w:rsid w:val="000857B0"/>
    <w:rsid w:val="000858BA"/>
    <w:rsid w:val="00085B16"/>
    <w:rsid w:val="000868F4"/>
    <w:rsid w:val="00086A63"/>
    <w:rsid w:val="00086B98"/>
    <w:rsid w:val="00086FA9"/>
    <w:rsid w:val="00086FE7"/>
    <w:rsid w:val="000876B0"/>
    <w:rsid w:val="0008792F"/>
    <w:rsid w:val="00087BF4"/>
    <w:rsid w:val="0009092B"/>
    <w:rsid w:val="00090A51"/>
    <w:rsid w:val="00090E30"/>
    <w:rsid w:val="00090F29"/>
    <w:rsid w:val="00091523"/>
    <w:rsid w:val="000916CE"/>
    <w:rsid w:val="000919FA"/>
    <w:rsid w:val="00091F56"/>
    <w:rsid w:val="00091F6A"/>
    <w:rsid w:val="00092892"/>
    <w:rsid w:val="00092CFC"/>
    <w:rsid w:val="00092D1A"/>
    <w:rsid w:val="000930DA"/>
    <w:rsid w:val="000935C3"/>
    <w:rsid w:val="00093640"/>
    <w:rsid w:val="00093D43"/>
    <w:rsid w:val="00093F5B"/>
    <w:rsid w:val="00094A16"/>
    <w:rsid w:val="00094F7E"/>
    <w:rsid w:val="00094F9E"/>
    <w:rsid w:val="00095338"/>
    <w:rsid w:val="000954FE"/>
    <w:rsid w:val="00095742"/>
    <w:rsid w:val="0009623E"/>
    <w:rsid w:val="000966AD"/>
    <w:rsid w:val="000967A6"/>
    <w:rsid w:val="00096928"/>
    <w:rsid w:val="00096C88"/>
    <w:rsid w:val="00096EF4"/>
    <w:rsid w:val="00097094"/>
    <w:rsid w:val="0009788F"/>
    <w:rsid w:val="000979CF"/>
    <w:rsid w:val="00097F42"/>
    <w:rsid w:val="000A0421"/>
    <w:rsid w:val="000A05B1"/>
    <w:rsid w:val="000A0641"/>
    <w:rsid w:val="000A0CC3"/>
    <w:rsid w:val="000A0E28"/>
    <w:rsid w:val="000A1376"/>
    <w:rsid w:val="000A178E"/>
    <w:rsid w:val="000A1AE3"/>
    <w:rsid w:val="000A1D6E"/>
    <w:rsid w:val="000A23CD"/>
    <w:rsid w:val="000A26A6"/>
    <w:rsid w:val="000A296F"/>
    <w:rsid w:val="000A2ACF"/>
    <w:rsid w:val="000A2BD1"/>
    <w:rsid w:val="000A2D46"/>
    <w:rsid w:val="000A3045"/>
    <w:rsid w:val="000A31B5"/>
    <w:rsid w:val="000A32F8"/>
    <w:rsid w:val="000A3400"/>
    <w:rsid w:val="000A3823"/>
    <w:rsid w:val="000A41C2"/>
    <w:rsid w:val="000A4284"/>
    <w:rsid w:val="000A465B"/>
    <w:rsid w:val="000A486A"/>
    <w:rsid w:val="000A4B13"/>
    <w:rsid w:val="000A4D31"/>
    <w:rsid w:val="000A4D66"/>
    <w:rsid w:val="000A5086"/>
    <w:rsid w:val="000A52D6"/>
    <w:rsid w:val="000A5983"/>
    <w:rsid w:val="000A59C0"/>
    <w:rsid w:val="000A5CF7"/>
    <w:rsid w:val="000A5DC0"/>
    <w:rsid w:val="000A6153"/>
    <w:rsid w:val="000A63FB"/>
    <w:rsid w:val="000A6703"/>
    <w:rsid w:val="000A6957"/>
    <w:rsid w:val="000A6C8E"/>
    <w:rsid w:val="000A711D"/>
    <w:rsid w:val="000A74AF"/>
    <w:rsid w:val="000A7B79"/>
    <w:rsid w:val="000B0209"/>
    <w:rsid w:val="000B0364"/>
    <w:rsid w:val="000B052E"/>
    <w:rsid w:val="000B0618"/>
    <w:rsid w:val="000B061C"/>
    <w:rsid w:val="000B0A3D"/>
    <w:rsid w:val="000B0AB3"/>
    <w:rsid w:val="000B0B44"/>
    <w:rsid w:val="000B0C1E"/>
    <w:rsid w:val="000B1545"/>
    <w:rsid w:val="000B1650"/>
    <w:rsid w:val="000B18C8"/>
    <w:rsid w:val="000B191F"/>
    <w:rsid w:val="000B1AB2"/>
    <w:rsid w:val="000B1DA9"/>
    <w:rsid w:val="000B1E06"/>
    <w:rsid w:val="000B29F0"/>
    <w:rsid w:val="000B2AAC"/>
    <w:rsid w:val="000B2B8A"/>
    <w:rsid w:val="000B316B"/>
    <w:rsid w:val="000B3282"/>
    <w:rsid w:val="000B37F1"/>
    <w:rsid w:val="000B3845"/>
    <w:rsid w:val="000B4009"/>
    <w:rsid w:val="000B485C"/>
    <w:rsid w:val="000B5281"/>
    <w:rsid w:val="000B53F0"/>
    <w:rsid w:val="000B5758"/>
    <w:rsid w:val="000B5848"/>
    <w:rsid w:val="000B5C7E"/>
    <w:rsid w:val="000B5D5F"/>
    <w:rsid w:val="000B5EEF"/>
    <w:rsid w:val="000B6040"/>
    <w:rsid w:val="000B6078"/>
    <w:rsid w:val="000B6432"/>
    <w:rsid w:val="000B65FB"/>
    <w:rsid w:val="000B6751"/>
    <w:rsid w:val="000B6863"/>
    <w:rsid w:val="000B6B8E"/>
    <w:rsid w:val="000B70AF"/>
    <w:rsid w:val="000B716C"/>
    <w:rsid w:val="000B719A"/>
    <w:rsid w:val="000B71FF"/>
    <w:rsid w:val="000C026F"/>
    <w:rsid w:val="000C058D"/>
    <w:rsid w:val="000C0689"/>
    <w:rsid w:val="000C06B6"/>
    <w:rsid w:val="000C0BA2"/>
    <w:rsid w:val="000C0C60"/>
    <w:rsid w:val="000C0FC5"/>
    <w:rsid w:val="000C1593"/>
    <w:rsid w:val="000C18D9"/>
    <w:rsid w:val="000C19AF"/>
    <w:rsid w:val="000C1ADA"/>
    <w:rsid w:val="000C1B70"/>
    <w:rsid w:val="000C20C6"/>
    <w:rsid w:val="000C20F5"/>
    <w:rsid w:val="000C27F4"/>
    <w:rsid w:val="000C2B4E"/>
    <w:rsid w:val="000C3619"/>
    <w:rsid w:val="000C384B"/>
    <w:rsid w:val="000C3CAA"/>
    <w:rsid w:val="000C3EF6"/>
    <w:rsid w:val="000C3FB4"/>
    <w:rsid w:val="000C4378"/>
    <w:rsid w:val="000C457E"/>
    <w:rsid w:val="000C4739"/>
    <w:rsid w:val="000C4CFD"/>
    <w:rsid w:val="000C51EE"/>
    <w:rsid w:val="000C524A"/>
    <w:rsid w:val="000C56E3"/>
    <w:rsid w:val="000C5A9B"/>
    <w:rsid w:val="000C5FD8"/>
    <w:rsid w:val="000C62AA"/>
    <w:rsid w:val="000C63A9"/>
    <w:rsid w:val="000C6528"/>
    <w:rsid w:val="000C6832"/>
    <w:rsid w:val="000C68AA"/>
    <w:rsid w:val="000C6D46"/>
    <w:rsid w:val="000C6E31"/>
    <w:rsid w:val="000C767B"/>
    <w:rsid w:val="000C79AA"/>
    <w:rsid w:val="000C79B8"/>
    <w:rsid w:val="000D00A0"/>
    <w:rsid w:val="000D00E1"/>
    <w:rsid w:val="000D077F"/>
    <w:rsid w:val="000D0E5F"/>
    <w:rsid w:val="000D0F02"/>
    <w:rsid w:val="000D0F06"/>
    <w:rsid w:val="000D0F3A"/>
    <w:rsid w:val="000D1585"/>
    <w:rsid w:val="000D1ADA"/>
    <w:rsid w:val="000D1C5C"/>
    <w:rsid w:val="000D1F20"/>
    <w:rsid w:val="000D23AC"/>
    <w:rsid w:val="000D292E"/>
    <w:rsid w:val="000D3343"/>
    <w:rsid w:val="000D33A3"/>
    <w:rsid w:val="000D33BF"/>
    <w:rsid w:val="000D346A"/>
    <w:rsid w:val="000D3878"/>
    <w:rsid w:val="000D3A83"/>
    <w:rsid w:val="000D3C29"/>
    <w:rsid w:val="000D3E5A"/>
    <w:rsid w:val="000D424E"/>
    <w:rsid w:val="000D4741"/>
    <w:rsid w:val="000D4844"/>
    <w:rsid w:val="000D48B2"/>
    <w:rsid w:val="000D4D13"/>
    <w:rsid w:val="000D54F6"/>
    <w:rsid w:val="000D5597"/>
    <w:rsid w:val="000D578B"/>
    <w:rsid w:val="000D59FD"/>
    <w:rsid w:val="000D5B5D"/>
    <w:rsid w:val="000D6240"/>
    <w:rsid w:val="000D64E2"/>
    <w:rsid w:val="000D67C3"/>
    <w:rsid w:val="000D6C7B"/>
    <w:rsid w:val="000D723F"/>
    <w:rsid w:val="000D7311"/>
    <w:rsid w:val="000D7313"/>
    <w:rsid w:val="000D7323"/>
    <w:rsid w:val="000D7452"/>
    <w:rsid w:val="000D7741"/>
    <w:rsid w:val="000D7742"/>
    <w:rsid w:val="000D7789"/>
    <w:rsid w:val="000D7BFD"/>
    <w:rsid w:val="000E0008"/>
    <w:rsid w:val="000E01C2"/>
    <w:rsid w:val="000E077F"/>
    <w:rsid w:val="000E09FF"/>
    <w:rsid w:val="000E16BD"/>
    <w:rsid w:val="000E1904"/>
    <w:rsid w:val="000E1A59"/>
    <w:rsid w:val="000E1B34"/>
    <w:rsid w:val="000E202C"/>
    <w:rsid w:val="000E2239"/>
    <w:rsid w:val="000E255F"/>
    <w:rsid w:val="000E30B8"/>
    <w:rsid w:val="000E3173"/>
    <w:rsid w:val="000E3713"/>
    <w:rsid w:val="000E3828"/>
    <w:rsid w:val="000E3F22"/>
    <w:rsid w:val="000E418B"/>
    <w:rsid w:val="000E440F"/>
    <w:rsid w:val="000E4621"/>
    <w:rsid w:val="000E481B"/>
    <w:rsid w:val="000E4899"/>
    <w:rsid w:val="000E48FA"/>
    <w:rsid w:val="000E493B"/>
    <w:rsid w:val="000E4F56"/>
    <w:rsid w:val="000E51DA"/>
    <w:rsid w:val="000E57D4"/>
    <w:rsid w:val="000E58DD"/>
    <w:rsid w:val="000E5AAD"/>
    <w:rsid w:val="000E634D"/>
    <w:rsid w:val="000E6489"/>
    <w:rsid w:val="000E67D5"/>
    <w:rsid w:val="000E67EC"/>
    <w:rsid w:val="000E6ABF"/>
    <w:rsid w:val="000E6AE0"/>
    <w:rsid w:val="000E6C16"/>
    <w:rsid w:val="000E73CF"/>
    <w:rsid w:val="000E747E"/>
    <w:rsid w:val="000E78E7"/>
    <w:rsid w:val="000E7B34"/>
    <w:rsid w:val="000F0113"/>
    <w:rsid w:val="000F019A"/>
    <w:rsid w:val="000F0931"/>
    <w:rsid w:val="000F0D48"/>
    <w:rsid w:val="000F0D64"/>
    <w:rsid w:val="000F0F91"/>
    <w:rsid w:val="000F16FA"/>
    <w:rsid w:val="000F1898"/>
    <w:rsid w:val="000F1BD6"/>
    <w:rsid w:val="000F1C00"/>
    <w:rsid w:val="000F20EA"/>
    <w:rsid w:val="000F21DE"/>
    <w:rsid w:val="000F269E"/>
    <w:rsid w:val="000F271B"/>
    <w:rsid w:val="000F2778"/>
    <w:rsid w:val="000F28DA"/>
    <w:rsid w:val="000F2ACB"/>
    <w:rsid w:val="000F2B4C"/>
    <w:rsid w:val="000F2BC2"/>
    <w:rsid w:val="000F2E0A"/>
    <w:rsid w:val="000F3804"/>
    <w:rsid w:val="000F3A25"/>
    <w:rsid w:val="000F4226"/>
    <w:rsid w:val="000F42A7"/>
    <w:rsid w:val="000F4826"/>
    <w:rsid w:val="000F4F3F"/>
    <w:rsid w:val="000F5361"/>
    <w:rsid w:val="000F54A5"/>
    <w:rsid w:val="000F55EC"/>
    <w:rsid w:val="000F5C7E"/>
    <w:rsid w:val="000F5D79"/>
    <w:rsid w:val="000F634E"/>
    <w:rsid w:val="000F6491"/>
    <w:rsid w:val="000F67EB"/>
    <w:rsid w:val="000F6852"/>
    <w:rsid w:val="000F6D0B"/>
    <w:rsid w:val="000F6F20"/>
    <w:rsid w:val="000F72D2"/>
    <w:rsid w:val="000F72F4"/>
    <w:rsid w:val="000F7750"/>
    <w:rsid w:val="000F7EA3"/>
    <w:rsid w:val="00100108"/>
    <w:rsid w:val="00100257"/>
    <w:rsid w:val="00100467"/>
    <w:rsid w:val="00100592"/>
    <w:rsid w:val="00100662"/>
    <w:rsid w:val="00100964"/>
    <w:rsid w:val="00100BC5"/>
    <w:rsid w:val="00101BE8"/>
    <w:rsid w:val="00101CB7"/>
    <w:rsid w:val="00101D26"/>
    <w:rsid w:val="00101D3D"/>
    <w:rsid w:val="00102372"/>
    <w:rsid w:val="001026BE"/>
    <w:rsid w:val="001027A8"/>
    <w:rsid w:val="00102ACA"/>
    <w:rsid w:val="00103B95"/>
    <w:rsid w:val="00104793"/>
    <w:rsid w:val="00104FB8"/>
    <w:rsid w:val="001054A2"/>
    <w:rsid w:val="00105584"/>
    <w:rsid w:val="001057A0"/>
    <w:rsid w:val="00105A12"/>
    <w:rsid w:val="001063F9"/>
    <w:rsid w:val="001066D7"/>
    <w:rsid w:val="0010678C"/>
    <w:rsid w:val="00106AFD"/>
    <w:rsid w:val="00106E0D"/>
    <w:rsid w:val="001072FC"/>
    <w:rsid w:val="0010748B"/>
    <w:rsid w:val="001075BC"/>
    <w:rsid w:val="00107BBE"/>
    <w:rsid w:val="0011009B"/>
    <w:rsid w:val="0011063F"/>
    <w:rsid w:val="001106AE"/>
    <w:rsid w:val="001108F3"/>
    <w:rsid w:val="00110AC7"/>
    <w:rsid w:val="001113AD"/>
    <w:rsid w:val="0011172F"/>
    <w:rsid w:val="00111956"/>
    <w:rsid w:val="00111B27"/>
    <w:rsid w:val="00112054"/>
    <w:rsid w:val="0011205A"/>
    <w:rsid w:val="00112280"/>
    <w:rsid w:val="001125B1"/>
    <w:rsid w:val="001126B6"/>
    <w:rsid w:val="00112858"/>
    <w:rsid w:val="00112D0D"/>
    <w:rsid w:val="001134C1"/>
    <w:rsid w:val="00113623"/>
    <w:rsid w:val="00113743"/>
    <w:rsid w:val="00113824"/>
    <w:rsid w:val="00113AF9"/>
    <w:rsid w:val="00113B51"/>
    <w:rsid w:val="00113EFA"/>
    <w:rsid w:val="0011425A"/>
    <w:rsid w:val="0011429F"/>
    <w:rsid w:val="00114509"/>
    <w:rsid w:val="0011487A"/>
    <w:rsid w:val="00114975"/>
    <w:rsid w:val="0011523C"/>
    <w:rsid w:val="00115501"/>
    <w:rsid w:val="00115DE7"/>
    <w:rsid w:val="00115EFA"/>
    <w:rsid w:val="00116138"/>
    <w:rsid w:val="001167BF"/>
    <w:rsid w:val="00116817"/>
    <w:rsid w:val="00116C3A"/>
    <w:rsid w:val="00116FFB"/>
    <w:rsid w:val="0011705B"/>
    <w:rsid w:val="001170AF"/>
    <w:rsid w:val="001170BD"/>
    <w:rsid w:val="001171C2"/>
    <w:rsid w:val="00117992"/>
    <w:rsid w:val="00117AFF"/>
    <w:rsid w:val="00117DBF"/>
    <w:rsid w:val="00117E4B"/>
    <w:rsid w:val="001203CE"/>
    <w:rsid w:val="00120638"/>
    <w:rsid w:val="0012085E"/>
    <w:rsid w:val="00120B3E"/>
    <w:rsid w:val="00120EBD"/>
    <w:rsid w:val="00120F52"/>
    <w:rsid w:val="001211BC"/>
    <w:rsid w:val="00121638"/>
    <w:rsid w:val="001216ED"/>
    <w:rsid w:val="00121CBA"/>
    <w:rsid w:val="00121DC3"/>
    <w:rsid w:val="001221D6"/>
    <w:rsid w:val="00122630"/>
    <w:rsid w:val="00123054"/>
    <w:rsid w:val="00123177"/>
    <w:rsid w:val="001231EA"/>
    <w:rsid w:val="001234BA"/>
    <w:rsid w:val="00123733"/>
    <w:rsid w:val="00123787"/>
    <w:rsid w:val="0012384A"/>
    <w:rsid w:val="00124162"/>
    <w:rsid w:val="0012440F"/>
    <w:rsid w:val="001245BC"/>
    <w:rsid w:val="00124B72"/>
    <w:rsid w:val="00124E04"/>
    <w:rsid w:val="00125148"/>
    <w:rsid w:val="001253B9"/>
    <w:rsid w:val="00125E1B"/>
    <w:rsid w:val="00126525"/>
    <w:rsid w:val="0012654A"/>
    <w:rsid w:val="00126653"/>
    <w:rsid w:val="00126814"/>
    <w:rsid w:val="00127461"/>
    <w:rsid w:val="001274C9"/>
    <w:rsid w:val="00127687"/>
    <w:rsid w:val="00127972"/>
    <w:rsid w:val="00127A46"/>
    <w:rsid w:val="00127E43"/>
    <w:rsid w:val="00130059"/>
    <w:rsid w:val="0013067E"/>
    <w:rsid w:val="001309AF"/>
    <w:rsid w:val="001309D8"/>
    <w:rsid w:val="0013125A"/>
    <w:rsid w:val="00132223"/>
    <w:rsid w:val="001327D6"/>
    <w:rsid w:val="001327D9"/>
    <w:rsid w:val="00132E51"/>
    <w:rsid w:val="00132E6D"/>
    <w:rsid w:val="001337E9"/>
    <w:rsid w:val="00133B15"/>
    <w:rsid w:val="00134494"/>
    <w:rsid w:val="00134518"/>
    <w:rsid w:val="00134655"/>
    <w:rsid w:val="001348B9"/>
    <w:rsid w:val="00134D9D"/>
    <w:rsid w:val="00134E98"/>
    <w:rsid w:val="00134F3B"/>
    <w:rsid w:val="00134FBE"/>
    <w:rsid w:val="0013534D"/>
    <w:rsid w:val="0013534E"/>
    <w:rsid w:val="0013546D"/>
    <w:rsid w:val="001354B1"/>
    <w:rsid w:val="0013559B"/>
    <w:rsid w:val="00135F99"/>
    <w:rsid w:val="00136035"/>
    <w:rsid w:val="001369CE"/>
    <w:rsid w:val="00136CC3"/>
    <w:rsid w:val="00137118"/>
    <w:rsid w:val="00137218"/>
    <w:rsid w:val="001374BB"/>
    <w:rsid w:val="00137662"/>
    <w:rsid w:val="0014053C"/>
    <w:rsid w:val="00140574"/>
    <w:rsid w:val="00140858"/>
    <w:rsid w:val="00140863"/>
    <w:rsid w:val="00140A1B"/>
    <w:rsid w:val="00140C74"/>
    <w:rsid w:val="0014113F"/>
    <w:rsid w:val="0014134E"/>
    <w:rsid w:val="00141A40"/>
    <w:rsid w:val="00141BBF"/>
    <w:rsid w:val="00141BF7"/>
    <w:rsid w:val="00141DEC"/>
    <w:rsid w:val="001420C0"/>
    <w:rsid w:val="00142456"/>
    <w:rsid w:val="001425B7"/>
    <w:rsid w:val="0014279E"/>
    <w:rsid w:val="00142A50"/>
    <w:rsid w:val="00142D42"/>
    <w:rsid w:val="00142E77"/>
    <w:rsid w:val="0014331B"/>
    <w:rsid w:val="001439BB"/>
    <w:rsid w:val="00143B3F"/>
    <w:rsid w:val="00144427"/>
    <w:rsid w:val="00144606"/>
    <w:rsid w:val="00144BEF"/>
    <w:rsid w:val="0014513D"/>
    <w:rsid w:val="001454BE"/>
    <w:rsid w:val="00145843"/>
    <w:rsid w:val="001459C2"/>
    <w:rsid w:val="00145A0D"/>
    <w:rsid w:val="00145A8F"/>
    <w:rsid w:val="00145DF0"/>
    <w:rsid w:val="00145FF8"/>
    <w:rsid w:val="00146373"/>
    <w:rsid w:val="0014637E"/>
    <w:rsid w:val="00146CD7"/>
    <w:rsid w:val="00146EAE"/>
    <w:rsid w:val="0014705A"/>
    <w:rsid w:val="00147431"/>
    <w:rsid w:val="00147535"/>
    <w:rsid w:val="00147565"/>
    <w:rsid w:val="00147700"/>
    <w:rsid w:val="00147917"/>
    <w:rsid w:val="00147FBA"/>
    <w:rsid w:val="001503D3"/>
    <w:rsid w:val="00150404"/>
    <w:rsid w:val="00150680"/>
    <w:rsid w:val="00150785"/>
    <w:rsid w:val="0015091B"/>
    <w:rsid w:val="00150D38"/>
    <w:rsid w:val="0015102F"/>
    <w:rsid w:val="0015103C"/>
    <w:rsid w:val="00151086"/>
    <w:rsid w:val="00151143"/>
    <w:rsid w:val="00151996"/>
    <w:rsid w:val="00151A52"/>
    <w:rsid w:val="00151EF7"/>
    <w:rsid w:val="0015245A"/>
    <w:rsid w:val="0015269F"/>
    <w:rsid w:val="0015292A"/>
    <w:rsid w:val="00152BFA"/>
    <w:rsid w:val="00152DDB"/>
    <w:rsid w:val="00152DF4"/>
    <w:rsid w:val="00152F00"/>
    <w:rsid w:val="00152FCB"/>
    <w:rsid w:val="00153052"/>
    <w:rsid w:val="0015334E"/>
    <w:rsid w:val="001533DC"/>
    <w:rsid w:val="001536F2"/>
    <w:rsid w:val="0015396D"/>
    <w:rsid w:val="001539D5"/>
    <w:rsid w:val="00153AEB"/>
    <w:rsid w:val="00153E1C"/>
    <w:rsid w:val="001545CC"/>
    <w:rsid w:val="0015461A"/>
    <w:rsid w:val="00154675"/>
    <w:rsid w:val="0015471E"/>
    <w:rsid w:val="001547FA"/>
    <w:rsid w:val="00154D55"/>
    <w:rsid w:val="00154F99"/>
    <w:rsid w:val="00154FAD"/>
    <w:rsid w:val="00155016"/>
    <w:rsid w:val="00155107"/>
    <w:rsid w:val="0015513F"/>
    <w:rsid w:val="001559DE"/>
    <w:rsid w:val="00155ABC"/>
    <w:rsid w:val="00155BDA"/>
    <w:rsid w:val="00155C29"/>
    <w:rsid w:val="0015624A"/>
    <w:rsid w:val="00156724"/>
    <w:rsid w:val="00156DFC"/>
    <w:rsid w:val="0015727A"/>
    <w:rsid w:val="00157979"/>
    <w:rsid w:val="00157AC8"/>
    <w:rsid w:val="00157BE1"/>
    <w:rsid w:val="00157C72"/>
    <w:rsid w:val="00157CB6"/>
    <w:rsid w:val="001603AE"/>
    <w:rsid w:val="0016047D"/>
    <w:rsid w:val="001604FF"/>
    <w:rsid w:val="0016058C"/>
    <w:rsid w:val="0016066D"/>
    <w:rsid w:val="00160692"/>
    <w:rsid w:val="00160867"/>
    <w:rsid w:val="00160CBB"/>
    <w:rsid w:val="00160D37"/>
    <w:rsid w:val="00160DAF"/>
    <w:rsid w:val="00160ED1"/>
    <w:rsid w:val="0016116F"/>
    <w:rsid w:val="00161F82"/>
    <w:rsid w:val="00162251"/>
    <w:rsid w:val="00162273"/>
    <w:rsid w:val="00162497"/>
    <w:rsid w:val="00162959"/>
    <w:rsid w:val="00162C7C"/>
    <w:rsid w:val="00162CFF"/>
    <w:rsid w:val="00162DA0"/>
    <w:rsid w:val="00163508"/>
    <w:rsid w:val="00163909"/>
    <w:rsid w:val="001639B3"/>
    <w:rsid w:val="00163DEC"/>
    <w:rsid w:val="00163F7C"/>
    <w:rsid w:val="00164108"/>
    <w:rsid w:val="0016412C"/>
    <w:rsid w:val="001643F4"/>
    <w:rsid w:val="00164A8A"/>
    <w:rsid w:val="00164E1F"/>
    <w:rsid w:val="001655F8"/>
    <w:rsid w:val="00165B31"/>
    <w:rsid w:val="00166076"/>
    <w:rsid w:val="00166D00"/>
    <w:rsid w:val="00166EF9"/>
    <w:rsid w:val="001701DF"/>
    <w:rsid w:val="00170999"/>
    <w:rsid w:val="00170A4C"/>
    <w:rsid w:val="00171362"/>
    <w:rsid w:val="0017170E"/>
    <w:rsid w:val="0017199B"/>
    <w:rsid w:val="00171FA6"/>
    <w:rsid w:val="00172116"/>
    <w:rsid w:val="0017218D"/>
    <w:rsid w:val="0017276B"/>
    <w:rsid w:val="00172896"/>
    <w:rsid w:val="00172ACD"/>
    <w:rsid w:val="00172CFA"/>
    <w:rsid w:val="00172F5B"/>
    <w:rsid w:val="00173186"/>
    <w:rsid w:val="00173301"/>
    <w:rsid w:val="001739EA"/>
    <w:rsid w:val="00174473"/>
    <w:rsid w:val="001744DC"/>
    <w:rsid w:val="00174794"/>
    <w:rsid w:val="00174A47"/>
    <w:rsid w:val="00174A92"/>
    <w:rsid w:val="001752FD"/>
    <w:rsid w:val="00175369"/>
    <w:rsid w:val="0017561C"/>
    <w:rsid w:val="0017567E"/>
    <w:rsid w:val="00175B31"/>
    <w:rsid w:val="00175F0E"/>
    <w:rsid w:val="0017625E"/>
    <w:rsid w:val="0017632C"/>
    <w:rsid w:val="00176603"/>
    <w:rsid w:val="00176656"/>
    <w:rsid w:val="00176AE7"/>
    <w:rsid w:val="00176B66"/>
    <w:rsid w:val="00176D97"/>
    <w:rsid w:val="00176FD4"/>
    <w:rsid w:val="00177096"/>
    <w:rsid w:val="00177B44"/>
    <w:rsid w:val="00177FC7"/>
    <w:rsid w:val="001803A9"/>
    <w:rsid w:val="0018097E"/>
    <w:rsid w:val="00180AF9"/>
    <w:rsid w:val="00180F84"/>
    <w:rsid w:val="00181331"/>
    <w:rsid w:val="0018148E"/>
    <w:rsid w:val="0018163C"/>
    <w:rsid w:val="00181744"/>
    <w:rsid w:val="001818C8"/>
    <w:rsid w:val="00181E41"/>
    <w:rsid w:val="00181FA6"/>
    <w:rsid w:val="001820CE"/>
    <w:rsid w:val="0018255F"/>
    <w:rsid w:val="001825B6"/>
    <w:rsid w:val="00182739"/>
    <w:rsid w:val="00182ADA"/>
    <w:rsid w:val="00182F7B"/>
    <w:rsid w:val="0018318A"/>
    <w:rsid w:val="00183634"/>
    <w:rsid w:val="001837DE"/>
    <w:rsid w:val="00183931"/>
    <w:rsid w:val="00184866"/>
    <w:rsid w:val="00184876"/>
    <w:rsid w:val="001849F5"/>
    <w:rsid w:val="00184CB5"/>
    <w:rsid w:val="00184D90"/>
    <w:rsid w:val="00184D9D"/>
    <w:rsid w:val="00185A42"/>
    <w:rsid w:val="00185AA7"/>
    <w:rsid w:val="00185B0C"/>
    <w:rsid w:val="00185CD2"/>
    <w:rsid w:val="00185D04"/>
    <w:rsid w:val="001860C1"/>
    <w:rsid w:val="0018624B"/>
    <w:rsid w:val="001869B6"/>
    <w:rsid w:val="00186D7E"/>
    <w:rsid w:val="00186DF0"/>
    <w:rsid w:val="00186F4F"/>
    <w:rsid w:val="00186F93"/>
    <w:rsid w:val="0018769C"/>
    <w:rsid w:val="001876DF"/>
    <w:rsid w:val="001879DA"/>
    <w:rsid w:val="00190838"/>
    <w:rsid w:val="0019087D"/>
    <w:rsid w:val="0019101C"/>
    <w:rsid w:val="001911CA"/>
    <w:rsid w:val="001914BB"/>
    <w:rsid w:val="001914D7"/>
    <w:rsid w:val="00191E75"/>
    <w:rsid w:val="001926CA"/>
    <w:rsid w:val="00192F31"/>
    <w:rsid w:val="001937AA"/>
    <w:rsid w:val="00193A33"/>
    <w:rsid w:val="00193B32"/>
    <w:rsid w:val="00193BFD"/>
    <w:rsid w:val="001945BB"/>
    <w:rsid w:val="00194A4A"/>
    <w:rsid w:val="00194B47"/>
    <w:rsid w:val="0019509E"/>
    <w:rsid w:val="0019579C"/>
    <w:rsid w:val="00195817"/>
    <w:rsid w:val="00195AAD"/>
    <w:rsid w:val="00195ED3"/>
    <w:rsid w:val="0019617C"/>
    <w:rsid w:val="001962C5"/>
    <w:rsid w:val="00196454"/>
    <w:rsid w:val="00196581"/>
    <w:rsid w:val="0019686B"/>
    <w:rsid w:val="00196931"/>
    <w:rsid w:val="00196C7A"/>
    <w:rsid w:val="00196E3E"/>
    <w:rsid w:val="00196FCB"/>
    <w:rsid w:val="001972AF"/>
    <w:rsid w:val="001972F3"/>
    <w:rsid w:val="00197629"/>
    <w:rsid w:val="001977FE"/>
    <w:rsid w:val="00197D0C"/>
    <w:rsid w:val="00197F89"/>
    <w:rsid w:val="001A010A"/>
    <w:rsid w:val="001A03F2"/>
    <w:rsid w:val="001A0560"/>
    <w:rsid w:val="001A084A"/>
    <w:rsid w:val="001A08FA"/>
    <w:rsid w:val="001A0CDC"/>
    <w:rsid w:val="001A11EF"/>
    <w:rsid w:val="001A18D8"/>
    <w:rsid w:val="001A1DE7"/>
    <w:rsid w:val="001A1E22"/>
    <w:rsid w:val="001A22A4"/>
    <w:rsid w:val="001A272F"/>
    <w:rsid w:val="001A2885"/>
    <w:rsid w:val="001A28C6"/>
    <w:rsid w:val="001A2AB3"/>
    <w:rsid w:val="001A2B0B"/>
    <w:rsid w:val="001A2C00"/>
    <w:rsid w:val="001A2ECA"/>
    <w:rsid w:val="001A3058"/>
    <w:rsid w:val="001A31DF"/>
    <w:rsid w:val="001A3395"/>
    <w:rsid w:val="001A37C4"/>
    <w:rsid w:val="001A38DF"/>
    <w:rsid w:val="001A3E12"/>
    <w:rsid w:val="001A3F1E"/>
    <w:rsid w:val="001A40F7"/>
    <w:rsid w:val="001A472E"/>
    <w:rsid w:val="001A4913"/>
    <w:rsid w:val="001A4E15"/>
    <w:rsid w:val="001A532C"/>
    <w:rsid w:val="001A5740"/>
    <w:rsid w:val="001A5882"/>
    <w:rsid w:val="001A58CD"/>
    <w:rsid w:val="001A5F4D"/>
    <w:rsid w:val="001A5F8C"/>
    <w:rsid w:val="001A674F"/>
    <w:rsid w:val="001A69C5"/>
    <w:rsid w:val="001A6C27"/>
    <w:rsid w:val="001A6C75"/>
    <w:rsid w:val="001A6ECF"/>
    <w:rsid w:val="001A7559"/>
    <w:rsid w:val="001A7921"/>
    <w:rsid w:val="001A7B02"/>
    <w:rsid w:val="001A7DF8"/>
    <w:rsid w:val="001A7F65"/>
    <w:rsid w:val="001B046D"/>
    <w:rsid w:val="001B0B19"/>
    <w:rsid w:val="001B0B26"/>
    <w:rsid w:val="001B0E10"/>
    <w:rsid w:val="001B1189"/>
    <w:rsid w:val="001B131E"/>
    <w:rsid w:val="001B1320"/>
    <w:rsid w:val="001B1639"/>
    <w:rsid w:val="001B185C"/>
    <w:rsid w:val="001B1CC1"/>
    <w:rsid w:val="001B1FB7"/>
    <w:rsid w:val="001B2037"/>
    <w:rsid w:val="001B27FD"/>
    <w:rsid w:val="001B29BA"/>
    <w:rsid w:val="001B29CB"/>
    <w:rsid w:val="001B2A88"/>
    <w:rsid w:val="001B2D8D"/>
    <w:rsid w:val="001B313B"/>
    <w:rsid w:val="001B32A0"/>
    <w:rsid w:val="001B339E"/>
    <w:rsid w:val="001B386F"/>
    <w:rsid w:val="001B3912"/>
    <w:rsid w:val="001B3D5B"/>
    <w:rsid w:val="001B3DD2"/>
    <w:rsid w:val="001B3F8B"/>
    <w:rsid w:val="001B412E"/>
    <w:rsid w:val="001B429C"/>
    <w:rsid w:val="001B4488"/>
    <w:rsid w:val="001B4602"/>
    <w:rsid w:val="001B4844"/>
    <w:rsid w:val="001B4D68"/>
    <w:rsid w:val="001B4EB7"/>
    <w:rsid w:val="001B4F02"/>
    <w:rsid w:val="001B4F3D"/>
    <w:rsid w:val="001B5665"/>
    <w:rsid w:val="001B59DE"/>
    <w:rsid w:val="001B645A"/>
    <w:rsid w:val="001B6579"/>
    <w:rsid w:val="001B659D"/>
    <w:rsid w:val="001B6A8A"/>
    <w:rsid w:val="001B70E1"/>
    <w:rsid w:val="001B7226"/>
    <w:rsid w:val="001B7447"/>
    <w:rsid w:val="001B74BD"/>
    <w:rsid w:val="001B7630"/>
    <w:rsid w:val="001B7BBB"/>
    <w:rsid w:val="001B7CC4"/>
    <w:rsid w:val="001B7EFE"/>
    <w:rsid w:val="001C00A0"/>
    <w:rsid w:val="001C0C67"/>
    <w:rsid w:val="001C0D3C"/>
    <w:rsid w:val="001C0D9D"/>
    <w:rsid w:val="001C0DF8"/>
    <w:rsid w:val="001C0E6A"/>
    <w:rsid w:val="001C0F32"/>
    <w:rsid w:val="001C10F0"/>
    <w:rsid w:val="001C1128"/>
    <w:rsid w:val="001C147F"/>
    <w:rsid w:val="001C1646"/>
    <w:rsid w:val="001C18CA"/>
    <w:rsid w:val="001C192A"/>
    <w:rsid w:val="001C1C5D"/>
    <w:rsid w:val="001C252D"/>
    <w:rsid w:val="001C2AA0"/>
    <w:rsid w:val="001C2BAE"/>
    <w:rsid w:val="001C2DA5"/>
    <w:rsid w:val="001C353C"/>
    <w:rsid w:val="001C367E"/>
    <w:rsid w:val="001C3D60"/>
    <w:rsid w:val="001C3EDA"/>
    <w:rsid w:val="001C4090"/>
    <w:rsid w:val="001C40D8"/>
    <w:rsid w:val="001C413B"/>
    <w:rsid w:val="001C454C"/>
    <w:rsid w:val="001C476F"/>
    <w:rsid w:val="001C4A5F"/>
    <w:rsid w:val="001C56EF"/>
    <w:rsid w:val="001C5778"/>
    <w:rsid w:val="001C596A"/>
    <w:rsid w:val="001C5AC3"/>
    <w:rsid w:val="001C633A"/>
    <w:rsid w:val="001C6615"/>
    <w:rsid w:val="001C6920"/>
    <w:rsid w:val="001C6AAC"/>
    <w:rsid w:val="001C6AF3"/>
    <w:rsid w:val="001C6C5B"/>
    <w:rsid w:val="001C710D"/>
    <w:rsid w:val="001C73B8"/>
    <w:rsid w:val="001C7A2E"/>
    <w:rsid w:val="001C7EA6"/>
    <w:rsid w:val="001D034A"/>
    <w:rsid w:val="001D0B13"/>
    <w:rsid w:val="001D0C65"/>
    <w:rsid w:val="001D0CDA"/>
    <w:rsid w:val="001D0E5F"/>
    <w:rsid w:val="001D1347"/>
    <w:rsid w:val="001D139C"/>
    <w:rsid w:val="001D155E"/>
    <w:rsid w:val="001D18E7"/>
    <w:rsid w:val="001D294B"/>
    <w:rsid w:val="001D3031"/>
    <w:rsid w:val="001D3714"/>
    <w:rsid w:val="001D3861"/>
    <w:rsid w:val="001D3B86"/>
    <w:rsid w:val="001D4013"/>
    <w:rsid w:val="001D428D"/>
    <w:rsid w:val="001D434E"/>
    <w:rsid w:val="001D4532"/>
    <w:rsid w:val="001D457D"/>
    <w:rsid w:val="001D4629"/>
    <w:rsid w:val="001D4A76"/>
    <w:rsid w:val="001D4B2E"/>
    <w:rsid w:val="001D4C6E"/>
    <w:rsid w:val="001D4E7A"/>
    <w:rsid w:val="001D4F00"/>
    <w:rsid w:val="001D4F10"/>
    <w:rsid w:val="001D521B"/>
    <w:rsid w:val="001D5671"/>
    <w:rsid w:val="001D5B7E"/>
    <w:rsid w:val="001D5BE0"/>
    <w:rsid w:val="001D5BF6"/>
    <w:rsid w:val="001D5BFB"/>
    <w:rsid w:val="001D646E"/>
    <w:rsid w:val="001D6517"/>
    <w:rsid w:val="001D694B"/>
    <w:rsid w:val="001D71E8"/>
    <w:rsid w:val="001D7216"/>
    <w:rsid w:val="001D72C7"/>
    <w:rsid w:val="001D73B8"/>
    <w:rsid w:val="001D74E5"/>
    <w:rsid w:val="001D758F"/>
    <w:rsid w:val="001D7AAF"/>
    <w:rsid w:val="001D7BBC"/>
    <w:rsid w:val="001D7FCA"/>
    <w:rsid w:val="001E040A"/>
    <w:rsid w:val="001E0443"/>
    <w:rsid w:val="001E0AA8"/>
    <w:rsid w:val="001E0BB1"/>
    <w:rsid w:val="001E111B"/>
    <w:rsid w:val="001E114A"/>
    <w:rsid w:val="001E12D3"/>
    <w:rsid w:val="001E1319"/>
    <w:rsid w:val="001E15D9"/>
    <w:rsid w:val="001E18DA"/>
    <w:rsid w:val="001E1B0A"/>
    <w:rsid w:val="001E20FE"/>
    <w:rsid w:val="001E21BF"/>
    <w:rsid w:val="001E242D"/>
    <w:rsid w:val="001E246E"/>
    <w:rsid w:val="001E2CD7"/>
    <w:rsid w:val="001E2EBF"/>
    <w:rsid w:val="001E33DB"/>
    <w:rsid w:val="001E3EC9"/>
    <w:rsid w:val="001E421F"/>
    <w:rsid w:val="001E47E5"/>
    <w:rsid w:val="001E48B7"/>
    <w:rsid w:val="001E4BE0"/>
    <w:rsid w:val="001E5349"/>
    <w:rsid w:val="001E54A1"/>
    <w:rsid w:val="001E5E9E"/>
    <w:rsid w:val="001E635C"/>
    <w:rsid w:val="001E699F"/>
    <w:rsid w:val="001E7080"/>
    <w:rsid w:val="001E7557"/>
    <w:rsid w:val="001E76A6"/>
    <w:rsid w:val="001E76CF"/>
    <w:rsid w:val="001E7F8F"/>
    <w:rsid w:val="001F0345"/>
    <w:rsid w:val="001F0474"/>
    <w:rsid w:val="001F04CA"/>
    <w:rsid w:val="001F0637"/>
    <w:rsid w:val="001F07B7"/>
    <w:rsid w:val="001F0D4D"/>
    <w:rsid w:val="001F13DC"/>
    <w:rsid w:val="001F13FE"/>
    <w:rsid w:val="001F16CB"/>
    <w:rsid w:val="001F1784"/>
    <w:rsid w:val="001F1DDA"/>
    <w:rsid w:val="001F1EF6"/>
    <w:rsid w:val="001F20B5"/>
    <w:rsid w:val="001F2116"/>
    <w:rsid w:val="001F2183"/>
    <w:rsid w:val="001F22A0"/>
    <w:rsid w:val="001F26A7"/>
    <w:rsid w:val="001F2976"/>
    <w:rsid w:val="001F29D9"/>
    <w:rsid w:val="001F2BB9"/>
    <w:rsid w:val="001F2DC4"/>
    <w:rsid w:val="001F3596"/>
    <w:rsid w:val="001F37E7"/>
    <w:rsid w:val="001F389A"/>
    <w:rsid w:val="001F3BBD"/>
    <w:rsid w:val="001F3CA2"/>
    <w:rsid w:val="001F42A8"/>
    <w:rsid w:val="001F45E8"/>
    <w:rsid w:val="001F4A36"/>
    <w:rsid w:val="001F4C2E"/>
    <w:rsid w:val="001F4D54"/>
    <w:rsid w:val="001F4FB7"/>
    <w:rsid w:val="001F5037"/>
    <w:rsid w:val="001F5617"/>
    <w:rsid w:val="001F5DAC"/>
    <w:rsid w:val="001F668D"/>
    <w:rsid w:val="001F69CB"/>
    <w:rsid w:val="001F6CD0"/>
    <w:rsid w:val="001F6CFF"/>
    <w:rsid w:val="001F6E32"/>
    <w:rsid w:val="001F6FC3"/>
    <w:rsid w:val="001F7019"/>
    <w:rsid w:val="001F7250"/>
    <w:rsid w:val="001F74FD"/>
    <w:rsid w:val="002007ED"/>
    <w:rsid w:val="00200BC2"/>
    <w:rsid w:val="002016C5"/>
    <w:rsid w:val="00201775"/>
    <w:rsid w:val="00201819"/>
    <w:rsid w:val="002024BF"/>
    <w:rsid w:val="00202560"/>
    <w:rsid w:val="002025F2"/>
    <w:rsid w:val="00202663"/>
    <w:rsid w:val="00203001"/>
    <w:rsid w:val="00203785"/>
    <w:rsid w:val="002038B0"/>
    <w:rsid w:val="00203EB7"/>
    <w:rsid w:val="0020441E"/>
    <w:rsid w:val="002049EB"/>
    <w:rsid w:val="00204B71"/>
    <w:rsid w:val="00204ED0"/>
    <w:rsid w:val="002053BF"/>
    <w:rsid w:val="00205994"/>
    <w:rsid w:val="002064F7"/>
    <w:rsid w:val="002067F8"/>
    <w:rsid w:val="00206AFC"/>
    <w:rsid w:val="00206B2F"/>
    <w:rsid w:val="00206BA5"/>
    <w:rsid w:val="00206CEB"/>
    <w:rsid w:val="00206E10"/>
    <w:rsid w:val="00206EC3"/>
    <w:rsid w:val="00206F2D"/>
    <w:rsid w:val="0020708C"/>
    <w:rsid w:val="00207319"/>
    <w:rsid w:val="00207461"/>
    <w:rsid w:val="002074F7"/>
    <w:rsid w:val="0020777A"/>
    <w:rsid w:val="002077D9"/>
    <w:rsid w:val="00207AB3"/>
    <w:rsid w:val="00207CF9"/>
    <w:rsid w:val="00207D04"/>
    <w:rsid w:val="00210322"/>
    <w:rsid w:val="00210A8E"/>
    <w:rsid w:val="00210C8D"/>
    <w:rsid w:val="00211033"/>
    <w:rsid w:val="002117FF"/>
    <w:rsid w:val="002118EC"/>
    <w:rsid w:val="00211A76"/>
    <w:rsid w:val="00211BB4"/>
    <w:rsid w:val="00211EC6"/>
    <w:rsid w:val="002125C7"/>
    <w:rsid w:val="00212767"/>
    <w:rsid w:val="00212AEC"/>
    <w:rsid w:val="00212B50"/>
    <w:rsid w:val="00212B73"/>
    <w:rsid w:val="00212F88"/>
    <w:rsid w:val="00213284"/>
    <w:rsid w:val="002132BD"/>
    <w:rsid w:val="00213A2C"/>
    <w:rsid w:val="00213B20"/>
    <w:rsid w:val="00213C3E"/>
    <w:rsid w:val="00213E8F"/>
    <w:rsid w:val="00214822"/>
    <w:rsid w:val="00214969"/>
    <w:rsid w:val="00214C16"/>
    <w:rsid w:val="0021500F"/>
    <w:rsid w:val="002161BF"/>
    <w:rsid w:val="0021655A"/>
    <w:rsid w:val="0021696F"/>
    <w:rsid w:val="00216A17"/>
    <w:rsid w:val="00216D24"/>
    <w:rsid w:val="0021748B"/>
    <w:rsid w:val="00217646"/>
    <w:rsid w:val="00217949"/>
    <w:rsid w:val="0022000F"/>
    <w:rsid w:val="0022003B"/>
    <w:rsid w:val="00220355"/>
    <w:rsid w:val="002207A6"/>
    <w:rsid w:val="0022091F"/>
    <w:rsid w:val="00220D8A"/>
    <w:rsid w:val="00221195"/>
    <w:rsid w:val="002214AF"/>
    <w:rsid w:val="00221575"/>
    <w:rsid w:val="00221BE5"/>
    <w:rsid w:val="00221EE0"/>
    <w:rsid w:val="00222243"/>
    <w:rsid w:val="0022226D"/>
    <w:rsid w:val="002225F3"/>
    <w:rsid w:val="00222726"/>
    <w:rsid w:val="00222E9E"/>
    <w:rsid w:val="00222EF4"/>
    <w:rsid w:val="0022301B"/>
    <w:rsid w:val="002235E3"/>
    <w:rsid w:val="00223639"/>
    <w:rsid w:val="00223785"/>
    <w:rsid w:val="00223C5C"/>
    <w:rsid w:val="00224771"/>
    <w:rsid w:val="00224811"/>
    <w:rsid w:val="002248F8"/>
    <w:rsid w:val="00224BE6"/>
    <w:rsid w:val="00224CC8"/>
    <w:rsid w:val="00224D0B"/>
    <w:rsid w:val="00224E0F"/>
    <w:rsid w:val="00224E87"/>
    <w:rsid w:val="00224E8E"/>
    <w:rsid w:val="0022505B"/>
    <w:rsid w:val="002253B6"/>
    <w:rsid w:val="002257DC"/>
    <w:rsid w:val="002258D2"/>
    <w:rsid w:val="00225C66"/>
    <w:rsid w:val="00225C85"/>
    <w:rsid w:val="00225C95"/>
    <w:rsid w:val="00225E97"/>
    <w:rsid w:val="00225E99"/>
    <w:rsid w:val="00225EC5"/>
    <w:rsid w:val="002262FB"/>
    <w:rsid w:val="00226406"/>
    <w:rsid w:val="00226CFC"/>
    <w:rsid w:val="00226E48"/>
    <w:rsid w:val="002272CE"/>
    <w:rsid w:val="002273DD"/>
    <w:rsid w:val="00227466"/>
    <w:rsid w:val="00227587"/>
    <w:rsid w:val="002277F9"/>
    <w:rsid w:val="002300A6"/>
    <w:rsid w:val="002308BE"/>
    <w:rsid w:val="00230A79"/>
    <w:rsid w:val="00230BD7"/>
    <w:rsid w:val="00230BDB"/>
    <w:rsid w:val="00230F44"/>
    <w:rsid w:val="00230F4A"/>
    <w:rsid w:val="00231318"/>
    <w:rsid w:val="00231875"/>
    <w:rsid w:val="002318F7"/>
    <w:rsid w:val="0023198E"/>
    <w:rsid w:val="00231BFC"/>
    <w:rsid w:val="00231E0C"/>
    <w:rsid w:val="00231FA7"/>
    <w:rsid w:val="002322D9"/>
    <w:rsid w:val="0023231C"/>
    <w:rsid w:val="00232364"/>
    <w:rsid w:val="0023241C"/>
    <w:rsid w:val="00232426"/>
    <w:rsid w:val="002328B1"/>
    <w:rsid w:val="00232A73"/>
    <w:rsid w:val="00232B6B"/>
    <w:rsid w:val="002331E5"/>
    <w:rsid w:val="00233376"/>
    <w:rsid w:val="00233826"/>
    <w:rsid w:val="00233AC9"/>
    <w:rsid w:val="00233AED"/>
    <w:rsid w:val="00233C6B"/>
    <w:rsid w:val="00233D1B"/>
    <w:rsid w:val="00233F8F"/>
    <w:rsid w:val="0023472C"/>
    <w:rsid w:val="00234816"/>
    <w:rsid w:val="00234F6B"/>
    <w:rsid w:val="00235165"/>
    <w:rsid w:val="00235320"/>
    <w:rsid w:val="002357B4"/>
    <w:rsid w:val="00235883"/>
    <w:rsid w:val="00235BE4"/>
    <w:rsid w:val="00235D5F"/>
    <w:rsid w:val="00235E3D"/>
    <w:rsid w:val="00235E40"/>
    <w:rsid w:val="00235FD6"/>
    <w:rsid w:val="00236335"/>
    <w:rsid w:val="002368DB"/>
    <w:rsid w:val="002369B9"/>
    <w:rsid w:val="00236CE5"/>
    <w:rsid w:val="00236E2C"/>
    <w:rsid w:val="00237327"/>
    <w:rsid w:val="0024038A"/>
    <w:rsid w:val="00240545"/>
    <w:rsid w:val="00240ABC"/>
    <w:rsid w:val="0024141F"/>
    <w:rsid w:val="002414BD"/>
    <w:rsid w:val="0024165F"/>
    <w:rsid w:val="0024166A"/>
    <w:rsid w:val="00241C14"/>
    <w:rsid w:val="00242D11"/>
    <w:rsid w:val="0024353C"/>
    <w:rsid w:val="002437A2"/>
    <w:rsid w:val="0024405B"/>
    <w:rsid w:val="00244182"/>
    <w:rsid w:val="002443DE"/>
    <w:rsid w:val="002446EF"/>
    <w:rsid w:val="00244794"/>
    <w:rsid w:val="00244856"/>
    <w:rsid w:val="002449D2"/>
    <w:rsid w:val="00244C3A"/>
    <w:rsid w:val="00244F2D"/>
    <w:rsid w:val="00244F63"/>
    <w:rsid w:val="002450A8"/>
    <w:rsid w:val="00245259"/>
    <w:rsid w:val="002452B6"/>
    <w:rsid w:val="00245485"/>
    <w:rsid w:val="0024559E"/>
    <w:rsid w:val="002456C4"/>
    <w:rsid w:val="00245B9E"/>
    <w:rsid w:val="00245CDE"/>
    <w:rsid w:val="00245D02"/>
    <w:rsid w:val="00245DCD"/>
    <w:rsid w:val="00246135"/>
    <w:rsid w:val="002464E8"/>
    <w:rsid w:val="0024664C"/>
    <w:rsid w:val="00246689"/>
    <w:rsid w:val="00246796"/>
    <w:rsid w:val="00246CDC"/>
    <w:rsid w:val="00247325"/>
    <w:rsid w:val="002473A8"/>
    <w:rsid w:val="00247677"/>
    <w:rsid w:val="00247774"/>
    <w:rsid w:val="002477F4"/>
    <w:rsid w:val="00247A8D"/>
    <w:rsid w:val="00247DA7"/>
    <w:rsid w:val="00247DDE"/>
    <w:rsid w:val="00250043"/>
    <w:rsid w:val="002507BC"/>
    <w:rsid w:val="002508F9"/>
    <w:rsid w:val="0025092F"/>
    <w:rsid w:val="00250A47"/>
    <w:rsid w:val="00250B30"/>
    <w:rsid w:val="00250C48"/>
    <w:rsid w:val="00250F22"/>
    <w:rsid w:val="002517E4"/>
    <w:rsid w:val="0025185F"/>
    <w:rsid w:val="00251B68"/>
    <w:rsid w:val="0025229E"/>
    <w:rsid w:val="00252562"/>
    <w:rsid w:val="002528CC"/>
    <w:rsid w:val="00252A6C"/>
    <w:rsid w:val="00252CA7"/>
    <w:rsid w:val="00253327"/>
    <w:rsid w:val="002537C7"/>
    <w:rsid w:val="00253B61"/>
    <w:rsid w:val="00253F08"/>
    <w:rsid w:val="00253F46"/>
    <w:rsid w:val="0025414B"/>
    <w:rsid w:val="00254153"/>
    <w:rsid w:val="00254F8C"/>
    <w:rsid w:val="002550F7"/>
    <w:rsid w:val="00255226"/>
    <w:rsid w:val="002554D4"/>
    <w:rsid w:val="002554FA"/>
    <w:rsid w:val="00255746"/>
    <w:rsid w:val="002558E7"/>
    <w:rsid w:val="00255A7D"/>
    <w:rsid w:val="00256978"/>
    <w:rsid w:val="00256B0A"/>
    <w:rsid w:val="002570D6"/>
    <w:rsid w:val="00257778"/>
    <w:rsid w:val="00257A3A"/>
    <w:rsid w:val="00257D7D"/>
    <w:rsid w:val="002600C9"/>
    <w:rsid w:val="0026035C"/>
    <w:rsid w:val="002604E4"/>
    <w:rsid w:val="00260503"/>
    <w:rsid w:val="00260886"/>
    <w:rsid w:val="00260979"/>
    <w:rsid w:val="00260B01"/>
    <w:rsid w:val="00260BB9"/>
    <w:rsid w:val="00260CC7"/>
    <w:rsid w:val="00260D1B"/>
    <w:rsid w:val="00260FA7"/>
    <w:rsid w:val="002611E3"/>
    <w:rsid w:val="0026128F"/>
    <w:rsid w:val="0026136B"/>
    <w:rsid w:val="002614CF"/>
    <w:rsid w:val="002616F0"/>
    <w:rsid w:val="00261D56"/>
    <w:rsid w:val="00261D9F"/>
    <w:rsid w:val="00261EE6"/>
    <w:rsid w:val="00262210"/>
    <w:rsid w:val="00262242"/>
    <w:rsid w:val="00262500"/>
    <w:rsid w:val="00262865"/>
    <w:rsid w:val="00262B5D"/>
    <w:rsid w:val="00262F3C"/>
    <w:rsid w:val="00263275"/>
    <w:rsid w:val="00263B05"/>
    <w:rsid w:val="00263ECC"/>
    <w:rsid w:val="00263ED1"/>
    <w:rsid w:val="00263F0C"/>
    <w:rsid w:val="00264237"/>
    <w:rsid w:val="0026424B"/>
    <w:rsid w:val="0026467C"/>
    <w:rsid w:val="00264BE9"/>
    <w:rsid w:val="002650CB"/>
    <w:rsid w:val="00265298"/>
    <w:rsid w:val="0026552C"/>
    <w:rsid w:val="00265562"/>
    <w:rsid w:val="00265C82"/>
    <w:rsid w:val="00265EB0"/>
    <w:rsid w:val="0026625E"/>
    <w:rsid w:val="0026648A"/>
    <w:rsid w:val="002664F2"/>
    <w:rsid w:val="00266A1E"/>
    <w:rsid w:val="00266DF3"/>
    <w:rsid w:val="002674E4"/>
    <w:rsid w:val="002675B2"/>
    <w:rsid w:val="00267657"/>
    <w:rsid w:val="00267921"/>
    <w:rsid w:val="00267F74"/>
    <w:rsid w:val="00267F79"/>
    <w:rsid w:val="00270280"/>
    <w:rsid w:val="002705C8"/>
    <w:rsid w:val="002709BD"/>
    <w:rsid w:val="00270D7C"/>
    <w:rsid w:val="00270DF2"/>
    <w:rsid w:val="002712BC"/>
    <w:rsid w:val="002714C2"/>
    <w:rsid w:val="002716F7"/>
    <w:rsid w:val="002718CB"/>
    <w:rsid w:val="002720B4"/>
    <w:rsid w:val="002722D8"/>
    <w:rsid w:val="0027292B"/>
    <w:rsid w:val="00272BE2"/>
    <w:rsid w:val="00272E9B"/>
    <w:rsid w:val="0027342B"/>
    <w:rsid w:val="00273735"/>
    <w:rsid w:val="00274006"/>
    <w:rsid w:val="00274094"/>
    <w:rsid w:val="002745AD"/>
    <w:rsid w:val="00274C4C"/>
    <w:rsid w:val="0027508F"/>
    <w:rsid w:val="002752B5"/>
    <w:rsid w:val="002752E7"/>
    <w:rsid w:val="002755FF"/>
    <w:rsid w:val="00275771"/>
    <w:rsid w:val="00276119"/>
    <w:rsid w:val="00276143"/>
    <w:rsid w:val="002766B2"/>
    <w:rsid w:val="0027686E"/>
    <w:rsid w:val="00276991"/>
    <w:rsid w:val="00276C39"/>
    <w:rsid w:val="00276C50"/>
    <w:rsid w:val="002771CE"/>
    <w:rsid w:val="00277370"/>
    <w:rsid w:val="0027757E"/>
    <w:rsid w:val="00277678"/>
    <w:rsid w:val="00277D4C"/>
    <w:rsid w:val="002802F2"/>
    <w:rsid w:val="002805E0"/>
    <w:rsid w:val="00280768"/>
    <w:rsid w:val="00281149"/>
    <w:rsid w:val="002813FE"/>
    <w:rsid w:val="00281772"/>
    <w:rsid w:val="00281BD2"/>
    <w:rsid w:val="00281BFF"/>
    <w:rsid w:val="00281F72"/>
    <w:rsid w:val="0028252A"/>
    <w:rsid w:val="00282647"/>
    <w:rsid w:val="0028288D"/>
    <w:rsid w:val="00283734"/>
    <w:rsid w:val="00283E9B"/>
    <w:rsid w:val="0028444E"/>
    <w:rsid w:val="002846D9"/>
    <w:rsid w:val="0028492E"/>
    <w:rsid w:val="00284DBC"/>
    <w:rsid w:val="0028503F"/>
    <w:rsid w:val="00285454"/>
    <w:rsid w:val="00285A66"/>
    <w:rsid w:val="00286627"/>
    <w:rsid w:val="002866EF"/>
    <w:rsid w:val="00286927"/>
    <w:rsid w:val="0028698C"/>
    <w:rsid w:val="00286A37"/>
    <w:rsid w:val="00286E42"/>
    <w:rsid w:val="0028769C"/>
    <w:rsid w:val="00287CFD"/>
    <w:rsid w:val="00287E38"/>
    <w:rsid w:val="00287E6E"/>
    <w:rsid w:val="00290075"/>
    <w:rsid w:val="0029008E"/>
    <w:rsid w:val="002901A1"/>
    <w:rsid w:val="0029041B"/>
    <w:rsid w:val="002906C9"/>
    <w:rsid w:val="00290973"/>
    <w:rsid w:val="00290A31"/>
    <w:rsid w:val="00291074"/>
    <w:rsid w:val="00291183"/>
    <w:rsid w:val="00291318"/>
    <w:rsid w:val="00291B16"/>
    <w:rsid w:val="00291BA5"/>
    <w:rsid w:val="00292168"/>
    <w:rsid w:val="00292829"/>
    <w:rsid w:val="00292D57"/>
    <w:rsid w:val="002930C5"/>
    <w:rsid w:val="00293535"/>
    <w:rsid w:val="00293D8C"/>
    <w:rsid w:val="002943A8"/>
    <w:rsid w:val="00294449"/>
    <w:rsid w:val="002945A7"/>
    <w:rsid w:val="00294C41"/>
    <w:rsid w:val="00294D01"/>
    <w:rsid w:val="002954D7"/>
    <w:rsid w:val="0029598C"/>
    <w:rsid w:val="00296109"/>
    <w:rsid w:val="0029624D"/>
    <w:rsid w:val="002967E1"/>
    <w:rsid w:val="002969A1"/>
    <w:rsid w:val="00296BDA"/>
    <w:rsid w:val="00296C95"/>
    <w:rsid w:val="00296E53"/>
    <w:rsid w:val="0029749C"/>
    <w:rsid w:val="002975D8"/>
    <w:rsid w:val="00297D39"/>
    <w:rsid w:val="002A06B2"/>
    <w:rsid w:val="002A0DC3"/>
    <w:rsid w:val="002A14A6"/>
    <w:rsid w:val="002A1A39"/>
    <w:rsid w:val="002A1DE5"/>
    <w:rsid w:val="002A2040"/>
    <w:rsid w:val="002A2050"/>
    <w:rsid w:val="002A2730"/>
    <w:rsid w:val="002A27F9"/>
    <w:rsid w:val="002A28E3"/>
    <w:rsid w:val="002A2E97"/>
    <w:rsid w:val="002A2FF2"/>
    <w:rsid w:val="002A33D0"/>
    <w:rsid w:val="002A3825"/>
    <w:rsid w:val="002A3A10"/>
    <w:rsid w:val="002A3B01"/>
    <w:rsid w:val="002A3CF1"/>
    <w:rsid w:val="002A3FBC"/>
    <w:rsid w:val="002A45A5"/>
    <w:rsid w:val="002A4787"/>
    <w:rsid w:val="002A47D3"/>
    <w:rsid w:val="002A4A95"/>
    <w:rsid w:val="002A4B03"/>
    <w:rsid w:val="002A5528"/>
    <w:rsid w:val="002A575E"/>
    <w:rsid w:val="002A5C23"/>
    <w:rsid w:val="002A5CF8"/>
    <w:rsid w:val="002A607D"/>
    <w:rsid w:val="002A6163"/>
    <w:rsid w:val="002A61BC"/>
    <w:rsid w:val="002A6213"/>
    <w:rsid w:val="002A6725"/>
    <w:rsid w:val="002A69C8"/>
    <w:rsid w:val="002A6A5D"/>
    <w:rsid w:val="002A6B37"/>
    <w:rsid w:val="002A70D3"/>
    <w:rsid w:val="002A740A"/>
    <w:rsid w:val="002A777C"/>
    <w:rsid w:val="002A7D7E"/>
    <w:rsid w:val="002A7EEA"/>
    <w:rsid w:val="002B035B"/>
    <w:rsid w:val="002B0684"/>
    <w:rsid w:val="002B0741"/>
    <w:rsid w:val="002B09C6"/>
    <w:rsid w:val="002B0E3E"/>
    <w:rsid w:val="002B0F4D"/>
    <w:rsid w:val="002B13C8"/>
    <w:rsid w:val="002B1D4E"/>
    <w:rsid w:val="002B2139"/>
    <w:rsid w:val="002B21D7"/>
    <w:rsid w:val="002B2467"/>
    <w:rsid w:val="002B24AE"/>
    <w:rsid w:val="002B25D0"/>
    <w:rsid w:val="002B2C11"/>
    <w:rsid w:val="002B2C88"/>
    <w:rsid w:val="002B3365"/>
    <w:rsid w:val="002B3530"/>
    <w:rsid w:val="002B36AC"/>
    <w:rsid w:val="002B36F5"/>
    <w:rsid w:val="002B383E"/>
    <w:rsid w:val="002B3A1B"/>
    <w:rsid w:val="002B3C3B"/>
    <w:rsid w:val="002B3F2D"/>
    <w:rsid w:val="002B44E4"/>
    <w:rsid w:val="002B4A7F"/>
    <w:rsid w:val="002B4FC3"/>
    <w:rsid w:val="002B5156"/>
    <w:rsid w:val="002B5174"/>
    <w:rsid w:val="002B548F"/>
    <w:rsid w:val="002B551A"/>
    <w:rsid w:val="002B5D85"/>
    <w:rsid w:val="002B5F71"/>
    <w:rsid w:val="002B629C"/>
    <w:rsid w:val="002B6967"/>
    <w:rsid w:val="002B6C1D"/>
    <w:rsid w:val="002B6EA2"/>
    <w:rsid w:val="002B70AD"/>
    <w:rsid w:val="002B70CB"/>
    <w:rsid w:val="002B70D5"/>
    <w:rsid w:val="002B72CD"/>
    <w:rsid w:val="002B79B4"/>
    <w:rsid w:val="002B7E31"/>
    <w:rsid w:val="002C0B0A"/>
    <w:rsid w:val="002C0F78"/>
    <w:rsid w:val="002C15EA"/>
    <w:rsid w:val="002C15F6"/>
    <w:rsid w:val="002C1A13"/>
    <w:rsid w:val="002C1EE4"/>
    <w:rsid w:val="002C1F18"/>
    <w:rsid w:val="002C2062"/>
    <w:rsid w:val="002C2141"/>
    <w:rsid w:val="002C2692"/>
    <w:rsid w:val="002C26E6"/>
    <w:rsid w:val="002C2F6E"/>
    <w:rsid w:val="002C34F0"/>
    <w:rsid w:val="002C368C"/>
    <w:rsid w:val="002C37C6"/>
    <w:rsid w:val="002C40A2"/>
    <w:rsid w:val="002C481B"/>
    <w:rsid w:val="002C48D5"/>
    <w:rsid w:val="002C4C41"/>
    <w:rsid w:val="002C4E50"/>
    <w:rsid w:val="002C525B"/>
    <w:rsid w:val="002C5399"/>
    <w:rsid w:val="002C55D5"/>
    <w:rsid w:val="002C59E3"/>
    <w:rsid w:val="002C5E03"/>
    <w:rsid w:val="002C6A83"/>
    <w:rsid w:val="002C6F6F"/>
    <w:rsid w:val="002C708D"/>
    <w:rsid w:val="002C70F2"/>
    <w:rsid w:val="002C7385"/>
    <w:rsid w:val="002C7B22"/>
    <w:rsid w:val="002C7B78"/>
    <w:rsid w:val="002C7D58"/>
    <w:rsid w:val="002C7E36"/>
    <w:rsid w:val="002C7F4F"/>
    <w:rsid w:val="002D0786"/>
    <w:rsid w:val="002D0BD1"/>
    <w:rsid w:val="002D12FE"/>
    <w:rsid w:val="002D1485"/>
    <w:rsid w:val="002D1560"/>
    <w:rsid w:val="002D1715"/>
    <w:rsid w:val="002D1CBE"/>
    <w:rsid w:val="002D2B34"/>
    <w:rsid w:val="002D2BE5"/>
    <w:rsid w:val="002D2D09"/>
    <w:rsid w:val="002D2D20"/>
    <w:rsid w:val="002D2E17"/>
    <w:rsid w:val="002D30D2"/>
    <w:rsid w:val="002D3316"/>
    <w:rsid w:val="002D3887"/>
    <w:rsid w:val="002D38CD"/>
    <w:rsid w:val="002D3908"/>
    <w:rsid w:val="002D3A4E"/>
    <w:rsid w:val="002D3AC4"/>
    <w:rsid w:val="002D3AEC"/>
    <w:rsid w:val="002D4462"/>
    <w:rsid w:val="002D462D"/>
    <w:rsid w:val="002D48AC"/>
    <w:rsid w:val="002D4B6C"/>
    <w:rsid w:val="002D5028"/>
    <w:rsid w:val="002D5030"/>
    <w:rsid w:val="002D529D"/>
    <w:rsid w:val="002D53F8"/>
    <w:rsid w:val="002D57C7"/>
    <w:rsid w:val="002D5CD2"/>
    <w:rsid w:val="002D5DCF"/>
    <w:rsid w:val="002D5E5C"/>
    <w:rsid w:val="002D5F43"/>
    <w:rsid w:val="002D60C9"/>
    <w:rsid w:val="002D6114"/>
    <w:rsid w:val="002D625C"/>
    <w:rsid w:val="002D6B94"/>
    <w:rsid w:val="002D6E2C"/>
    <w:rsid w:val="002D7034"/>
    <w:rsid w:val="002D704C"/>
    <w:rsid w:val="002D7571"/>
    <w:rsid w:val="002D761B"/>
    <w:rsid w:val="002D7699"/>
    <w:rsid w:val="002D797E"/>
    <w:rsid w:val="002E05AA"/>
    <w:rsid w:val="002E05DA"/>
    <w:rsid w:val="002E069D"/>
    <w:rsid w:val="002E06BE"/>
    <w:rsid w:val="002E09ED"/>
    <w:rsid w:val="002E0A4D"/>
    <w:rsid w:val="002E0DC0"/>
    <w:rsid w:val="002E0FC5"/>
    <w:rsid w:val="002E14B1"/>
    <w:rsid w:val="002E1592"/>
    <w:rsid w:val="002E169D"/>
    <w:rsid w:val="002E1BED"/>
    <w:rsid w:val="002E1DA3"/>
    <w:rsid w:val="002E2199"/>
    <w:rsid w:val="002E27C9"/>
    <w:rsid w:val="002E27DA"/>
    <w:rsid w:val="002E2AD3"/>
    <w:rsid w:val="002E2BA5"/>
    <w:rsid w:val="002E3505"/>
    <w:rsid w:val="002E4AA4"/>
    <w:rsid w:val="002E4D71"/>
    <w:rsid w:val="002E4DA1"/>
    <w:rsid w:val="002E5646"/>
    <w:rsid w:val="002E5844"/>
    <w:rsid w:val="002E5BBD"/>
    <w:rsid w:val="002E5F60"/>
    <w:rsid w:val="002E612C"/>
    <w:rsid w:val="002E69D5"/>
    <w:rsid w:val="002E6DBA"/>
    <w:rsid w:val="002E7043"/>
    <w:rsid w:val="002E7081"/>
    <w:rsid w:val="002E7244"/>
    <w:rsid w:val="002E7472"/>
    <w:rsid w:val="002E771D"/>
    <w:rsid w:val="002E7748"/>
    <w:rsid w:val="002E7AF4"/>
    <w:rsid w:val="002E7FF3"/>
    <w:rsid w:val="002F0062"/>
    <w:rsid w:val="002F0907"/>
    <w:rsid w:val="002F0E79"/>
    <w:rsid w:val="002F1217"/>
    <w:rsid w:val="002F15B3"/>
    <w:rsid w:val="002F16D0"/>
    <w:rsid w:val="002F19AF"/>
    <w:rsid w:val="002F1D0D"/>
    <w:rsid w:val="002F1E53"/>
    <w:rsid w:val="002F2928"/>
    <w:rsid w:val="002F29DF"/>
    <w:rsid w:val="002F2AD3"/>
    <w:rsid w:val="002F2B83"/>
    <w:rsid w:val="002F2CA8"/>
    <w:rsid w:val="002F2E89"/>
    <w:rsid w:val="002F3053"/>
    <w:rsid w:val="002F3295"/>
    <w:rsid w:val="002F3438"/>
    <w:rsid w:val="002F344E"/>
    <w:rsid w:val="002F3641"/>
    <w:rsid w:val="002F3655"/>
    <w:rsid w:val="002F36CD"/>
    <w:rsid w:val="002F36E3"/>
    <w:rsid w:val="002F3A0F"/>
    <w:rsid w:val="002F3DF1"/>
    <w:rsid w:val="002F428A"/>
    <w:rsid w:val="002F5416"/>
    <w:rsid w:val="002F5D72"/>
    <w:rsid w:val="002F5D8E"/>
    <w:rsid w:val="002F6128"/>
    <w:rsid w:val="002F66E5"/>
    <w:rsid w:val="002F67BD"/>
    <w:rsid w:val="002F6B4C"/>
    <w:rsid w:val="002F6ED3"/>
    <w:rsid w:val="002F72EE"/>
    <w:rsid w:val="002F7C2B"/>
    <w:rsid w:val="003001D6"/>
    <w:rsid w:val="0030053C"/>
    <w:rsid w:val="003005B9"/>
    <w:rsid w:val="00300BFE"/>
    <w:rsid w:val="00301138"/>
    <w:rsid w:val="003015C4"/>
    <w:rsid w:val="003018C5"/>
    <w:rsid w:val="003018D4"/>
    <w:rsid w:val="00301CFB"/>
    <w:rsid w:val="00301F0C"/>
    <w:rsid w:val="00301FDA"/>
    <w:rsid w:val="003022B8"/>
    <w:rsid w:val="003028A1"/>
    <w:rsid w:val="003029A5"/>
    <w:rsid w:val="00302A44"/>
    <w:rsid w:val="00302B2C"/>
    <w:rsid w:val="00302CEB"/>
    <w:rsid w:val="003034DA"/>
    <w:rsid w:val="0030359D"/>
    <w:rsid w:val="003036AF"/>
    <w:rsid w:val="00303CBE"/>
    <w:rsid w:val="00303F48"/>
    <w:rsid w:val="003040F8"/>
    <w:rsid w:val="0030444D"/>
    <w:rsid w:val="00304AE9"/>
    <w:rsid w:val="00304B7B"/>
    <w:rsid w:val="00305295"/>
    <w:rsid w:val="0030530B"/>
    <w:rsid w:val="003055E4"/>
    <w:rsid w:val="00305985"/>
    <w:rsid w:val="00305E88"/>
    <w:rsid w:val="00305FD7"/>
    <w:rsid w:val="0030668B"/>
    <w:rsid w:val="00306962"/>
    <w:rsid w:val="003069EF"/>
    <w:rsid w:val="00306CD1"/>
    <w:rsid w:val="00306DDE"/>
    <w:rsid w:val="00307085"/>
    <w:rsid w:val="003071FA"/>
    <w:rsid w:val="00307323"/>
    <w:rsid w:val="003073AF"/>
    <w:rsid w:val="00307858"/>
    <w:rsid w:val="00310251"/>
    <w:rsid w:val="00310298"/>
    <w:rsid w:val="00310596"/>
    <w:rsid w:val="003111EC"/>
    <w:rsid w:val="0031135D"/>
    <w:rsid w:val="00311656"/>
    <w:rsid w:val="00311A58"/>
    <w:rsid w:val="00311C9F"/>
    <w:rsid w:val="00311D47"/>
    <w:rsid w:val="00311DE8"/>
    <w:rsid w:val="00311E76"/>
    <w:rsid w:val="00311FA4"/>
    <w:rsid w:val="00312042"/>
    <w:rsid w:val="003120B6"/>
    <w:rsid w:val="00312262"/>
    <w:rsid w:val="003128CD"/>
    <w:rsid w:val="00312E68"/>
    <w:rsid w:val="0031360D"/>
    <w:rsid w:val="003147B1"/>
    <w:rsid w:val="003148D3"/>
    <w:rsid w:val="003149A2"/>
    <w:rsid w:val="00314BEF"/>
    <w:rsid w:val="00314EA5"/>
    <w:rsid w:val="00314F3F"/>
    <w:rsid w:val="00314F6D"/>
    <w:rsid w:val="0031576C"/>
    <w:rsid w:val="00315C36"/>
    <w:rsid w:val="00315F41"/>
    <w:rsid w:val="00316015"/>
    <w:rsid w:val="003165D1"/>
    <w:rsid w:val="0031667F"/>
    <w:rsid w:val="00316762"/>
    <w:rsid w:val="003167FE"/>
    <w:rsid w:val="003169D4"/>
    <w:rsid w:val="00316DF8"/>
    <w:rsid w:val="00316F82"/>
    <w:rsid w:val="0031701A"/>
    <w:rsid w:val="003170D8"/>
    <w:rsid w:val="00317157"/>
    <w:rsid w:val="00317605"/>
    <w:rsid w:val="0031763E"/>
    <w:rsid w:val="00317772"/>
    <w:rsid w:val="00317B68"/>
    <w:rsid w:val="00317C00"/>
    <w:rsid w:val="00317CDD"/>
    <w:rsid w:val="00317F43"/>
    <w:rsid w:val="003204C5"/>
    <w:rsid w:val="00320580"/>
    <w:rsid w:val="0032058E"/>
    <w:rsid w:val="00320ABC"/>
    <w:rsid w:val="00320BA7"/>
    <w:rsid w:val="00320E7B"/>
    <w:rsid w:val="00321C51"/>
    <w:rsid w:val="00321D32"/>
    <w:rsid w:val="0032209F"/>
    <w:rsid w:val="00322543"/>
    <w:rsid w:val="00322818"/>
    <w:rsid w:val="003229B0"/>
    <w:rsid w:val="0032327A"/>
    <w:rsid w:val="0032347E"/>
    <w:rsid w:val="0032355E"/>
    <w:rsid w:val="00323937"/>
    <w:rsid w:val="00323D91"/>
    <w:rsid w:val="00323EA8"/>
    <w:rsid w:val="00324216"/>
    <w:rsid w:val="00324530"/>
    <w:rsid w:val="00324534"/>
    <w:rsid w:val="003248CA"/>
    <w:rsid w:val="00324E36"/>
    <w:rsid w:val="003252DA"/>
    <w:rsid w:val="00325817"/>
    <w:rsid w:val="00325853"/>
    <w:rsid w:val="00325942"/>
    <w:rsid w:val="0032594F"/>
    <w:rsid w:val="003265F8"/>
    <w:rsid w:val="00326AA2"/>
    <w:rsid w:val="00326B36"/>
    <w:rsid w:val="00326D3B"/>
    <w:rsid w:val="00327281"/>
    <w:rsid w:val="003275A1"/>
    <w:rsid w:val="003279C4"/>
    <w:rsid w:val="00327A42"/>
    <w:rsid w:val="00327B4D"/>
    <w:rsid w:val="00327D05"/>
    <w:rsid w:val="00330960"/>
    <w:rsid w:val="00330CC3"/>
    <w:rsid w:val="00330EBD"/>
    <w:rsid w:val="003311D2"/>
    <w:rsid w:val="00331863"/>
    <w:rsid w:val="003319CF"/>
    <w:rsid w:val="00331C0A"/>
    <w:rsid w:val="00332130"/>
    <w:rsid w:val="00332250"/>
    <w:rsid w:val="00332A36"/>
    <w:rsid w:val="00333080"/>
    <w:rsid w:val="00333299"/>
    <w:rsid w:val="00333705"/>
    <w:rsid w:val="00333C29"/>
    <w:rsid w:val="00333E94"/>
    <w:rsid w:val="0033411A"/>
    <w:rsid w:val="00334162"/>
    <w:rsid w:val="00334496"/>
    <w:rsid w:val="003345C3"/>
    <w:rsid w:val="00334702"/>
    <w:rsid w:val="003348F5"/>
    <w:rsid w:val="00334962"/>
    <w:rsid w:val="00334CC9"/>
    <w:rsid w:val="00334F2C"/>
    <w:rsid w:val="003350A2"/>
    <w:rsid w:val="0033515C"/>
    <w:rsid w:val="0033534C"/>
    <w:rsid w:val="003353B7"/>
    <w:rsid w:val="003357DF"/>
    <w:rsid w:val="00335B26"/>
    <w:rsid w:val="00335B94"/>
    <w:rsid w:val="00335E61"/>
    <w:rsid w:val="003363FE"/>
    <w:rsid w:val="003364C2"/>
    <w:rsid w:val="00336531"/>
    <w:rsid w:val="00336850"/>
    <w:rsid w:val="00336900"/>
    <w:rsid w:val="0033698A"/>
    <w:rsid w:val="00337A46"/>
    <w:rsid w:val="00337C98"/>
    <w:rsid w:val="00337CB8"/>
    <w:rsid w:val="00337F45"/>
    <w:rsid w:val="0034008E"/>
    <w:rsid w:val="0034018C"/>
    <w:rsid w:val="00340605"/>
    <w:rsid w:val="00340779"/>
    <w:rsid w:val="00340D21"/>
    <w:rsid w:val="00340E84"/>
    <w:rsid w:val="00340F5B"/>
    <w:rsid w:val="00341A1C"/>
    <w:rsid w:val="00341A81"/>
    <w:rsid w:val="00341BD0"/>
    <w:rsid w:val="0034224F"/>
    <w:rsid w:val="00342F24"/>
    <w:rsid w:val="0034323A"/>
    <w:rsid w:val="00343542"/>
    <w:rsid w:val="003437CB"/>
    <w:rsid w:val="00343E3F"/>
    <w:rsid w:val="00344523"/>
    <w:rsid w:val="003446EB"/>
    <w:rsid w:val="0034483D"/>
    <w:rsid w:val="0034487F"/>
    <w:rsid w:val="003453C7"/>
    <w:rsid w:val="00345853"/>
    <w:rsid w:val="003459EF"/>
    <w:rsid w:val="00345AEA"/>
    <w:rsid w:val="003460EE"/>
    <w:rsid w:val="003462E3"/>
    <w:rsid w:val="003463AC"/>
    <w:rsid w:val="003466A8"/>
    <w:rsid w:val="00346799"/>
    <w:rsid w:val="003468B9"/>
    <w:rsid w:val="0034691C"/>
    <w:rsid w:val="00346BC4"/>
    <w:rsid w:val="00347176"/>
    <w:rsid w:val="00347238"/>
    <w:rsid w:val="0034767E"/>
    <w:rsid w:val="00347C3C"/>
    <w:rsid w:val="00350840"/>
    <w:rsid w:val="0035115E"/>
    <w:rsid w:val="003511B6"/>
    <w:rsid w:val="00351510"/>
    <w:rsid w:val="00351905"/>
    <w:rsid w:val="00351CB9"/>
    <w:rsid w:val="003523BD"/>
    <w:rsid w:val="003523CE"/>
    <w:rsid w:val="0035267E"/>
    <w:rsid w:val="00352725"/>
    <w:rsid w:val="00352992"/>
    <w:rsid w:val="00352D43"/>
    <w:rsid w:val="00353142"/>
    <w:rsid w:val="00353275"/>
    <w:rsid w:val="003532FC"/>
    <w:rsid w:val="00353882"/>
    <w:rsid w:val="00353D09"/>
    <w:rsid w:val="00353DD8"/>
    <w:rsid w:val="00353F04"/>
    <w:rsid w:val="00353F6A"/>
    <w:rsid w:val="00354686"/>
    <w:rsid w:val="00354C45"/>
    <w:rsid w:val="0035509B"/>
    <w:rsid w:val="00355127"/>
    <w:rsid w:val="00355496"/>
    <w:rsid w:val="00355531"/>
    <w:rsid w:val="003555EC"/>
    <w:rsid w:val="003556C1"/>
    <w:rsid w:val="003558B8"/>
    <w:rsid w:val="00355B39"/>
    <w:rsid w:val="00355F3A"/>
    <w:rsid w:val="003564C5"/>
    <w:rsid w:val="0035665C"/>
    <w:rsid w:val="00356896"/>
    <w:rsid w:val="003568DF"/>
    <w:rsid w:val="00356950"/>
    <w:rsid w:val="00357000"/>
    <w:rsid w:val="00357183"/>
    <w:rsid w:val="003575F3"/>
    <w:rsid w:val="003576B9"/>
    <w:rsid w:val="003576FB"/>
    <w:rsid w:val="0035778E"/>
    <w:rsid w:val="0035782E"/>
    <w:rsid w:val="00357E0C"/>
    <w:rsid w:val="00357E1C"/>
    <w:rsid w:val="003605AE"/>
    <w:rsid w:val="00361561"/>
    <w:rsid w:val="00361920"/>
    <w:rsid w:val="0036195F"/>
    <w:rsid w:val="00361B6A"/>
    <w:rsid w:val="0036229C"/>
    <w:rsid w:val="0036251E"/>
    <w:rsid w:val="003625EA"/>
    <w:rsid w:val="003626DF"/>
    <w:rsid w:val="00362720"/>
    <w:rsid w:val="00362B20"/>
    <w:rsid w:val="0036309D"/>
    <w:rsid w:val="00363431"/>
    <w:rsid w:val="00363889"/>
    <w:rsid w:val="00363945"/>
    <w:rsid w:val="003639A5"/>
    <w:rsid w:val="00363A3B"/>
    <w:rsid w:val="00363AAB"/>
    <w:rsid w:val="00363CDB"/>
    <w:rsid w:val="00363D52"/>
    <w:rsid w:val="00364D30"/>
    <w:rsid w:val="00364DEA"/>
    <w:rsid w:val="00365183"/>
    <w:rsid w:val="00365498"/>
    <w:rsid w:val="00365597"/>
    <w:rsid w:val="00365B93"/>
    <w:rsid w:val="00365C0A"/>
    <w:rsid w:val="00365D05"/>
    <w:rsid w:val="003661E2"/>
    <w:rsid w:val="003662A9"/>
    <w:rsid w:val="003667DF"/>
    <w:rsid w:val="00366D38"/>
    <w:rsid w:val="00366F11"/>
    <w:rsid w:val="00367196"/>
    <w:rsid w:val="00367481"/>
    <w:rsid w:val="003675DE"/>
    <w:rsid w:val="003677C3"/>
    <w:rsid w:val="00367885"/>
    <w:rsid w:val="003678D0"/>
    <w:rsid w:val="003700C7"/>
    <w:rsid w:val="003704AF"/>
    <w:rsid w:val="00370A5D"/>
    <w:rsid w:val="00370C88"/>
    <w:rsid w:val="00370D52"/>
    <w:rsid w:val="00370E6E"/>
    <w:rsid w:val="00370E9F"/>
    <w:rsid w:val="00370FBF"/>
    <w:rsid w:val="00371325"/>
    <w:rsid w:val="00371374"/>
    <w:rsid w:val="003714AF"/>
    <w:rsid w:val="003718F2"/>
    <w:rsid w:val="00371C92"/>
    <w:rsid w:val="00371D9D"/>
    <w:rsid w:val="00371DD2"/>
    <w:rsid w:val="00371E14"/>
    <w:rsid w:val="00371F07"/>
    <w:rsid w:val="00371FA0"/>
    <w:rsid w:val="00371FC4"/>
    <w:rsid w:val="003724FF"/>
    <w:rsid w:val="003726D7"/>
    <w:rsid w:val="003729BF"/>
    <w:rsid w:val="00372C8F"/>
    <w:rsid w:val="00372F7B"/>
    <w:rsid w:val="003730B3"/>
    <w:rsid w:val="003731A9"/>
    <w:rsid w:val="00373A3D"/>
    <w:rsid w:val="00373F4B"/>
    <w:rsid w:val="0037402C"/>
    <w:rsid w:val="00374290"/>
    <w:rsid w:val="0037472F"/>
    <w:rsid w:val="00374B48"/>
    <w:rsid w:val="00374BCB"/>
    <w:rsid w:val="00374CB2"/>
    <w:rsid w:val="00374D7E"/>
    <w:rsid w:val="00375111"/>
    <w:rsid w:val="003751B2"/>
    <w:rsid w:val="00375293"/>
    <w:rsid w:val="003752F5"/>
    <w:rsid w:val="003755B1"/>
    <w:rsid w:val="0037589F"/>
    <w:rsid w:val="00375AB1"/>
    <w:rsid w:val="00375E44"/>
    <w:rsid w:val="003763E3"/>
    <w:rsid w:val="00376DA3"/>
    <w:rsid w:val="00376F72"/>
    <w:rsid w:val="0037703C"/>
    <w:rsid w:val="003772AF"/>
    <w:rsid w:val="00377D82"/>
    <w:rsid w:val="00380204"/>
    <w:rsid w:val="00380284"/>
    <w:rsid w:val="00380A2E"/>
    <w:rsid w:val="00381433"/>
    <w:rsid w:val="003814FF"/>
    <w:rsid w:val="0038156F"/>
    <w:rsid w:val="00381675"/>
    <w:rsid w:val="003816BA"/>
    <w:rsid w:val="0038175E"/>
    <w:rsid w:val="00381AA2"/>
    <w:rsid w:val="00381B7F"/>
    <w:rsid w:val="00381E5D"/>
    <w:rsid w:val="00382213"/>
    <w:rsid w:val="00382339"/>
    <w:rsid w:val="00382C55"/>
    <w:rsid w:val="003830D9"/>
    <w:rsid w:val="0038327E"/>
    <w:rsid w:val="00383393"/>
    <w:rsid w:val="00383623"/>
    <w:rsid w:val="00383F4C"/>
    <w:rsid w:val="00383F8A"/>
    <w:rsid w:val="00383FCD"/>
    <w:rsid w:val="00384029"/>
    <w:rsid w:val="0038430F"/>
    <w:rsid w:val="003844C5"/>
    <w:rsid w:val="0038488F"/>
    <w:rsid w:val="00384C00"/>
    <w:rsid w:val="00384D0F"/>
    <w:rsid w:val="00384F0A"/>
    <w:rsid w:val="003854C0"/>
    <w:rsid w:val="0038557B"/>
    <w:rsid w:val="003855D5"/>
    <w:rsid w:val="00385CBB"/>
    <w:rsid w:val="00385E90"/>
    <w:rsid w:val="0038614F"/>
    <w:rsid w:val="00386246"/>
    <w:rsid w:val="0038626F"/>
    <w:rsid w:val="003865CA"/>
    <w:rsid w:val="00386984"/>
    <w:rsid w:val="003869C2"/>
    <w:rsid w:val="003869DC"/>
    <w:rsid w:val="00386A78"/>
    <w:rsid w:val="00386B80"/>
    <w:rsid w:val="00386E73"/>
    <w:rsid w:val="00386EAC"/>
    <w:rsid w:val="00386F6C"/>
    <w:rsid w:val="003877F9"/>
    <w:rsid w:val="00390BEF"/>
    <w:rsid w:val="00391344"/>
    <w:rsid w:val="00391FD0"/>
    <w:rsid w:val="0039279C"/>
    <w:rsid w:val="003928DF"/>
    <w:rsid w:val="00392B6E"/>
    <w:rsid w:val="00392F76"/>
    <w:rsid w:val="003933FD"/>
    <w:rsid w:val="003935EA"/>
    <w:rsid w:val="00393AD2"/>
    <w:rsid w:val="00393BA1"/>
    <w:rsid w:val="00393DF9"/>
    <w:rsid w:val="00393FA9"/>
    <w:rsid w:val="0039417B"/>
    <w:rsid w:val="003942BF"/>
    <w:rsid w:val="003944A7"/>
    <w:rsid w:val="00394B1C"/>
    <w:rsid w:val="00394B7B"/>
    <w:rsid w:val="00395213"/>
    <w:rsid w:val="00395A1F"/>
    <w:rsid w:val="00395B47"/>
    <w:rsid w:val="0039626F"/>
    <w:rsid w:val="003962F2"/>
    <w:rsid w:val="0039699B"/>
    <w:rsid w:val="00396A28"/>
    <w:rsid w:val="00396A85"/>
    <w:rsid w:val="00396AE2"/>
    <w:rsid w:val="00396DE2"/>
    <w:rsid w:val="0039763F"/>
    <w:rsid w:val="00397794"/>
    <w:rsid w:val="00397FA5"/>
    <w:rsid w:val="003A0610"/>
    <w:rsid w:val="003A0986"/>
    <w:rsid w:val="003A0B62"/>
    <w:rsid w:val="003A0B79"/>
    <w:rsid w:val="003A0C4C"/>
    <w:rsid w:val="003A0E4F"/>
    <w:rsid w:val="003A11DD"/>
    <w:rsid w:val="003A133D"/>
    <w:rsid w:val="003A19D5"/>
    <w:rsid w:val="003A1C18"/>
    <w:rsid w:val="003A2134"/>
    <w:rsid w:val="003A2538"/>
    <w:rsid w:val="003A2AE5"/>
    <w:rsid w:val="003A2E88"/>
    <w:rsid w:val="003A30D8"/>
    <w:rsid w:val="003A322D"/>
    <w:rsid w:val="003A3CEE"/>
    <w:rsid w:val="003A3FA0"/>
    <w:rsid w:val="003A41AD"/>
    <w:rsid w:val="003A4FEB"/>
    <w:rsid w:val="003A5132"/>
    <w:rsid w:val="003A51CE"/>
    <w:rsid w:val="003A5477"/>
    <w:rsid w:val="003A5AF2"/>
    <w:rsid w:val="003A5CE2"/>
    <w:rsid w:val="003A5D04"/>
    <w:rsid w:val="003A5DC7"/>
    <w:rsid w:val="003A614B"/>
    <w:rsid w:val="003A697D"/>
    <w:rsid w:val="003A69CA"/>
    <w:rsid w:val="003A6BC3"/>
    <w:rsid w:val="003A757A"/>
    <w:rsid w:val="003A75EB"/>
    <w:rsid w:val="003A77E3"/>
    <w:rsid w:val="003A7838"/>
    <w:rsid w:val="003A7E33"/>
    <w:rsid w:val="003B0582"/>
    <w:rsid w:val="003B0877"/>
    <w:rsid w:val="003B0BA7"/>
    <w:rsid w:val="003B129A"/>
    <w:rsid w:val="003B192C"/>
    <w:rsid w:val="003B192E"/>
    <w:rsid w:val="003B1B8C"/>
    <w:rsid w:val="003B2159"/>
    <w:rsid w:val="003B2AB3"/>
    <w:rsid w:val="003B2D8F"/>
    <w:rsid w:val="003B319B"/>
    <w:rsid w:val="003B3D60"/>
    <w:rsid w:val="003B46A1"/>
    <w:rsid w:val="003B488E"/>
    <w:rsid w:val="003B48BF"/>
    <w:rsid w:val="003B4C84"/>
    <w:rsid w:val="003B550C"/>
    <w:rsid w:val="003B5816"/>
    <w:rsid w:val="003B5B61"/>
    <w:rsid w:val="003B60A1"/>
    <w:rsid w:val="003B62AE"/>
    <w:rsid w:val="003B62C4"/>
    <w:rsid w:val="003B63B4"/>
    <w:rsid w:val="003B6501"/>
    <w:rsid w:val="003B652E"/>
    <w:rsid w:val="003B6941"/>
    <w:rsid w:val="003B7080"/>
    <w:rsid w:val="003B72E6"/>
    <w:rsid w:val="003B7925"/>
    <w:rsid w:val="003B7C4A"/>
    <w:rsid w:val="003C0026"/>
    <w:rsid w:val="003C03EC"/>
    <w:rsid w:val="003C044F"/>
    <w:rsid w:val="003C075B"/>
    <w:rsid w:val="003C08B7"/>
    <w:rsid w:val="003C0B99"/>
    <w:rsid w:val="003C0BEC"/>
    <w:rsid w:val="003C116B"/>
    <w:rsid w:val="003C1445"/>
    <w:rsid w:val="003C1619"/>
    <w:rsid w:val="003C1899"/>
    <w:rsid w:val="003C1DEE"/>
    <w:rsid w:val="003C242D"/>
    <w:rsid w:val="003C290C"/>
    <w:rsid w:val="003C2CBE"/>
    <w:rsid w:val="003C2D38"/>
    <w:rsid w:val="003C2D48"/>
    <w:rsid w:val="003C3055"/>
    <w:rsid w:val="003C346D"/>
    <w:rsid w:val="003C3828"/>
    <w:rsid w:val="003C3AD1"/>
    <w:rsid w:val="003C3B51"/>
    <w:rsid w:val="003C3FDA"/>
    <w:rsid w:val="003C4ED7"/>
    <w:rsid w:val="003C53C4"/>
    <w:rsid w:val="003C543B"/>
    <w:rsid w:val="003C5640"/>
    <w:rsid w:val="003C569F"/>
    <w:rsid w:val="003C5E5A"/>
    <w:rsid w:val="003C5F4A"/>
    <w:rsid w:val="003C6502"/>
    <w:rsid w:val="003C6D12"/>
    <w:rsid w:val="003C6D25"/>
    <w:rsid w:val="003C6EDE"/>
    <w:rsid w:val="003C6F19"/>
    <w:rsid w:val="003C70FA"/>
    <w:rsid w:val="003C7312"/>
    <w:rsid w:val="003C73FB"/>
    <w:rsid w:val="003C7427"/>
    <w:rsid w:val="003C7487"/>
    <w:rsid w:val="003C761B"/>
    <w:rsid w:val="003C76FC"/>
    <w:rsid w:val="003C77DB"/>
    <w:rsid w:val="003C7A07"/>
    <w:rsid w:val="003C7BC7"/>
    <w:rsid w:val="003C7C14"/>
    <w:rsid w:val="003C7D78"/>
    <w:rsid w:val="003C7DC5"/>
    <w:rsid w:val="003C7FCA"/>
    <w:rsid w:val="003D021C"/>
    <w:rsid w:val="003D0340"/>
    <w:rsid w:val="003D0350"/>
    <w:rsid w:val="003D039E"/>
    <w:rsid w:val="003D10D7"/>
    <w:rsid w:val="003D1229"/>
    <w:rsid w:val="003D1529"/>
    <w:rsid w:val="003D17B3"/>
    <w:rsid w:val="003D1911"/>
    <w:rsid w:val="003D1F99"/>
    <w:rsid w:val="003D2608"/>
    <w:rsid w:val="003D2C5C"/>
    <w:rsid w:val="003D2FB3"/>
    <w:rsid w:val="003D31F6"/>
    <w:rsid w:val="003D3391"/>
    <w:rsid w:val="003D33F2"/>
    <w:rsid w:val="003D3567"/>
    <w:rsid w:val="003D3B35"/>
    <w:rsid w:val="003D3CBF"/>
    <w:rsid w:val="003D3CFE"/>
    <w:rsid w:val="003D3E47"/>
    <w:rsid w:val="003D4184"/>
    <w:rsid w:val="003D4307"/>
    <w:rsid w:val="003D462C"/>
    <w:rsid w:val="003D4647"/>
    <w:rsid w:val="003D471D"/>
    <w:rsid w:val="003D4BCD"/>
    <w:rsid w:val="003D4C7E"/>
    <w:rsid w:val="003D5717"/>
    <w:rsid w:val="003D57E4"/>
    <w:rsid w:val="003D592F"/>
    <w:rsid w:val="003D5FD8"/>
    <w:rsid w:val="003D6000"/>
    <w:rsid w:val="003D63F3"/>
    <w:rsid w:val="003D65D0"/>
    <w:rsid w:val="003D6645"/>
    <w:rsid w:val="003D67AC"/>
    <w:rsid w:val="003D6960"/>
    <w:rsid w:val="003D6CDA"/>
    <w:rsid w:val="003D75EA"/>
    <w:rsid w:val="003D7EEB"/>
    <w:rsid w:val="003E00C9"/>
    <w:rsid w:val="003E03B8"/>
    <w:rsid w:val="003E043B"/>
    <w:rsid w:val="003E0983"/>
    <w:rsid w:val="003E0B9E"/>
    <w:rsid w:val="003E0D4E"/>
    <w:rsid w:val="003E0F8F"/>
    <w:rsid w:val="003E1468"/>
    <w:rsid w:val="003E1639"/>
    <w:rsid w:val="003E1B2F"/>
    <w:rsid w:val="003E1DAD"/>
    <w:rsid w:val="003E1E20"/>
    <w:rsid w:val="003E23EA"/>
    <w:rsid w:val="003E25BE"/>
    <w:rsid w:val="003E2736"/>
    <w:rsid w:val="003E2CA6"/>
    <w:rsid w:val="003E30C1"/>
    <w:rsid w:val="003E3497"/>
    <w:rsid w:val="003E3620"/>
    <w:rsid w:val="003E377A"/>
    <w:rsid w:val="003E3E39"/>
    <w:rsid w:val="003E4580"/>
    <w:rsid w:val="003E5239"/>
    <w:rsid w:val="003E5293"/>
    <w:rsid w:val="003E54FB"/>
    <w:rsid w:val="003E5B5E"/>
    <w:rsid w:val="003E5BBE"/>
    <w:rsid w:val="003E5C24"/>
    <w:rsid w:val="003E5DCB"/>
    <w:rsid w:val="003E5E55"/>
    <w:rsid w:val="003E6003"/>
    <w:rsid w:val="003E62E2"/>
    <w:rsid w:val="003E6520"/>
    <w:rsid w:val="003E67C6"/>
    <w:rsid w:val="003E68F2"/>
    <w:rsid w:val="003E70CE"/>
    <w:rsid w:val="003F0015"/>
    <w:rsid w:val="003F02D5"/>
    <w:rsid w:val="003F068E"/>
    <w:rsid w:val="003F0B23"/>
    <w:rsid w:val="003F119D"/>
    <w:rsid w:val="003F1273"/>
    <w:rsid w:val="003F12D7"/>
    <w:rsid w:val="003F1374"/>
    <w:rsid w:val="003F1400"/>
    <w:rsid w:val="003F17C4"/>
    <w:rsid w:val="003F181C"/>
    <w:rsid w:val="003F2341"/>
    <w:rsid w:val="003F23FD"/>
    <w:rsid w:val="003F28C5"/>
    <w:rsid w:val="003F321D"/>
    <w:rsid w:val="003F38D0"/>
    <w:rsid w:val="003F38ED"/>
    <w:rsid w:val="003F3BAB"/>
    <w:rsid w:val="003F3CF4"/>
    <w:rsid w:val="003F4035"/>
    <w:rsid w:val="003F42FB"/>
    <w:rsid w:val="003F4603"/>
    <w:rsid w:val="003F46C8"/>
    <w:rsid w:val="003F486F"/>
    <w:rsid w:val="003F4D43"/>
    <w:rsid w:val="003F569F"/>
    <w:rsid w:val="003F6178"/>
    <w:rsid w:val="003F66A8"/>
    <w:rsid w:val="003F67B5"/>
    <w:rsid w:val="003F68D5"/>
    <w:rsid w:val="003F6E03"/>
    <w:rsid w:val="003F7285"/>
    <w:rsid w:val="003F735E"/>
    <w:rsid w:val="003F793F"/>
    <w:rsid w:val="003F7B39"/>
    <w:rsid w:val="0040012A"/>
    <w:rsid w:val="0040052E"/>
    <w:rsid w:val="0040064D"/>
    <w:rsid w:val="004007E7"/>
    <w:rsid w:val="004009C4"/>
    <w:rsid w:val="00400D30"/>
    <w:rsid w:val="00400E4A"/>
    <w:rsid w:val="00400F45"/>
    <w:rsid w:val="00401335"/>
    <w:rsid w:val="004016C3"/>
    <w:rsid w:val="004017D3"/>
    <w:rsid w:val="00401CF8"/>
    <w:rsid w:val="00402155"/>
    <w:rsid w:val="0040230A"/>
    <w:rsid w:val="004023E9"/>
    <w:rsid w:val="00402443"/>
    <w:rsid w:val="004028EA"/>
    <w:rsid w:val="00402A33"/>
    <w:rsid w:val="00402A51"/>
    <w:rsid w:val="00402AD7"/>
    <w:rsid w:val="00402B7F"/>
    <w:rsid w:val="00402D58"/>
    <w:rsid w:val="00402D6F"/>
    <w:rsid w:val="00403083"/>
    <w:rsid w:val="004033EE"/>
    <w:rsid w:val="00403627"/>
    <w:rsid w:val="00403CBA"/>
    <w:rsid w:val="004044B4"/>
    <w:rsid w:val="004046D4"/>
    <w:rsid w:val="004047A2"/>
    <w:rsid w:val="004047D9"/>
    <w:rsid w:val="00404852"/>
    <w:rsid w:val="00404A28"/>
    <w:rsid w:val="00404CB2"/>
    <w:rsid w:val="00404D28"/>
    <w:rsid w:val="00405425"/>
    <w:rsid w:val="0040569D"/>
    <w:rsid w:val="004056A6"/>
    <w:rsid w:val="00405D92"/>
    <w:rsid w:val="00405D96"/>
    <w:rsid w:val="00406066"/>
    <w:rsid w:val="00406352"/>
    <w:rsid w:val="00406C98"/>
    <w:rsid w:val="004078A5"/>
    <w:rsid w:val="00407DF5"/>
    <w:rsid w:val="00407E55"/>
    <w:rsid w:val="00407F4E"/>
    <w:rsid w:val="00410030"/>
    <w:rsid w:val="004107FB"/>
    <w:rsid w:val="00410907"/>
    <w:rsid w:val="00410B38"/>
    <w:rsid w:val="004117AA"/>
    <w:rsid w:val="00411B8C"/>
    <w:rsid w:val="00411DF7"/>
    <w:rsid w:val="0041205B"/>
    <w:rsid w:val="00412090"/>
    <w:rsid w:val="004126AB"/>
    <w:rsid w:val="00412993"/>
    <w:rsid w:val="00412B09"/>
    <w:rsid w:val="00412CC0"/>
    <w:rsid w:val="00412D2F"/>
    <w:rsid w:val="00412ED2"/>
    <w:rsid w:val="004130CD"/>
    <w:rsid w:val="004131E7"/>
    <w:rsid w:val="004132B5"/>
    <w:rsid w:val="00413415"/>
    <w:rsid w:val="00413468"/>
    <w:rsid w:val="00413522"/>
    <w:rsid w:val="0041371D"/>
    <w:rsid w:val="00413E0B"/>
    <w:rsid w:val="00413FA4"/>
    <w:rsid w:val="004140F9"/>
    <w:rsid w:val="00414151"/>
    <w:rsid w:val="00414254"/>
    <w:rsid w:val="004145FE"/>
    <w:rsid w:val="00414A1B"/>
    <w:rsid w:val="00414CD7"/>
    <w:rsid w:val="00415052"/>
    <w:rsid w:val="004151EE"/>
    <w:rsid w:val="00415559"/>
    <w:rsid w:val="0041578D"/>
    <w:rsid w:val="004157D6"/>
    <w:rsid w:val="004158B7"/>
    <w:rsid w:val="00415C82"/>
    <w:rsid w:val="0041603D"/>
    <w:rsid w:val="00416762"/>
    <w:rsid w:val="0041737A"/>
    <w:rsid w:val="0041791C"/>
    <w:rsid w:val="004179DB"/>
    <w:rsid w:val="00417E31"/>
    <w:rsid w:val="00417E47"/>
    <w:rsid w:val="00420191"/>
    <w:rsid w:val="00420320"/>
    <w:rsid w:val="00420351"/>
    <w:rsid w:val="00420D42"/>
    <w:rsid w:val="00421109"/>
    <w:rsid w:val="004212CF"/>
    <w:rsid w:val="00421356"/>
    <w:rsid w:val="00421478"/>
    <w:rsid w:val="004215AB"/>
    <w:rsid w:val="0042188A"/>
    <w:rsid w:val="00421EBC"/>
    <w:rsid w:val="0042216C"/>
    <w:rsid w:val="004221CD"/>
    <w:rsid w:val="004222AC"/>
    <w:rsid w:val="004223D8"/>
    <w:rsid w:val="004227EC"/>
    <w:rsid w:val="00422BDC"/>
    <w:rsid w:val="00422F04"/>
    <w:rsid w:val="004230F0"/>
    <w:rsid w:val="004231B9"/>
    <w:rsid w:val="004231BB"/>
    <w:rsid w:val="00423204"/>
    <w:rsid w:val="00423255"/>
    <w:rsid w:val="00423666"/>
    <w:rsid w:val="00423938"/>
    <w:rsid w:val="00423A1D"/>
    <w:rsid w:val="00423A4E"/>
    <w:rsid w:val="00423B2F"/>
    <w:rsid w:val="00423C2E"/>
    <w:rsid w:val="004242CA"/>
    <w:rsid w:val="004244F0"/>
    <w:rsid w:val="004245A9"/>
    <w:rsid w:val="00424C2D"/>
    <w:rsid w:val="00424F26"/>
    <w:rsid w:val="0042522F"/>
    <w:rsid w:val="00425852"/>
    <w:rsid w:val="004258D8"/>
    <w:rsid w:val="00425C02"/>
    <w:rsid w:val="00425DED"/>
    <w:rsid w:val="00425EDD"/>
    <w:rsid w:val="00426147"/>
    <w:rsid w:val="004261F7"/>
    <w:rsid w:val="004266B9"/>
    <w:rsid w:val="00426FF6"/>
    <w:rsid w:val="004277BD"/>
    <w:rsid w:val="00427964"/>
    <w:rsid w:val="00427998"/>
    <w:rsid w:val="004301E2"/>
    <w:rsid w:val="00430420"/>
    <w:rsid w:val="004304BF"/>
    <w:rsid w:val="004307C5"/>
    <w:rsid w:val="00430869"/>
    <w:rsid w:val="00430CA3"/>
    <w:rsid w:val="00430E48"/>
    <w:rsid w:val="004314F1"/>
    <w:rsid w:val="004314FB"/>
    <w:rsid w:val="0043174A"/>
    <w:rsid w:val="00431BC1"/>
    <w:rsid w:val="00431CA5"/>
    <w:rsid w:val="00431D67"/>
    <w:rsid w:val="00431FE7"/>
    <w:rsid w:val="00432A69"/>
    <w:rsid w:val="00432D8E"/>
    <w:rsid w:val="00433126"/>
    <w:rsid w:val="00433CFD"/>
    <w:rsid w:val="0043445F"/>
    <w:rsid w:val="00434500"/>
    <w:rsid w:val="00434561"/>
    <w:rsid w:val="00434711"/>
    <w:rsid w:val="00434A20"/>
    <w:rsid w:val="00434ECD"/>
    <w:rsid w:val="00434F8E"/>
    <w:rsid w:val="004350A5"/>
    <w:rsid w:val="00435CB3"/>
    <w:rsid w:val="00435D24"/>
    <w:rsid w:val="00435FB5"/>
    <w:rsid w:val="00436183"/>
    <w:rsid w:val="0043639A"/>
    <w:rsid w:val="004363DC"/>
    <w:rsid w:val="00436AA6"/>
    <w:rsid w:val="00436B14"/>
    <w:rsid w:val="00436DC1"/>
    <w:rsid w:val="00437070"/>
    <w:rsid w:val="00437077"/>
    <w:rsid w:val="00437257"/>
    <w:rsid w:val="0043742F"/>
    <w:rsid w:val="00437EA5"/>
    <w:rsid w:val="00437EAF"/>
    <w:rsid w:val="00440800"/>
    <w:rsid w:val="00440959"/>
    <w:rsid w:val="00440D4B"/>
    <w:rsid w:val="00440DAE"/>
    <w:rsid w:val="0044129B"/>
    <w:rsid w:val="0044145A"/>
    <w:rsid w:val="00441730"/>
    <w:rsid w:val="00441A22"/>
    <w:rsid w:val="00441EEF"/>
    <w:rsid w:val="00441F66"/>
    <w:rsid w:val="0044217D"/>
    <w:rsid w:val="00442809"/>
    <w:rsid w:val="0044296F"/>
    <w:rsid w:val="00442A83"/>
    <w:rsid w:val="00442B0E"/>
    <w:rsid w:val="00442CAA"/>
    <w:rsid w:val="00442FF8"/>
    <w:rsid w:val="00443101"/>
    <w:rsid w:val="004432DA"/>
    <w:rsid w:val="004433A7"/>
    <w:rsid w:val="00444BF2"/>
    <w:rsid w:val="00444D28"/>
    <w:rsid w:val="00444F3F"/>
    <w:rsid w:val="00444FBA"/>
    <w:rsid w:val="0044509B"/>
    <w:rsid w:val="004451B2"/>
    <w:rsid w:val="004453BA"/>
    <w:rsid w:val="004454D3"/>
    <w:rsid w:val="00445540"/>
    <w:rsid w:val="00445BB8"/>
    <w:rsid w:val="00445EC7"/>
    <w:rsid w:val="00445F28"/>
    <w:rsid w:val="004462E1"/>
    <w:rsid w:val="00446E0A"/>
    <w:rsid w:val="0044728F"/>
    <w:rsid w:val="00447323"/>
    <w:rsid w:val="004473B2"/>
    <w:rsid w:val="004475C1"/>
    <w:rsid w:val="0044776E"/>
    <w:rsid w:val="00447B5F"/>
    <w:rsid w:val="00447BBB"/>
    <w:rsid w:val="00447BE6"/>
    <w:rsid w:val="0045059A"/>
    <w:rsid w:val="00450680"/>
    <w:rsid w:val="004508A1"/>
    <w:rsid w:val="00450B5E"/>
    <w:rsid w:val="00450C04"/>
    <w:rsid w:val="00451049"/>
    <w:rsid w:val="0045173F"/>
    <w:rsid w:val="00451791"/>
    <w:rsid w:val="0045223B"/>
    <w:rsid w:val="004528AA"/>
    <w:rsid w:val="00452964"/>
    <w:rsid w:val="0045389A"/>
    <w:rsid w:val="00453C4F"/>
    <w:rsid w:val="0045405E"/>
    <w:rsid w:val="0045433C"/>
    <w:rsid w:val="004543EF"/>
    <w:rsid w:val="0045491B"/>
    <w:rsid w:val="00454DFA"/>
    <w:rsid w:val="0045500C"/>
    <w:rsid w:val="004550BE"/>
    <w:rsid w:val="004550E2"/>
    <w:rsid w:val="00455E6E"/>
    <w:rsid w:val="00455F6C"/>
    <w:rsid w:val="004568BF"/>
    <w:rsid w:val="00456BF2"/>
    <w:rsid w:val="00456C94"/>
    <w:rsid w:val="00457183"/>
    <w:rsid w:val="00457366"/>
    <w:rsid w:val="00457505"/>
    <w:rsid w:val="0045771B"/>
    <w:rsid w:val="00457793"/>
    <w:rsid w:val="00460BCB"/>
    <w:rsid w:val="00460EC4"/>
    <w:rsid w:val="00461009"/>
    <w:rsid w:val="004613DB"/>
    <w:rsid w:val="004615B7"/>
    <w:rsid w:val="00461661"/>
    <w:rsid w:val="00461720"/>
    <w:rsid w:val="00461725"/>
    <w:rsid w:val="00461829"/>
    <w:rsid w:val="00461918"/>
    <w:rsid w:val="00462E14"/>
    <w:rsid w:val="004631B7"/>
    <w:rsid w:val="004634D7"/>
    <w:rsid w:val="00463BBF"/>
    <w:rsid w:val="00463D25"/>
    <w:rsid w:val="00463E8B"/>
    <w:rsid w:val="0046427A"/>
    <w:rsid w:val="0046467E"/>
    <w:rsid w:val="00464E12"/>
    <w:rsid w:val="0046510C"/>
    <w:rsid w:val="00465183"/>
    <w:rsid w:val="004659BB"/>
    <w:rsid w:val="00465A8D"/>
    <w:rsid w:val="00465FA1"/>
    <w:rsid w:val="00465FF1"/>
    <w:rsid w:val="004660B9"/>
    <w:rsid w:val="00466887"/>
    <w:rsid w:val="00466ED1"/>
    <w:rsid w:val="004670B6"/>
    <w:rsid w:val="0046722D"/>
    <w:rsid w:val="0046726A"/>
    <w:rsid w:val="0046735D"/>
    <w:rsid w:val="004674F6"/>
    <w:rsid w:val="004678CE"/>
    <w:rsid w:val="00467B72"/>
    <w:rsid w:val="0047014B"/>
    <w:rsid w:val="004704B5"/>
    <w:rsid w:val="004706EA"/>
    <w:rsid w:val="00470838"/>
    <w:rsid w:val="00470B73"/>
    <w:rsid w:val="00470FED"/>
    <w:rsid w:val="00471440"/>
    <w:rsid w:val="00471701"/>
    <w:rsid w:val="0047186B"/>
    <w:rsid w:val="00471AF3"/>
    <w:rsid w:val="00471DA6"/>
    <w:rsid w:val="0047206A"/>
    <w:rsid w:val="00472924"/>
    <w:rsid w:val="00472DF7"/>
    <w:rsid w:val="00473099"/>
    <w:rsid w:val="00473518"/>
    <w:rsid w:val="004736DE"/>
    <w:rsid w:val="00473914"/>
    <w:rsid w:val="00474240"/>
    <w:rsid w:val="0047493C"/>
    <w:rsid w:val="00474A6E"/>
    <w:rsid w:val="00474C97"/>
    <w:rsid w:val="00474DDC"/>
    <w:rsid w:val="004750F1"/>
    <w:rsid w:val="004755E2"/>
    <w:rsid w:val="00475724"/>
    <w:rsid w:val="0047598B"/>
    <w:rsid w:val="00475AF7"/>
    <w:rsid w:val="004765B0"/>
    <w:rsid w:val="00476CC7"/>
    <w:rsid w:val="0047766B"/>
    <w:rsid w:val="004778AE"/>
    <w:rsid w:val="004778E6"/>
    <w:rsid w:val="00477E4B"/>
    <w:rsid w:val="00477F24"/>
    <w:rsid w:val="00480103"/>
    <w:rsid w:val="0048016C"/>
    <w:rsid w:val="0048031E"/>
    <w:rsid w:val="0048048E"/>
    <w:rsid w:val="00480EEC"/>
    <w:rsid w:val="004817F0"/>
    <w:rsid w:val="004818BD"/>
    <w:rsid w:val="00481C71"/>
    <w:rsid w:val="00482346"/>
    <w:rsid w:val="00482402"/>
    <w:rsid w:val="00482F67"/>
    <w:rsid w:val="00482FC7"/>
    <w:rsid w:val="004838D4"/>
    <w:rsid w:val="00483A78"/>
    <w:rsid w:val="00483B79"/>
    <w:rsid w:val="00483BC2"/>
    <w:rsid w:val="00483E03"/>
    <w:rsid w:val="004840F2"/>
    <w:rsid w:val="0048464C"/>
    <w:rsid w:val="00484A3F"/>
    <w:rsid w:val="00484BAC"/>
    <w:rsid w:val="00484BB7"/>
    <w:rsid w:val="0048516B"/>
    <w:rsid w:val="0048554B"/>
    <w:rsid w:val="00485ADD"/>
    <w:rsid w:val="00485E6E"/>
    <w:rsid w:val="00485EA2"/>
    <w:rsid w:val="0048606D"/>
    <w:rsid w:val="0048624C"/>
    <w:rsid w:val="004865C2"/>
    <w:rsid w:val="00486806"/>
    <w:rsid w:val="00486C4B"/>
    <w:rsid w:val="00486F82"/>
    <w:rsid w:val="00487118"/>
    <w:rsid w:val="004871C2"/>
    <w:rsid w:val="004871E7"/>
    <w:rsid w:val="0048745D"/>
    <w:rsid w:val="004877F8"/>
    <w:rsid w:val="00487AF9"/>
    <w:rsid w:val="00487E70"/>
    <w:rsid w:val="004903C2"/>
    <w:rsid w:val="00491110"/>
    <w:rsid w:val="004911B9"/>
    <w:rsid w:val="004917C6"/>
    <w:rsid w:val="00491B06"/>
    <w:rsid w:val="00491B16"/>
    <w:rsid w:val="00491E0C"/>
    <w:rsid w:val="00491F28"/>
    <w:rsid w:val="00491F82"/>
    <w:rsid w:val="004920C9"/>
    <w:rsid w:val="00492403"/>
    <w:rsid w:val="00492784"/>
    <w:rsid w:val="00492CC8"/>
    <w:rsid w:val="00492FAD"/>
    <w:rsid w:val="004931D4"/>
    <w:rsid w:val="00493283"/>
    <w:rsid w:val="004934AB"/>
    <w:rsid w:val="0049374D"/>
    <w:rsid w:val="004939A0"/>
    <w:rsid w:val="00493B0C"/>
    <w:rsid w:val="00493C12"/>
    <w:rsid w:val="00493F80"/>
    <w:rsid w:val="00494858"/>
    <w:rsid w:val="00494C25"/>
    <w:rsid w:val="00494D81"/>
    <w:rsid w:val="004956D1"/>
    <w:rsid w:val="0049578B"/>
    <w:rsid w:val="004958EF"/>
    <w:rsid w:val="00495D3C"/>
    <w:rsid w:val="004962EC"/>
    <w:rsid w:val="004964AE"/>
    <w:rsid w:val="004964CB"/>
    <w:rsid w:val="00496A7B"/>
    <w:rsid w:val="00496D96"/>
    <w:rsid w:val="00497209"/>
    <w:rsid w:val="004974EF"/>
    <w:rsid w:val="004976CB"/>
    <w:rsid w:val="00497B23"/>
    <w:rsid w:val="004A0531"/>
    <w:rsid w:val="004A058F"/>
    <w:rsid w:val="004A0794"/>
    <w:rsid w:val="004A0BC2"/>
    <w:rsid w:val="004A0E4D"/>
    <w:rsid w:val="004A0E82"/>
    <w:rsid w:val="004A0FF2"/>
    <w:rsid w:val="004A1D7E"/>
    <w:rsid w:val="004A1E12"/>
    <w:rsid w:val="004A1F45"/>
    <w:rsid w:val="004A1F4F"/>
    <w:rsid w:val="004A202A"/>
    <w:rsid w:val="004A24D2"/>
    <w:rsid w:val="004A2DCC"/>
    <w:rsid w:val="004A331C"/>
    <w:rsid w:val="004A3402"/>
    <w:rsid w:val="004A34DF"/>
    <w:rsid w:val="004A37DB"/>
    <w:rsid w:val="004A3B1F"/>
    <w:rsid w:val="004A3E5D"/>
    <w:rsid w:val="004A40CE"/>
    <w:rsid w:val="004A43CC"/>
    <w:rsid w:val="004A4436"/>
    <w:rsid w:val="004A448E"/>
    <w:rsid w:val="004A4E73"/>
    <w:rsid w:val="004A520E"/>
    <w:rsid w:val="004A5360"/>
    <w:rsid w:val="004A585B"/>
    <w:rsid w:val="004A5A6C"/>
    <w:rsid w:val="004A5B3E"/>
    <w:rsid w:val="004A5B62"/>
    <w:rsid w:val="004A5DD3"/>
    <w:rsid w:val="004A5EFB"/>
    <w:rsid w:val="004A6561"/>
    <w:rsid w:val="004A69D7"/>
    <w:rsid w:val="004A6D3E"/>
    <w:rsid w:val="004A6DEB"/>
    <w:rsid w:val="004A6F86"/>
    <w:rsid w:val="004A7049"/>
    <w:rsid w:val="004A7662"/>
    <w:rsid w:val="004A7698"/>
    <w:rsid w:val="004A7A77"/>
    <w:rsid w:val="004A7B38"/>
    <w:rsid w:val="004B00E5"/>
    <w:rsid w:val="004B020B"/>
    <w:rsid w:val="004B0298"/>
    <w:rsid w:val="004B057E"/>
    <w:rsid w:val="004B0812"/>
    <w:rsid w:val="004B098B"/>
    <w:rsid w:val="004B0B70"/>
    <w:rsid w:val="004B0EEA"/>
    <w:rsid w:val="004B1053"/>
    <w:rsid w:val="004B21CE"/>
    <w:rsid w:val="004B3155"/>
    <w:rsid w:val="004B3460"/>
    <w:rsid w:val="004B3C3B"/>
    <w:rsid w:val="004B4506"/>
    <w:rsid w:val="004B47BE"/>
    <w:rsid w:val="004B4836"/>
    <w:rsid w:val="004B4D08"/>
    <w:rsid w:val="004B4E9D"/>
    <w:rsid w:val="004B500A"/>
    <w:rsid w:val="004B594A"/>
    <w:rsid w:val="004B59C8"/>
    <w:rsid w:val="004B5CA3"/>
    <w:rsid w:val="004B628B"/>
    <w:rsid w:val="004B6905"/>
    <w:rsid w:val="004B699C"/>
    <w:rsid w:val="004B6DD3"/>
    <w:rsid w:val="004B76C5"/>
    <w:rsid w:val="004C0113"/>
    <w:rsid w:val="004C0178"/>
    <w:rsid w:val="004C01BD"/>
    <w:rsid w:val="004C0276"/>
    <w:rsid w:val="004C065F"/>
    <w:rsid w:val="004C07A2"/>
    <w:rsid w:val="004C0C88"/>
    <w:rsid w:val="004C0D98"/>
    <w:rsid w:val="004C0F12"/>
    <w:rsid w:val="004C0FD0"/>
    <w:rsid w:val="004C137B"/>
    <w:rsid w:val="004C1914"/>
    <w:rsid w:val="004C2495"/>
    <w:rsid w:val="004C250A"/>
    <w:rsid w:val="004C273E"/>
    <w:rsid w:val="004C29F1"/>
    <w:rsid w:val="004C2A3D"/>
    <w:rsid w:val="004C2C1D"/>
    <w:rsid w:val="004C2E53"/>
    <w:rsid w:val="004C30E6"/>
    <w:rsid w:val="004C32BF"/>
    <w:rsid w:val="004C33D5"/>
    <w:rsid w:val="004C3737"/>
    <w:rsid w:val="004C378F"/>
    <w:rsid w:val="004C43C4"/>
    <w:rsid w:val="004C4471"/>
    <w:rsid w:val="004C450A"/>
    <w:rsid w:val="004C4583"/>
    <w:rsid w:val="004C4C0F"/>
    <w:rsid w:val="004C4E1C"/>
    <w:rsid w:val="004C4EC4"/>
    <w:rsid w:val="004C5039"/>
    <w:rsid w:val="004C51CD"/>
    <w:rsid w:val="004C55AC"/>
    <w:rsid w:val="004C56F1"/>
    <w:rsid w:val="004C5C3B"/>
    <w:rsid w:val="004C5E42"/>
    <w:rsid w:val="004C67A4"/>
    <w:rsid w:val="004C6B8A"/>
    <w:rsid w:val="004C6EE9"/>
    <w:rsid w:val="004C6F49"/>
    <w:rsid w:val="004C726D"/>
    <w:rsid w:val="004C7751"/>
    <w:rsid w:val="004C7825"/>
    <w:rsid w:val="004D023A"/>
    <w:rsid w:val="004D0431"/>
    <w:rsid w:val="004D054A"/>
    <w:rsid w:val="004D07A9"/>
    <w:rsid w:val="004D07F2"/>
    <w:rsid w:val="004D087A"/>
    <w:rsid w:val="004D0A24"/>
    <w:rsid w:val="004D0E8F"/>
    <w:rsid w:val="004D1F3D"/>
    <w:rsid w:val="004D2520"/>
    <w:rsid w:val="004D27CC"/>
    <w:rsid w:val="004D2EC3"/>
    <w:rsid w:val="004D352F"/>
    <w:rsid w:val="004D36BB"/>
    <w:rsid w:val="004D396D"/>
    <w:rsid w:val="004D3A8B"/>
    <w:rsid w:val="004D3B24"/>
    <w:rsid w:val="004D3E83"/>
    <w:rsid w:val="004D4658"/>
    <w:rsid w:val="004D48C9"/>
    <w:rsid w:val="004D4CBC"/>
    <w:rsid w:val="004D5134"/>
    <w:rsid w:val="004D51CC"/>
    <w:rsid w:val="004D59AC"/>
    <w:rsid w:val="004D5BB7"/>
    <w:rsid w:val="004D5C38"/>
    <w:rsid w:val="004D5CF9"/>
    <w:rsid w:val="004D61E8"/>
    <w:rsid w:val="004D6536"/>
    <w:rsid w:val="004D691C"/>
    <w:rsid w:val="004D69E0"/>
    <w:rsid w:val="004D6A92"/>
    <w:rsid w:val="004D6CC6"/>
    <w:rsid w:val="004D6D20"/>
    <w:rsid w:val="004D70B6"/>
    <w:rsid w:val="004D7539"/>
    <w:rsid w:val="004D7727"/>
    <w:rsid w:val="004D78E9"/>
    <w:rsid w:val="004D7969"/>
    <w:rsid w:val="004D7A3A"/>
    <w:rsid w:val="004D7E94"/>
    <w:rsid w:val="004E0513"/>
    <w:rsid w:val="004E0F69"/>
    <w:rsid w:val="004E1109"/>
    <w:rsid w:val="004E13AA"/>
    <w:rsid w:val="004E14FA"/>
    <w:rsid w:val="004E1A3E"/>
    <w:rsid w:val="004E1A82"/>
    <w:rsid w:val="004E1DC1"/>
    <w:rsid w:val="004E1EAA"/>
    <w:rsid w:val="004E27C4"/>
    <w:rsid w:val="004E2DAC"/>
    <w:rsid w:val="004E2E70"/>
    <w:rsid w:val="004E382C"/>
    <w:rsid w:val="004E3A78"/>
    <w:rsid w:val="004E3C3C"/>
    <w:rsid w:val="004E3F49"/>
    <w:rsid w:val="004E3F99"/>
    <w:rsid w:val="004E3FC3"/>
    <w:rsid w:val="004E4051"/>
    <w:rsid w:val="004E46CC"/>
    <w:rsid w:val="004E49D4"/>
    <w:rsid w:val="004E4E58"/>
    <w:rsid w:val="004E4EB2"/>
    <w:rsid w:val="004E4F71"/>
    <w:rsid w:val="004E50B4"/>
    <w:rsid w:val="004E5159"/>
    <w:rsid w:val="004E5537"/>
    <w:rsid w:val="004E5559"/>
    <w:rsid w:val="004E568A"/>
    <w:rsid w:val="004E57E1"/>
    <w:rsid w:val="004E58D9"/>
    <w:rsid w:val="004E6051"/>
    <w:rsid w:val="004E60B9"/>
    <w:rsid w:val="004E644C"/>
    <w:rsid w:val="004E65A9"/>
    <w:rsid w:val="004E68E0"/>
    <w:rsid w:val="004E69F7"/>
    <w:rsid w:val="004E6F68"/>
    <w:rsid w:val="004E7BD3"/>
    <w:rsid w:val="004E7C59"/>
    <w:rsid w:val="004F02F2"/>
    <w:rsid w:val="004F08D1"/>
    <w:rsid w:val="004F0C5F"/>
    <w:rsid w:val="004F13D7"/>
    <w:rsid w:val="004F158F"/>
    <w:rsid w:val="004F15BD"/>
    <w:rsid w:val="004F178C"/>
    <w:rsid w:val="004F1955"/>
    <w:rsid w:val="004F20C2"/>
    <w:rsid w:val="004F24D1"/>
    <w:rsid w:val="004F2A52"/>
    <w:rsid w:val="004F2DF4"/>
    <w:rsid w:val="004F31A7"/>
    <w:rsid w:val="004F370C"/>
    <w:rsid w:val="004F3A9B"/>
    <w:rsid w:val="004F3ADE"/>
    <w:rsid w:val="004F3FFC"/>
    <w:rsid w:val="004F4088"/>
    <w:rsid w:val="004F461E"/>
    <w:rsid w:val="004F488F"/>
    <w:rsid w:val="004F4A19"/>
    <w:rsid w:val="004F535F"/>
    <w:rsid w:val="004F5AB0"/>
    <w:rsid w:val="004F5E26"/>
    <w:rsid w:val="004F5F29"/>
    <w:rsid w:val="004F624F"/>
    <w:rsid w:val="004F69FC"/>
    <w:rsid w:val="004F6A88"/>
    <w:rsid w:val="004F6C92"/>
    <w:rsid w:val="004F7035"/>
    <w:rsid w:val="004F71A3"/>
    <w:rsid w:val="004F7210"/>
    <w:rsid w:val="004F73DB"/>
    <w:rsid w:val="004F771C"/>
    <w:rsid w:val="004F79D0"/>
    <w:rsid w:val="004F7A18"/>
    <w:rsid w:val="004F7C7E"/>
    <w:rsid w:val="004F7ECE"/>
    <w:rsid w:val="00500017"/>
    <w:rsid w:val="0050012C"/>
    <w:rsid w:val="005005F1"/>
    <w:rsid w:val="00500FF0"/>
    <w:rsid w:val="005016C1"/>
    <w:rsid w:val="0050182A"/>
    <w:rsid w:val="00501861"/>
    <w:rsid w:val="005018E7"/>
    <w:rsid w:val="00501BE7"/>
    <w:rsid w:val="00501D41"/>
    <w:rsid w:val="005026B7"/>
    <w:rsid w:val="005029E0"/>
    <w:rsid w:val="00502BED"/>
    <w:rsid w:val="00503084"/>
    <w:rsid w:val="00503278"/>
    <w:rsid w:val="005039A7"/>
    <w:rsid w:val="00503B34"/>
    <w:rsid w:val="00503FD6"/>
    <w:rsid w:val="00504495"/>
    <w:rsid w:val="005045B4"/>
    <w:rsid w:val="005047C9"/>
    <w:rsid w:val="0050487D"/>
    <w:rsid w:val="00504AE0"/>
    <w:rsid w:val="00504BDB"/>
    <w:rsid w:val="00504D37"/>
    <w:rsid w:val="005052C7"/>
    <w:rsid w:val="005059CF"/>
    <w:rsid w:val="00505DC6"/>
    <w:rsid w:val="00505F18"/>
    <w:rsid w:val="00505F5F"/>
    <w:rsid w:val="0050604D"/>
    <w:rsid w:val="0050622E"/>
    <w:rsid w:val="005066F8"/>
    <w:rsid w:val="00506DF4"/>
    <w:rsid w:val="00506F54"/>
    <w:rsid w:val="005071BC"/>
    <w:rsid w:val="00507D6E"/>
    <w:rsid w:val="00510781"/>
    <w:rsid w:val="005107E9"/>
    <w:rsid w:val="00510928"/>
    <w:rsid w:val="00510EEF"/>
    <w:rsid w:val="00511633"/>
    <w:rsid w:val="0051167B"/>
    <w:rsid w:val="005116BA"/>
    <w:rsid w:val="00511A81"/>
    <w:rsid w:val="00511C2C"/>
    <w:rsid w:val="00512726"/>
    <w:rsid w:val="00512B55"/>
    <w:rsid w:val="00512E56"/>
    <w:rsid w:val="00513067"/>
    <w:rsid w:val="005133C8"/>
    <w:rsid w:val="005134C9"/>
    <w:rsid w:val="005137F8"/>
    <w:rsid w:val="005138D5"/>
    <w:rsid w:val="00513CD4"/>
    <w:rsid w:val="00514062"/>
    <w:rsid w:val="0051423B"/>
    <w:rsid w:val="00514362"/>
    <w:rsid w:val="00514670"/>
    <w:rsid w:val="00514E11"/>
    <w:rsid w:val="005151B9"/>
    <w:rsid w:val="005152F9"/>
    <w:rsid w:val="00515731"/>
    <w:rsid w:val="00515AA1"/>
    <w:rsid w:val="00515C76"/>
    <w:rsid w:val="00515DE6"/>
    <w:rsid w:val="00516262"/>
    <w:rsid w:val="00516A9C"/>
    <w:rsid w:val="00516EDB"/>
    <w:rsid w:val="00516F08"/>
    <w:rsid w:val="00516FB0"/>
    <w:rsid w:val="00517DCC"/>
    <w:rsid w:val="00517E8F"/>
    <w:rsid w:val="005200CB"/>
    <w:rsid w:val="005203E3"/>
    <w:rsid w:val="005209ED"/>
    <w:rsid w:val="00520F9D"/>
    <w:rsid w:val="0052167B"/>
    <w:rsid w:val="00521DC7"/>
    <w:rsid w:val="00522101"/>
    <w:rsid w:val="005223D0"/>
    <w:rsid w:val="0052250F"/>
    <w:rsid w:val="00523063"/>
    <w:rsid w:val="0052352E"/>
    <w:rsid w:val="0052391C"/>
    <w:rsid w:val="00525097"/>
    <w:rsid w:val="00525539"/>
    <w:rsid w:val="005257E7"/>
    <w:rsid w:val="00526118"/>
    <w:rsid w:val="00526344"/>
    <w:rsid w:val="00526370"/>
    <w:rsid w:val="0052671F"/>
    <w:rsid w:val="0052713E"/>
    <w:rsid w:val="00527C6A"/>
    <w:rsid w:val="00527E0D"/>
    <w:rsid w:val="00530114"/>
    <w:rsid w:val="00530593"/>
    <w:rsid w:val="00530757"/>
    <w:rsid w:val="005313AB"/>
    <w:rsid w:val="005317E8"/>
    <w:rsid w:val="00531A59"/>
    <w:rsid w:val="00531B54"/>
    <w:rsid w:val="005325CB"/>
    <w:rsid w:val="00532AC9"/>
    <w:rsid w:val="00532B05"/>
    <w:rsid w:val="00532E03"/>
    <w:rsid w:val="00533075"/>
    <w:rsid w:val="005331B3"/>
    <w:rsid w:val="005331F2"/>
    <w:rsid w:val="00533299"/>
    <w:rsid w:val="005335E5"/>
    <w:rsid w:val="00533854"/>
    <w:rsid w:val="005340F6"/>
    <w:rsid w:val="00534139"/>
    <w:rsid w:val="0053481A"/>
    <w:rsid w:val="00534C12"/>
    <w:rsid w:val="00534EFA"/>
    <w:rsid w:val="005352A6"/>
    <w:rsid w:val="005352B6"/>
    <w:rsid w:val="00535866"/>
    <w:rsid w:val="005359E4"/>
    <w:rsid w:val="00535BDC"/>
    <w:rsid w:val="00535E04"/>
    <w:rsid w:val="0053627A"/>
    <w:rsid w:val="0053656A"/>
    <w:rsid w:val="005367D4"/>
    <w:rsid w:val="005367E9"/>
    <w:rsid w:val="00536D96"/>
    <w:rsid w:val="0053746D"/>
    <w:rsid w:val="00537594"/>
    <w:rsid w:val="00537617"/>
    <w:rsid w:val="00537821"/>
    <w:rsid w:val="00537B88"/>
    <w:rsid w:val="00537D09"/>
    <w:rsid w:val="005401B6"/>
    <w:rsid w:val="00540764"/>
    <w:rsid w:val="005410D6"/>
    <w:rsid w:val="00541447"/>
    <w:rsid w:val="0054155C"/>
    <w:rsid w:val="00541CA0"/>
    <w:rsid w:val="005423C0"/>
    <w:rsid w:val="00542E3B"/>
    <w:rsid w:val="0054330F"/>
    <w:rsid w:val="00543A7D"/>
    <w:rsid w:val="00543BD1"/>
    <w:rsid w:val="00543BF8"/>
    <w:rsid w:val="005441F4"/>
    <w:rsid w:val="0054480C"/>
    <w:rsid w:val="00544A84"/>
    <w:rsid w:val="0054572C"/>
    <w:rsid w:val="00545832"/>
    <w:rsid w:val="00545D77"/>
    <w:rsid w:val="00546145"/>
    <w:rsid w:val="0054614E"/>
    <w:rsid w:val="00546277"/>
    <w:rsid w:val="005467E2"/>
    <w:rsid w:val="005468ED"/>
    <w:rsid w:val="00546B4D"/>
    <w:rsid w:val="00546B9B"/>
    <w:rsid w:val="005473F6"/>
    <w:rsid w:val="005479A8"/>
    <w:rsid w:val="00547FF2"/>
    <w:rsid w:val="005507FC"/>
    <w:rsid w:val="0055098E"/>
    <w:rsid w:val="00551135"/>
    <w:rsid w:val="005516CF"/>
    <w:rsid w:val="005519E5"/>
    <w:rsid w:val="00551A11"/>
    <w:rsid w:val="00551F65"/>
    <w:rsid w:val="00552230"/>
    <w:rsid w:val="00552918"/>
    <w:rsid w:val="00552B1F"/>
    <w:rsid w:val="00552FB0"/>
    <w:rsid w:val="005533A4"/>
    <w:rsid w:val="0055377A"/>
    <w:rsid w:val="00553BE0"/>
    <w:rsid w:val="00553D28"/>
    <w:rsid w:val="00553D52"/>
    <w:rsid w:val="00554392"/>
    <w:rsid w:val="005543D2"/>
    <w:rsid w:val="0055470F"/>
    <w:rsid w:val="005548A7"/>
    <w:rsid w:val="00554A34"/>
    <w:rsid w:val="00554CC9"/>
    <w:rsid w:val="0055540A"/>
    <w:rsid w:val="005554BC"/>
    <w:rsid w:val="00555ABC"/>
    <w:rsid w:val="00555CB3"/>
    <w:rsid w:val="00555D21"/>
    <w:rsid w:val="00555DF6"/>
    <w:rsid w:val="00555FCD"/>
    <w:rsid w:val="0055646D"/>
    <w:rsid w:val="0055650D"/>
    <w:rsid w:val="005565FF"/>
    <w:rsid w:val="00556ABB"/>
    <w:rsid w:val="00556C2A"/>
    <w:rsid w:val="0055703F"/>
    <w:rsid w:val="0055723F"/>
    <w:rsid w:val="005577F0"/>
    <w:rsid w:val="005600C4"/>
    <w:rsid w:val="00560CEF"/>
    <w:rsid w:val="00561008"/>
    <w:rsid w:val="00561025"/>
    <w:rsid w:val="0056136C"/>
    <w:rsid w:val="00561909"/>
    <w:rsid w:val="00561C81"/>
    <w:rsid w:val="005623DF"/>
    <w:rsid w:val="00562488"/>
    <w:rsid w:val="0056285F"/>
    <w:rsid w:val="00562CBB"/>
    <w:rsid w:val="00562CD1"/>
    <w:rsid w:val="00562EEE"/>
    <w:rsid w:val="00562F17"/>
    <w:rsid w:val="005630FA"/>
    <w:rsid w:val="0056319D"/>
    <w:rsid w:val="00563207"/>
    <w:rsid w:val="00563303"/>
    <w:rsid w:val="00563349"/>
    <w:rsid w:val="00563857"/>
    <w:rsid w:val="00563D00"/>
    <w:rsid w:val="00563EC4"/>
    <w:rsid w:val="0056481F"/>
    <w:rsid w:val="005654C4"/>
    <w:rsid w:val="00565781"/>
    <w:rsid w:val="005658FC"/>
    <w:rsid w:val="00565A87"/>
    <w:rsid w:val="00565BA2"/>
    <w:rsid w:val="00565D8D"/>
    <w:rsid w:val="00566436"/>
    <w:rsid w:val="00566984"/>
    <w:rsid w:val="00566AA0"/>
    <w:rsid w:val="00566B05"/>
    <w:rsid w:val="00567187"/>
    <w:rsid w:val="00567C80"/>
    <w:rsid w:val="0057039A"/>
    <w:rsid w:val="0057079C"/>
    <w:rsid w:val="005710CD"/>
    <w:rsid w:val="00571541"/>
    <w:rsid w:val="005718FA"/>
    <w:rsid w:val="00571A6B"/>
    <w:rsid w:val="00571E62"/>
    <w:rsid w:val="005723FC"/>
    <w:rsid w:val="00572527"/>
    <w:rsid w:val="0057270F"/>
    <w:rsid w:val="00572ECB"/>
    <w:rsid w:val="00572F3E"/>
    <w:rsid w:val="00572FA5"/>
    <w:rsid w:val="00573A1E"/>
    <w:rsid w:val="00573D5A"/>
    <w:rsid w:val="00574154"/>
    <w:rsid w:val="005747C6"/>
    <w:rsid w:val="00574E16"/>
    <w:rsid w:val="00575034"/>
    <w:rsid w:val="0057583B"/>
    <w:rsid w:val="005758B7"/>
    <w:rsid w:val="00575DE0"/>
    <w:rsid w:val="00575E08"/>
    <w:rsid w:val="00576509"/>
    <w:rsid w:val="00576F3A"/>
    <w:rsid w:val="0058005B"/>
    <w:rsid w:val="005801BB"/>
    <w:rsid w:val="005801C3"/>
    <w:rsid w:val="005803F0"/>
    <w:rsid w:val="005807DA"/>
    <w:rsid w:val="00580B27"/>
    <w:rsid w:val="00580C8B"/>
    <w:rsid w:val="00580CBB"/>
    <w:rsid w:val="00580F51"/>
    <w:rsid w:val="005810EC"/>
    <w:rsid w:val="005811D0"/>
    <w:rsid w:val="00581515"/>
    <w:rsid w:val="005823E5"/>
    <w:rsid w:val="00582ABC"/>
    <w:rsid w:val="00582B8E"/>
    <w:rsid w:val="005838A7"/>
    <w:rsid w:val="005838DC"/>
    <w:rsid w:val="00583B5C"/>
    <w:rsid w:val="00583F28"/>
    <w:rsid w:val="00584360"/>
    <w:rsid w:val="00584829"/>
    <w:rsid w:val="00584955"/>
    <w:rsid w:val="00584C84"/>
    <w:rsid w:val="00584CB4"/>
    <w:rsid w:val="00585047"/>
    <w:rsid w:val="005850AC"/>
    <w:rsid w:val="005853B3"/>
    <w:rsid w:val="00585446"/>
    <w:rsid w:val="0058561B"/>
    <w:rsid w:val="00585814"/>
    <w:rsid w:val="00585E56"/>
    <w:rsid w:val="00586056"/>
    <w:rsid w:val="00586995"/>
    <w:rsid w:val="00586B94"/>
    <w:rsid w:val="00586E16"/>
    <w:rsid w:val="005877AB"/>
    <w:rsid w:val="005902BD"/>
    <w:rsid w:val="005905DD"/>
    <w:rsid w:val="0059131B"/>
    <w:rsid w:val="0059150A"/>
    <w:rsid w:val="00591620"/>
    <w:rsid w:val="005919AD"/>
    <w:rsid w:val="00591A8A"/>
    <w:rsid w:val="00592925"/>
    <w:rsid w:val="00592999"/>
    <w:rsid w:val="00592ACA"/>
    <w:rsid w:val="00592BB0"/>
    <w:rsid w:val="005931FF"/>
    <w:rsid w:val="0059357B"/>
    <w:rsid w:val="00593971"/>
    <w:rsid w:val="00593BA9"/>
    <w:rsid w:val="00593ECE"/>
    <w:rsid w:val="00593FE7"/>
    <w:rsid w:val="005940E2"/>
    <w:rsid w:val="00594629"/>
    <w:rsid w:val="00594D79"/>
    <w:rsid w:val="00594DA6"/>
    <w:rsid w:val="00594FE1"/>
    <w:rsid w:val="00595B97"/>
    <w:rsid w:val="0059617E"/>
    <w:rsid w:val="005961E0"/>
    <w:rsid w:val="005964DE"/>
    <w:rsid w:val="00596564"/>
    <w:rsid w:val="005965F3"/>
    <w:rsid w:val="00596D2B"/>
    <w:rsid w:val="00596FC5"/>
    <w:rsid w:val="005972C0"/>
    <w:rsid w:val="00597334"/>
    <w:rsid w:val="00597A94"/>
    <w:rsid w:val="00597C60"/>
    <w:rsid w:val="005A002D"/>
    <w:rsid w:val="005A050B"/>
    <w:rsid w:val="005A085F"/>
    <w:rsid w:val="005A0E2D"/>
    <w:rsid w:val="005A0EDA"/>
    <w:rsid w:val="005A11C0"/>
    <w:rsid w:val="005A129B"/>
    <w:rsid w:val="005A1399"/>
    <w:rsid w:val="005A1469"/>
    <w:rsid w:val="005A1992"/>
    <w:rsid w:val="005A1B6D"/>
    <w:rsid w:val="005A1B86"/>
    <w:rsid w:val="005A1BB9"/>
    <w:rsid w:val="005A1D02"/>
    <w:rsid w:val="005A1FF2"/>
    <w:rsid w:val="005A2561"/>
    <w:rsid w:val="005A2E1D"/>
    <w:rsid w:val="005A3047"/>
    <w:rsid w:val="005A31CE"/>
    <w:rsid w:val="005A37A9"/>
    <w:rsid w:val="005A37FF"/>
    <w:rsid w:val="005A3A96"/>
    <w:rsid w:val="005A3BE6"/>
    <w:rsid w:val="005A3EEB"/>
    <w:rsid w:val="005A478C"/>
    <w:rsid w:val="005A4BAE"/>
    <w:rsid w:val="005A4FEA"/>
    <w:rsid w:val="005A4FF2"/>
    <w:rsid w:val="005A526D"/>
    <w:rsid w:val="005A53C8"/>
    <w:rsid w:val="005A55E5"/>
    <w:rsid w:val="005A56E1"/>
    <w:rsid w:val="005A5763"/>
    <w:rsid w:val="005A57B2"/>
    <w:rsid w:val="005A60FC"/>
    <w:rsid w:val="005A68FF"/>
    <w:rsid w:val="005A6B7C"/>
    <w:rsid w:val="005A6C20"/>
    <w:rsid w:val="005A6FD3"/>
    <w:rsid w:val="005A7214"/>
    <w:rsid w:val="005A73E5"/>
    <w:rsid w:val="005A75C4"/>
    <w:rsid w:val="005A7718"/>
    <w:rsid w:val="005A77EE"/>
    <w:rsid w:val="005A7C44"/>
    <w:rsid w:val="005A7D8A"/>
    <w:rsid w:val="005B03C8"/>
    <w:rsid w:val="005B064A"/>
    <w:rsid w:val="005B0A82"/>
    <w:rsid w:val="005B131D"/>
    <w:rsid w:val="005B134D"/>
    <w:rsid w:val="005B1694"/>
    <w:rsid w:val="005B1696"/>
    <w:rsid w:val="005B17B6"/>
    <w:rsid w:val="005B1B19"/>
    <w:rsid w:val="005B2279"/>
    <w:rsid w:val="005B235F"/>
    <w:rsid w:val="005B2931"/>
    <w:rsid w:val="005B2E98"/>
    <w:rsid w:val="005B3619"/>
    <w:rsid w:val="005B3D90"/>
    <w:rsid w:val="005B3DCA"/>
    <w:rsid w:val="005B42B0"/>
    <w:rsid w:val="005B4713"/>
    <w:rsid w:val="005B4E81"/>
    <w:rsid w:val="005B4E90"/>
    <w:rsid w:val="005B4E98"/>
    <w:rsid w:val="005B50AF"/>
    <w:rsid w:val="005B551D"/>
    <w:rsid w:val="005B594E"/>
    <w:rsid w:val="005B6518"/>
    <w:rsid w:val="005B6872"/>
    <w:rsid w:val="005B6A52"/>
    <w:rsid w:val="005B6CED"/>
    <w:rsid w:val="005B6FE7"/>
    <w:rsid w:val="005B712F"/>
    <w:rsid w:val="005B7807"/>
    <w:rsid w:val="005B7D5E"/>
    <w:rsid w:val="005C05E5"/>
    <w:rsid w:val="005C06D3"/>
    <w:rsid w:val="005C1317"/>
    <w:rsid w:val="005C1646"/>
    <w:rsid w:val="005C2104"/>
    <w:rsid w:val="005C23D4"/>
    <w:rsid w:val="005C23F5"/>
    <w:rsid w:val="005C28DD"/>
    <w:rsid w:val="005C2FDC"/>
    <w:rsid w:val="005C37D1"/>
    <w:rsid w:val="005C3E97"/>
    <w:rsid w:val="005C44B6"/>
    <w:rsid w:val="005C46A1"/>
    <w:rsid w:val="005C4701"/>
    <w:rsid w:val="005C47C1"/>
    <w:rsid w:val="005C49E6"/>
    <w:rsid w:val="005C4BD1"/>
    <w:rsid w:val="005C4E42"/>
    <w:rsid w:val="005C4EF6"/>
    <w:rsid w:val="005C51EA"/>
    <w:rsid w:val="005C542C"/>
    <w:rsid w:val="005C551D"/>
    <w:rsid w:val="005C559E"/>
    <w:rsid w:val="005C5764"/>
    <w:rsid w:val="005C577B"/>
    <w:rsid w:val="005C58BC"/>
    <w:rsid w:val="005C5CB2"/>
    <w:rsid w:val="005C5EF8"/>
    <w:rsid w:val="005C6187"/>
    <w:rsid w:val="005C65AD"/>
    <w:rsid w:val="005C664C"/>
    <w:rsid w:val="005C6970"/>
    <w:rsid w:val="005C6A8F"/>
    <w:rsid w:val="005C6B4E"/>
    <w:rsid w:val="005C6E2A"/>
    <w:rsid w:val="005C726B"/>
    <w:rsid w:val="005C784F"/>
    <w:rsid w:val="005C7BAF"/>
    <w:rsid w:val="005D0560"/>
    <w:rsid w:val="005D05F5"/>
    <w:rsid w:val="005D06E6"/>
    <w:rsid w:val="005D08E8"/>
    <w:rsid w:val="005D0A05"/>
    <w:rsid w:val="005D0EA5"/>
    <w:rsid w:val="005D160B"/>
    <w:rsid w:val="005D17F5"/>
    <w:rsid w:val="005D2498"/>
    <w:rsid w:val="005D257B"/>
    <w:rsid w:val="005D25BF"/>
    <w:rsid w:val="005D2E4E"/>
    <w:rsid w:val="005D3122"/>
    <w:rsid w:val="005D3141"/>
    <w:rsid w:val="005D3387"/>
    <w:rsid w:val="005D34C5"/>
    <w:rsid w:val="005D3591"/>
    <w:rsid w:val="005D3676"/>
    <w:rsid w:val="005D36A2"/>
    <w:rsid w:val="005D3A5C"/>
    <w:rsid w:val="005D47A7"/>
    <w:rsid w:val="005D4829"/>
    <w:rsid w:val="005D4A52"/>
    <w:rsid w:val="005D4C7E"/>
    <w:rsid w:val="005D4E51"/>
    <w:rsid w:val="005D512B"/>
    <w:rsid w:val="005D53A2"/>
    <w:rsid w:val="005D5426"/>
    <w:rsid w:val="005D54AC"/>
    <w:rsid w:val="005D552B"/>
    <w:rsid w:val="005D5C4F"/>
    <w:rsid w:val="005D5E82"/>
    <w:rsid w:val="005D6372"/>
    <w:rsid w:val="005D64F4"/>
    <w:rsid w:val="005D72EB"/>
    <w:rsid w:val="005D731B"/>
    <w:rsid w:val="005D7679"/>
    <w:rsid w:val="005D771D"/>
    <w:rsid w:val="005D7804"/>
    <w:rsid w:val="005D7931"/>
    <w:rsid w:val="005D7A81"/>
    <w:rsid w:val="005E0155"/>
    <w:rsid w:val="005E0655"/>
    <w:rsid w:val="005E0AC8"/>
    <w:rsid w:val="005E0B90"/>
    <w:rsid w:val="005E0ED9"/>
    <w:rsid w:val="005E1D47"/>
    <w:rsid w:val="005E1F60"/>
    <w:rsid w:val="005E20A5"/>
    <w:rsid w:val="005E27AF"/>
    <w:rsid w:val="005E28BF"/>
    <w:rsid w:val="005E2955"/>
    <w:rsid w:val="005E297E"/>
    <w:rsid w:val="005E2BEC"/>
    <w:rsid w:val="005E2E4B"/>
    <w:rsid w:val="005E3132"/>
    <w:rsid w:val="005E3656"/>
    <w:rsid w:val="005E3D64"/>
    <w:rsid w:val="005E3F97"/>
    <w:rsid w:val="005E3FBF"/>
    <w:rsid w:val="005E448D"/>
    <w:rsid w:val="005E46A2"/>
    <w:rsid w:val="005E47BD"/>
    <w:rsid w:val="005E47ED"/>
    <w:rsid w:val="005E486D"/>
    <w:rsid w:val="005E49D9"/>
    <w:rsid w:val="005E4B73"/>
    <w:rsid w:val="005E4D07"/>
    <w:rsid w:val="005E53CE"/>
    <w:rsid w:val="005E53D4"/>
    <w:rsid w:val="005E5FCD"/>
    <w:rsid w:val="005E6023"/>
    <w:rsid w:val="005E6160"/>
    <w:rsid w:val="005E61B3"/>
    <w:rsid w:val="005E6938"/>
    <w:rsid w:val="005E6DB3"/>
    <w:rsid w:val="005E7034"/>
    <w:rsid w:val="005E7225"/>
    <w:rsid w:val="005E72CC"/>
    <w:rsid w:val="005E761A"/>
    <w:rsid w:val="005E7E0D"/>
    <w:rsid w:val="005E7E5B"/>
    <w:rsid w:val="005F0418"/>
    <w:rsid w:val="005F0755"/>
    <w:rsid w:val="005F09DC"/>
    <w:rsid w:val="005F09EC"/>
    <w:rsid w:val="005F0C87"/>
    <w:rsid w:val="005F1229"/>
    <w:rsid w:val="005F1378"/>
    <w:rsid w:val="005F142A"/>
    <w:rsid w:val="005F1516"/>
    <w:rsid w:val="005F178A"/>
    <w:rsid w:val="005F1928"/>
    <w:rsid w:val="005F1B79"/>
    <w:rsid w:val="005F2A4C"/>
    <w:rsid w:val="005F32A0"/>
    <w:rsid w:val="005F3734"/>
    <w:rsid w:val="005F3AC2"/>
    <w:rsid w:val="005F3CE0"/>
    <w:rsid w:val="005F4642"/>
    <w:rsid w:val="005F4945"/>
    <w:rsid w:val="005F4B71"/>
    <w:rsid w:val="005F4DAA"/>
    <w:rsid w:val="005F4EDD"/>
    <w:rsid w:val="005F51D9"/>
    <w:rsid w:val="005F5219"/>
    <w:rsid w:val="005F5286"/>
    <w:rsid w:val="005F5CEE"/>
    <w:rsid w:val="005F5F9B"/>
    <w:rsid w:val="005F6085"/>
    <w:rsid w:val="005F629A"/>
    <w:rsid w:val="005F66A6"/>
    <w:rsid w:val="005F6B22"/>
    <w:rsid w:val="005F6B27"/>
    <w:rsid w:val="005F6B2D"/>
    <w:rsid w:val="005F7167"/>
    <w:rsid w:val="005F72E4"/>
    <w:rsid w:val="005F738E"/>
    <w:rsid w:val="005F784C"/>
    <w:rsid w:val="005F7954"/>
    <w:rsid w:val="00600051"/>
    <w:rsid w:val="00600416"/>
    <w:rsid w:val="00600654"/>
    <w:rsid w:val="0060097F"/>
    <w:rsid w:val="00600987"/>
    <w:rsid w:val="00600F28"/>
    <w:rsid w:val="00601045"/>
    <w:rsid w:val="00601108"/>
    <w:rsid w:val="006011E4"/>
    <w:rsid w:val="0060138D"/>
    <w:rsid w:val="006016F1"/>
    <w:rsid w:val="00601AD1"/>
    <w:rsid w:val="00601F64"/>
    <w:rsid w:val="006020C6"/>
    <w:rsid w:val="00602624"/>
    <w:rsid w:val="00602B98"/>
    <w:rsid w:val="00602BB2"/>
    <w:rsid w:val="00602D81"/>
    <w:rsid w:val="00602FB6"/>
    <w:rsid w:val="00602FCC"/>
    <w:rsid w:val="006031D0"/>
    <w:rsid w:val="006031FD"/>
    <w:rsid w:val="00603234"/>
    <w:rsid w:val="0060326C"/>
    <w:rsid w:val="00603830"/>
    <w:rsid w:val="006038B8"/>
    <w:rsid w:val="00603913"/>
    <w:rsid w:val="00603BE8"/>
    <w:rsid w:val="0060405D"/>
    <w:rsid w:val="00604915"/>
    <w:rsid w:val="00604B36"/>
    <w:rsid w:val="00604DC8"/>
    <w:rsid w:val="00605051"/>
    <w:rsid w:val="00605234"/>
    <w:rsid w:val="00605B29"/>
    <w:rsid w:val="00605C7D"/>
    <w:rsid w:val="00605C9D"/>
    <w:rsid w:val="006060C4"/>
    <w:rsid w:val="006060C8"/>
    <w:rsid w:val="006066B1"/>
    <w:rsid w:val="00606930"/>
    <w:rsid w:val="00606A1A"/>
    <w:rsid w:val="00607251"/>
    <w:rsid w:val="006072E1"/>
    <w:rsid w:val="0060740C"/>
    <w:rsid w:val="0060747D"/>
    <w:rsid w:val="00607CC6"/>
    <w:rsid w:val="00610088"/>
    <w:rsid w:val="0061012B"/>
    <w:rsid w:val="006109D0"/>
    <w:rsid w:val="00610B74"/>
    <w:rsid w:val="00611065"/>
    <w:rsid w:val="006117E6"/>
    <w:rsid w:val="00611E30"/>
    <w:rsid w:val="00612193"/>
    <w:rsid w:val="00612257"/>
    <w:rsid w:val="00612327"/>
    <w:rsid w:val="00612459"/>
    <w:rsid w:val="00612475"/>
    <w:rsid w:val="006126FF"/>
    <w:rsid w:val="00612A67"/>
    <w:rsid w:val="00612E2B"/>
    <w:rsid w:val="00612F36"/>
    <w:rsid w:val="006137B1"/>
    <w:rsid w:val="0061388E"/>
    <w:rsid w:val="00613A77"/>
    <w:rsid w:val="00613B04"/>
    <w:rsid w:val="00613B5E"/>
    <w:rsid w:val="00613C02"/>
    <w:rsid w:val="006143D8"/>
    <w:rsid w:val="00614928"/>
    <w:rsid w:val="00614A59"/>
    <w:rsid w:val="00614AD1"/>
    <w:rsid w:val="00614D0B"/>
    <w:rsid w:val="00614F18"/>
    <w:rsid w:val="00615141"/>
    <w:rsid w:val="00615282"/>
    <w:rsid w:val="00615357"/>
    <w:rsid w:val="00615451"/>
    <w:rsid w:val="006156C0"/>
    <w:rsid w:val="00615749"/>
    <w:rsid w:val="006163B4"/>
    <w:rsid w:val="0061666A"/>
    <w:rsid w:val="006166D8"/>
    <w:rsid w:val="006167D4"/>
    <w:rsid w:val="006167E9"/>
    <w:rsid w:val="00616D0F"/>
    <w:rsid w:val="00617A0A"/>
    <w:rsid w:val="00617C71"/>
    <w:rsid w:val="00617D97"/>
    <w:rsid w:val="00617E4B"/>
    <w:rsid w:val="00617F01"/>
    <w:rsid w:val="00620204"/>
    <w:rsid w:val="006202A9"/>
    <w:rsid w:val="006204A4"/>
    <w:rsid w:val="006206EA"/>
    <w:rsid w:val="006207E6"/>
    <w:rsid w:val="0062085C"/>
    <w:rsid w:val="006208AE"/>
    <w:rsid w:val="00620911"/>
    <w:rsid w:val="00620B13"/>
    <w:rsid w:val="0062122B"/>
    <w:rsid w:val="00621261"/>
    <w:rsid w:val="006212B2"/>
    <w:rsid w:val="0062146E"/>
    <w:rsid w:val="0062150E"/>
    <w:rsid w:val="00621631"/>
    <w:rsid w:val="00621702"/>
    <w:rsid w:val="006217A3"/>
    <w:rsid w:val="00621AE3"/>
    <w:rsid w:val="00621B36"/>
    <w:rsid w:val="00621F6E"/>
    <w:rsid w:val="00622C0F"/>
    <w:rsid w:val="00622F98"/>
    <w:rsid w:val="0062325A"/>
    <w:rsid w:val="006237AD"/>
    <w:rsid w:val="0062482A"/>
    <w:rsid w:val="006248D0"/>
    <w:rsid w:val="00624C93"/>
    <w:rsid w:val="00624F9E"/>
    <w:rsid w:val="00624FA0"/>
    <w:rsid w:val="0062523A"/>
    <w:rsid w:val="006257D8"/>
    <w:rsid w:val="00625B3C"/>
    <w:rsid w:val="00625E04"/>
    <w:rsid w:val="00626A50"/>
    <w:rsid w:val="006273E7"/>
    <w:rsid w:val="006276C7"/>
    <w:rsid w:val="00627C2B"/>
    <w:rsid w:val="00627D8F"/>
    <w:rsid w:val="00627DE7"/>
    <w:rsid w:val="00627E19"/>
    <w:rsid w:val="00627F32"/>
    <w:rsid w:val="006301E7"/>
    <w:rsid w:val="00630270"/>
    <w:rsid w:val="006305E1"/>
    <w:rsid w:val="006306D0"/>
    <w:rsid w:val="006308C1"/>
    <w:rsid w:val="0063092C"/>
    <w:rsid w:val="00630EDF"/>
    <w:rsid w:val="00630FBD"/>
    <w:rsid w:val="00630FEA"/>
    <w:rsid w:val="00631063"/>
    <w:rsid w:val="0063128D"/>
    <w:rsid w:val="0063138A"/>
    <w:rsid w:val="006314B7"/>
    <w:rsid w:val="00631790"/>
    <w:rsid w:val="00631BB4"/>
    <w:rsid w:val="00631C52"/>
    <w:rsid w:val="00631EAA"/>
    <w:rsid w:val="006322B9"/>
    <w:rsid w:val="006325DA"/>
    <w:rsid w:val="006328EF"/>
    <w:rsid w:val="00632A6E"/>
    <w:rsid w:val="00632F73"/>
    <w:rsid w:val="00633256"/>
    <w:rsid w:val="0063383E"/>
    <w:rsid w:val="0063395E"/>
    <w:rsid w:val="00633DF5"/>
    <w:rsid w:val="00633F0C"/>
    <w:rsid w:val="0063406C"/>
    <w:rsid w:val="00634269"/>
    <w:rsid w:val="0063478D"/>
    <w:rsid w:val="006350A0"/>
    <w:rsid w:val="00635439"/>
    <w:rsid w:val="0063568E"/>
    <w:rsid w:val="00635AF7"/>
    <w:rsid w:val="00635EE2"/>
    <w:rsid w:val="0063670F"/>
    <w:rsid w:val="00636EB5"/>
    <w:rsid w:val="00637537"/>
    <w:rsid w:val="00637D20"/>
    <w:rsid w:val="00637F80"/>
    <w:rsid w:val="00640183"/>
    <w:rsid w:val="00640472"/>
    <w:rsid w:val="00640EA7"/>
    <w:rsid w:val="00641A67"/>
    <w:rsid w:val="00641E85"/>
    <w:rsid w:val="00642089"/>
    <w:rsid w:val="00642640"/>
    <w:rsid w:val="0064274E"/>
    <w:rsid w:val="0064294D"/>
    <w:rsid w:val="00642D38"/>
    <w:rsid w:val="0064300D"/>
    <w:rsid w:val="006435F5"/>
    <w:rsid w:val="00643837"/>
    <w:rsid w:val="00643965"/>
    <w:rsid w:val="006439A1"/>
    <w:rsid w:val="00643A77"/>
    <w:rsid w:val="00643B9B"/>
    <w:rsid w:val="00643BC1"/>
    <w:rsid w:val="00643C64"/>
    <w:rsid w:val="00643CBC"/>
    <w:rsid w:val="00643D60"/>
    <w:rsid w:val="00643EBD"/>
    <w:rsid w:val="00644910"/>
    <w:rsid w:val="00644A55"/>
    <w:rsid w:val="00644C34"/>
    <w:rsid w:val="00644EEF"/>
    <w:rsid w:val="006452E0"/>
    <w:rsid w:val="00645A79"/>
    <w:rsid w:val="00646A7B"/>
    <w:rsid w:val="00646F7D"/>
    <w:rsid w:val="00647282"/>
    <w:rsid w:val="00647660"/>
    <w:rsid w:val="0064788E"/>
    <w:rsid w:val="00647963"/>
    <w:rsid w:val="00647A75"/>
    <w:rsid w:val="00647D99"/>
    <w:rsid w:val="00647E7B"/>
    <w:rsid w:val="00647EF6"/>
    <w:rsid w:val="00650152"/>
    <w:rsid w:val="006502B7"/>
    <w:rsid w:val="0065033E"/>
    <w:rsid w:val="006506D8"/>
    <w:rsid w:val="006514DE"/>
    <w:rsid w:val="00651836"/>
    <w:rsid w:val="006519F5"/>
    <w:rsid w:val="00652216"/>
    <w:rsid w:val="00652452"/>
    <w:rsid w:val="0065256A"/>
    <w:rsid w:val="00652583"/>
    <w:rsid w:val="006527E3"/>
    <w:rsid w:val="00652973"/>
    <w:rsid w:val="00652993"/>
    <w:rsid w:val="006529B9"/>
    <w:rsid w:val="00652C18"/>
    <w:rsid w:val="006533C4"/>
    <w:rsid w:val="006538E1"/>
    <w:rsid w:val="0065423F"/>
    <w:rsid w:val="0065509F"/>
    <w:rsid w:val="006557E4"/>
    <w:rsid w:val="00655856"/>
    <w:rsid w:val="00656DDC"/>
    <w:rsid w:val="00657524"/>
    <w:rsid w:val="00657B06"/>
    <w:rsid w:val="006603B9"/>
    <w:rsid w:val="0066047C"/>
    <w:rsid w:val="0066049C"/>
    <w:rsid w:val="00660813"/>
    <w:rsid w:val="00660B0A"/>
    <w:rsid w:val="00660C22"/>
    <w:rsid w:val="00660C53"/>
    <w:rsid w:val="00660DBF"/>
    <w:rsid w:val="006619F9"/>
    <w:rsid w:val="00661A43"/>
    <w:rsid w:val="00661B19"/>
    <w:rsid w:val="00661BD0"/>
    <w:rsid w:val="00661D1B"/>
    <w:rsid w:val="00661FB8"/>
    <w:rsid w:val="00662111"/>
    <w:rsid w:val="006621CE"/>
    <w:rsid w:val="0066239E"/>
    <w:rsid w:val="006624BE"/>
    <w:rsid w:val="006625AA"/>
    <w:rsid w:val="00662611"/>
    <w:rsid w:val="00662DBC"/>
    <w:rsid w:val="00662FCE"/>
    <w:rsid w:val="006630C5"/>
    <w:rsid w:val="0066367B"/>
    <w:rsid w:val="00663C76"/>
    <w:rsid w:val="00663FCE"/>
    <w:rsid w:val="0066401E"/>
    <w:rsid w:val="00664979"/>
    <w:rsid w:val="00664A1D"/>
    <w:rsid w:val="00664ED3"/>
    <w:rsid w:val="00665809"/>
    <w:rsid w:val="00665928"/>
    <w:rsid w:val="00666208"/>
    <w:rsid w:val="0066624E"/>
    <w:rsid w:val="0066760B"/>
    <w:rsid w:val="006679BA"/>
    <w:rsid w:val="00667B2C"/>
    <w:rsid w:val="00667F43"/>
    <w:rsid w:val="006703FC"/>
    <w:rsid w:val="006704AD"/>
    <w:rsid w:val="00670D1A"/>
    <w:rsid w:val="00670EF8"/>
    <w:rsid w:val="00670F7B"/>
    <w:rsid w:val="006711A7"/>
    <w:rsid w:val="00671384"/>
    <w:rsid w:val="0067170D"/>
    <w:rsid w:val="0067173D"/>
    <w:rsid w:val="00671A93"/>
    <w:rsid w:val="00671D99"/>
    <w:rsid w:val="00671DFF"/>
    <w:rsid w:val="00672104"/>
    <w:rsid w:val="00672E96"/>
    <w:rsid w:val="00672F96"/>
    <w:rsid w:val="0067305D"/>
    <w:rsid w:val="00673069"/>
    <w:rsid w:val="006732CA"/>
    <w:rsid w:val="006738C8"/>
    <w:rsid w:val="006739C5"/>
    <w:rsid w:val="00673A96"/>
    <w:rsid w:val="00673C2A"/>
    <w:rsid w:val="00673E59"/>
    <w:rsid w:val="00674208"/>
    <w:rsid w:val="006742BF"/>
    <w:rsid w:val="006742EA"/>
    <w:rsid w:val="0067490A"/>
    <w:rsid w:val="00674BE2"/>
    <w:rsid w:val="00674CCC"/>
    <w:rsid w:val="006750A0"/>
    <w:rsid w:val="006751BB"/>
    <w:rsid w:val="00675766"/>
    <w:rsid w:val="006757F9"/>
    <w:rsid w:val="00675BFE"/>
    <w:rsid w:val="00675CA4"/>
    <w:rsid w:val="00675D13"/>
    <w:rsid w:val="00675E64"/>
    <w:rsid w:val="00676492"/>
    <w:rsid w:val="0067662B"/>
    <w:rsid w:val="006766F0"/>
    <w:rsid w:val="0067680F"/>
    <w:rsid w:val="006778A3"/>
    <w:rsid w:val="00677C67"/>
    <w:rsid w:val="0068033C"/>
    <w:rsid w:val="00680785"/>
    <w:rsid w:val="00680D33"/>
    <w:rsid w:val="00680DBA"/>
    <w:rsid w:val="00681162"/>
    <w:rsid w:val="00681771"/>
    <w:rsid w:val="006817E3"/>
    <w:rsid w:val="00682016"/>
    <w:rsid w:val="00682415"/>
    <w:rsid w:val="006825BD"/>
    <w:rsid w:val="0068267D"/>
    <w:rsid w:val="006826BC"/>
    <w:rsid w:val="0068270F"/>
    <w:rsid w:val="006828C0"/>
    <w:rsid w:val="00682919"/>
    <w:rsid w:val="006830D2"/>
    <w:rsid w:val="006834B0"/>
    <w:rsid w:val="006835D9"/>
    <w:rsid w:val="00683A07"/>
    <w:rsid w:val="00683ABE"/>
    <w:rsid w:val="00683C71"/>
    <w:rsid w:val="00683E93"/>
    <w:rsid w:val="00684077"/>
    <w:rsid w:val="006841FA"/>
    <w:rsid w:val="00684329"/>
    <w:rsid w:val="00684C4B"/>
    <w:rsid w:val="00684DBE"/>
    <w:rsid w:val="00684EF4"/>
    <w:rsid w:val="006854FF"/>
    <w:rsid w:val="006855D9"/>
    <w:rsid w:val="00685E95"/>
    <w:rsid w:val="00685F77"/>
    <w:rsid w:val="006862A9"/>
    <w:rsid w:val="006863FD"/>
    <w:rsid w:val="006864D1"/>
    <w:rsid w:val="00686544"/>
    <w:rsid w:val="00686B3A"/>
    <w:rsid w:val="00686D30"/>
    <w:rsid w:val="00686D4F"/>
    <w:rsid w:val="006871B8"/>
    <w:rsid w:val="00687A92"/>
    <w:rsid w:val="00687B96"/>
    <w:rsid w:val="00687F1D"/>
    <w:rsid w:val="0069012A"/>
    <w:rsid w:val="00690323"/>
    <w:rsid w:val="0069079B"/>
    <w:rsid w:val="00691135"/>
    <w:rsid w:val="0069146A"/>
    <w:rsid w:val="0069165C"/>
    <w:rsid w:val="00691872"/>
    <w:rsid w:val="00691998"/>
    <w:rsid w:val="00691B74"/>
    <w:rsid w:val="00691C90"/>
    <w:rsid w:val="00691CD7"/>
    <w:rsid w:val="00692204"/>
    <w:rsid w:val="00692630"/>
    <w:rsid w:val="006927F2"/>
    <w:rsid w:val="00692A05"/>
    <w:rsid w:val="00692A17"/>
    <w:rsid w:val="00692E12"/>
    <w:rsid w:val="0069309E"/>
    <w:rsid w:val="006930E0"/>
    <w:rsid w:val="0069326E"/>
    <w:rsid w:val="006937C1"/>
    <w:rsid w:val="006938D1"/>
    <w:rsid w:val="00693C6E"/>
    <w:rsid w:val="00693CEC"/>
    <w:rsid w:val="00693FB3"/>
    <w:rsid w:val="006946AD"/>
    <w:rsid w:val="00694C83"/>
    <w:rsid w:val="006959A7"/>
    <w:rsid w:val="00695CB2"/>
    <w:rsid w:val="00695FEC"/>
    <w:rsid w:val="0069608A"/>
    <w:rsid w:val="006962A7"/>
    <w:rsid w:val="006962D0"/>
    <w:rsid w:val="006965EE"/>
    <w:rsid w:val="00696857"/>
    <w:rsid w:val="00696B1E"/>
    <w:rsid w:val="00696C78"/>
    <w:rsid w:val="006972AF"/>
    <w:rsid w:val="006972D0"/>
    <w:rsid w:val="006977D1"/>
    <w:rsid w:val="00697995"/>
    <w:rsid w:val="006A0E37"/>
    <w:rsid w:val="006A128B"/>
    <w:rsid w:val="006A164F"/>
    <w:rsid w:val="006A1AA8"/>
    <w:rsid w:val="006A1E6E"/>
    <w:rsid w:val="006A2004"/>
    <w:rsid w:val="006A229A"/>
    <w:rsid w:val="006A290A"/>
    <w:rsid w:val="006A2FE1"/>
    <w:rsid w:val="006A30BC"/>
    <w:rsid w:val="006A3172"/>
    <w:rsid w:val="006A38E2"/>
    <w:rsid w:val="006A3D46"/>
    <w:rsid w:val="006A428A"/>
    <w:rsid w:val="006A4347"/>
    <w:rsid w:val="006A435A"/>
    <w:rsid w:val="006A43BB"/>
    <w:rsid w:val="006A4449"/>
    <w:rsid w:val="006A4514"/>
    <w:rsid w:val="006A4596"/>
    <w:rsid w:val="006A486D"/>
    <w:rsid w:val="006A4A9C"/>
    <w:rsid w:val="006A5442"/>
    <w:rsid w:val="006A5783"/>
    <w:rsid w:val="006A5AC5"/>
    <w:rsid w:val="006A66C2"/>
    <w:rsid w:val="006A6B9E"/>
    <w:rsid w:val="006A74B8"/>
    <w:rsid w:val="006A7560"/>
    <w:rsid w:val="006A7ED4"/>
    <w:rsid w:val="006B0212"/>
    <w:rsid w:val="006B055B"/>
    <w:rsid w:val="006B0ADD"/>
    <w:rsid w:val="006B0B6C"/>
    <w:rsid w:val="006B0C86"/>
    <w:rsid w:val="006B0E6F"/>
    <w:rsid w:val="006B1199"/>
    <w:rsid w:val="006B122B"/>
    <w:rsid w:val="006B14E5"/>
    <w:rsid w:val="006B1567"/>
    <w:rsid w:val="006B1A9B"/>
    <w:rsid w:val="006B22C6"/>
    <w:rsid w:val="006B2305"/>
    <w:rsid w:val="006B2591"/>
    <w:rsid w:val="006B25C2"/>
    <w:rsid w:val="006B26CD"/>
    <w:rsid w:val="006B2BEA"/>
    <w:rsid w:val="006B2CFF"/>
    <w:rsid w:val="006B3030"/>
    <w:rsid w:val="006B316C"/>
    <w:rsid w:val="006B3260"/>
    <w:rsid w:val="006B3458"/>
    <w:rsid w:val="006B36F1"/>
    <w:rsid w:val="006B3824"/>
    <w:rsid w:val="006B38AB"/>
    <w:rsid w:val="006B3BEC"/>
    <w:rsid w:val="006B40E7"/>
    <w:rsid w:val="006B4184"/>
    <w:rsid w:val="006B448E"/>
    <w:rsid w:val="006B44DD"/>
    <w:rsid w:val="006B465C"/>
    <w:rsid w:val="006B4842"/>
    <w:rsid w:val="006B519D"/>
    <w:rsid w:val="006B53D6"/>
    <w:rsid w:val="006B53EC"/>
    <w:rsid w:val="006B57D7"/>
    <w:rsid w:val="006B5CA8"/>
    <w:rsid w:val="006B5EAF"/>
    <w:rsid w:val="006B6580"/>
    <w:rsid w:val="006B6920"/>
    <w:rsid w:val="006B75BB"/>
    <w:rsid w:val="006B76AF"/>
    <w:rsid w:val="006B7759"/>
    <w:rsid w:val="006B7ADC"/>
    <w:rsid w:val="006B7EE2"/>
    <w:rsid w:val="006C000D"/>
    <w:rsid w:val="006C062B"/>
    <w:rsid w:val="006C0E98"/>
    <w:rsid w:val="006C10CC"/>
    <w:rsid w:val="006C14A5"/>
    <w:rsid w:val="006C1589"/>
    <w:rsid w:val="006C23D6"/>
    <w:rsid w:val="006C24D6"/>
    <w:rsid w:val="006C2A28"/>
    <w:rsid w:val="006C332E"/>
    <w:rsid w:val="006C33BD"/>
    <w:rsid w:val="006C3700"/>
    <w:rsid w:val="006C38F0"/>
    <w:rsid w:val="006C3905"/>
    <w:rsid w:val="006C3E27"/>
    <w:rsid w:val="006C3EC1"/>
    <w:rsid w:val="006C47C1"/>
    <w:rsid w:val="006C49EF"/>
    <w:rsid w:val="006C4C42"/>
    <w:rsid w:val="006C5052"/>
    <w:rsid w:val="006C52A0"/>
    <w:rsid w:val="006C57AE"/>
    <w:rsid w:val="006C5831"/>
    <w:rsid w:val="006C5869"/>
    <w:rsid w:val="006C5A4A"/>
    <w:rsid w:val="006C5B31"/>
    <w:rsid w:val="006C5BA3"/>
    <w:rsid w:val="006C5F9D"/>
    <w:rsid w:val="006C61A1"/>
    <w:rsid w:val="006C633F"/>
    <w:rsid w:val="006C675F"/>
    <w:rsid w:val="006C6FA7"/>
    <w:rsid w:val="006C70A0"/>
    <w:rsid w:val="006C71D1"/>
    <w:rsid w:val="006C726E"/>
    <w:rsid w:val="006C76E6"/>
    <w:rsid w:val="006C7D50"/>
    <w:rsid w:val="006D00CB"/>
    <w:rsid w:val="006D072F"/>
    <w:rsid w:val="006D0B64"/>
    <w:rsid w:val="006D0EA9"/>
    <w:rsid w:val="006D1217"/>
    <w:rsid w:val="006D1623"/>
    <w:rsid w:val="006D177D"/>
    <w:rsid w:val="006D1793"/>
    <w:rsid w:val="006D1803"/>
    <w:rsid w:val="006D19E9"/>
    <w:rsid w:val="006D1D05"/>
    <w:rsid w:val="006D267A"/>
    <w:rsid w:val="006D26B8"/>
    <w:rsid w:val="006D2A90"/>
    <w:rsid w:val="006D2B06"/>
    <w:rsid w:val="006D2C67"/>
    <w:rsid w:val="006D2D4F"/>
    <w:rsid w:val="006D2DF3"/>
    <w:rsid w:val="006D30BA"/>
    <w:rsid w:val="006D3336"/>
    <w:rsid w:val="006D3414"/>
    <w:rsid w:val="006D3681"/>
    <w:rsid w:val="006D4626"/>
    <w:rsid w:val="006D4F25"/>
    <w:rsid w:val="006D4F52"/>
    <w:rsid w:val="006D504A"/>
    <w:rsid w:val="006D5688"/>
    <w:rsid w:val="006D5A52"/>
    <w:rsid w:val="006D5DBB"/>
    <w:rsid w:val="006D6009"/>
    <w:rsid w:val="006D68A4"/>
    <w:rsid w:val="006D6A40"/>
    <w:rsid w:val="006D6A5D"/>
    <w:rsid w:val="006D6AB6"/>
    <w:rsid w:val="006D7001"/>
    <w:rsid w:val="006D71B7"/>
    <w:rsid w:val="006D7758"/>
    <w:rsid w:val="006D7BC5"/>
    <w:rsid w:val="006D7E64"/>
    <w:rsid w:val="006E0025"/>
    <w:rsid w:val="006E020C"/>
    <w:rsid w:val="006E066F"/>
    <w:rsid w:val="006E08A0"/>
    <w:rsid w:val="006E0B93"/>
    <w:rsid w:val="006E0D10"/>
    <w:rsid w:val="006E0ED1"/>
    <w:rsid w:val="006E110E"/>
    <w:rsid w:val="006E1564"/>
    <w:rsid w:val="006E1AB0"/>
    <w:rsid w:val="006E1B77"/>
    <w:rsid w:val="006E1C62"/>
    <w:rsid w:val="006E1C96"/>
    <w:rsid w:val="006E1E8F"/>
    <w:rsid w:val="006E2339"/>
    <w:rsid w:val="006E2658"/>
    <w:rsid w:val="006E28CC"/>
    <w:rsid w:val="006E2A56"/>
    <w:rsid w:val="006E2A85"/>
    <w:rsid w:val="006E2A8D"/>
    <w:rsid w:val="006E2C19"/>
    <w:rsid w:val="006E2CAF"/>
    <w:rsid w:val="006E2CC9"/>
    <w:rsid w:val="006E3384"/>
    <w:rsid w:val="006E3831"/>
    <w:rsid w:val="006E38FF"/>
    <w:rsid w:val="006E3A68"/>
    <w:rsid w:val="006E40EB"/>
    <w:rsid w:val="006E4187"/>
    <w:rsid w:val="006E427C"/>
    <w:rsid w:val="006E4A30"/>
    <w:rsid w:val="006E4CAF"/>
    <w:rsid w:val="006E5005"/>
    <w:rsid w:val="006E516C"/>
    <w:rsid w:val="006E539F"/>
    <w:rsid w:val="006E549D"/>
    <w:rsid w:val="006E5980"/>
    <w:rsid w:val="006E5CAB"/>
    <w:rsid w:val="006E5D36"/>
    <w:rsid w:val="006E5F53"/>
    <w:rsid w:val="006E60B4"/>
    <w:rsid w:val="006E60EA"/>
    <w:rsid w:val="006E62B3"/>
    <w:rsid w:val="006E6851"/>
    <w:rsid w:val="006E6A41"/>
    <w:rsid w:val="006E7225"/>
    <w:rsid w:val="006E722D"/>
    <w:rsid w:val="006E72C7"/>
    <w:rsid w:val="006E7305"/>
    <w:rsid w:val="006E7ACF"/>
    <w:rsid w:val="006E7BF0"/>
    <w:rsid w:val="006E7D60"/>
    <w:rsid w:val="006E7E9A"/>
    <w:rsid w:val="006F0668"/>
    <w:rsid w:val="006F0721"/>
    <w:rsid w:val="006F0AE1"/>
    <w:rsid w:val="006F0B73"/>
    <w:rsid w:val="006F1CDF"/>
    <w:rsid w:val="006F1DB6"/>
    <w:rsid w:val="006F248A"/>
    <w:rsid w:val="006F2494"/>
    <w:rsid w:val="006F264C"/>
    <w:rsid w:val="006F2728"/>
    <w:rsid w:val="006F28BF"/>
    <w:rsid w:val="006F2A5F"/>
    <w:rsid w:val="006F3106"/>
    <w:rsid w:val="006F31E0"/>
    <w:rsid w:val="006F3585"/>
    <w:rsid w:val="006F36C1"/>
    <w:rsid w:val="006F37E6"/>
    <w:rsid w:val="006F3A2F"/>
    <w:rsid w:val="006F3E1C"/>
    <w:rsid w:val="006F4103"/>
    <w:rsid w:val="006F505B"/>
    <w:rsid w:val="006F5175"/>
    <w:rsid w:val="006F528E"/>
    <w:rsid w:val="006F5BC6"/>
    <w:rsid w:val="006F5D75"/>
    <w:rsid w:val="006F5DA9"/>
    <w:rsid w:val="006F675A"/>
    <w:rsid w:val="006F684E"/>
    <w:rsid w:val="006F68CB"/>
    <w:rsid w:val="006F690A"/>
    <w:rsid w:val="006F6D26"/>
    <w:rsid w:val="006F7B35"/>
    <w:rsid w:val="007001E5"/>
    <w:rsid w:val="007006D1"/>
    <w:rsid w:val="007008B6"/>
    <w:rsid w:val="007008BE"/>
    <w:rsid w:val="00700ACF"/>
    <w:rsid w:val="00701316"/>
    <w:rsid w:val="007018FE"/>
    <w:rsid w:val="00701BC9"/>
    <w:rsid w:val="007020E1"/>
    <w:rsid w:val="0070241C"/>
    <w:rsid w:val="007028C7"/>
    <w:rsid w:val="0070312D"/>
    <w:rsid w:val="007031F3"/>
    <w:rsid w:val="0070357B"/>
    <w:rsid w:val="00703BE5"/>
    <w:rsid w:val="00703C29"/>
    <w:rsid w:val="00704096"/>
    <w:rsid w:val="00704337"/>
    <w:rsid w:val="0070451D"/>
    <w:rsid w:val="00704520"/>
    <w:rsid w:val="007045B8"/>
    <w:rsid w:val="007045BE"/>
    <w:rsid w:val="00704EAC"/>
    <w:rsid w:val="00704F4F"/>
    <w:rsid w:val="00704FF6"/>
    <w:rsid w:val="00705372"/>
    <w:rsid w:val="00705955"/>
    <w:rsid w:val="00706396"/>
    <w:rsid w:val="00706673"/>
    <w:rsid w:val="007068A8"/>
    <w:rsid w:val="00706F7F"/>
    <w:rsid w:val="00707511"/>
    <w:rsid w:val="0070789D"/>
    <w:rsid w:val="00707A26"/>
    <w:rsid w:val="00707E0D"/>
    <w:rsid w:val="0071019C"/>
    <w:rsid w:val="0071035E"/>
    <w:rsid w:val="007107BE"/>
    <w:rsid w:val="0071085C"/>
    <w:rsid w:val="00710866"/>
    <w:rsid w:val="00710909"/>
    <w:rsid w:val="00710977"/>
    <w:rsid w:val="00710B31"/>
    <w:rsid w:val="00710C03"/>
    <w:rsid w:val="0071183D"/>
    <w:rsid w:val="00711B02"/>
    <w:rsid w:val="00711E4E"/>
    <w:rsid w:val="007120F6"/>
    <w:rsid w:val="007124C6"/>
    <w:rsid w:val="0071278E"/>
    <w:rsid w:val="0071291F"/>
    <w:rsid w:val="007129AB"/>
    <w:rsid w:val="00712B6B"/>
    <w:rsid w:val="00712B9B"/>
    <w:rsid w:val="00712D91"/>
    <w:rsid w:val="0071311E"/>
    <w:rsid w:val="007131BA"/>
    <w:rsid w:val="00713264"/>
    <w:rsid w:val="00713C85"/>
    <w:rsid w:val="00713CC4"/>
    <w:rsid w:val="00714407"/>
    <w:rsid w:val="00714434"/>
    <w:rsid w:val="00714614"/>
    <w:rsid w:val="007147FA"/>
    <w:rsid w:val="00714AEF"/>
    <w:rsid w:val="00714B82"/>
    <w:rsid w:val="00715249"/>
    <w:rsid w:val="007158DC"/>
    <w:rsid w:val="00715AB9"/>
    <w:rsid w:val="0071601E"/>
    <w:rsid w:val="00716691"/>
    <w:rsid w:val="007166E7"/>
    <w:rsid w:val="00716715"/>
    <w:rsid w:val="0071679D"/>
    <w:rsid w:val="00716C3D"/>
    <w:rsid w:val="00716C46"/>
    <w:rsid w:val="00716EC4"/>
    <w:rsid w:val="007170FB"/>
    <w:rsid w:val="0071719F"/>
    <w:rsid w:val="00717392"/>
    <w:rsid w:val="0071780A"/>
    <w:rsid w:val="00717CD8"/>
    <w:rsid w:val="007201B6"/>
    <w:rsid w:val="0072036C"/>
    <w:rsid w:val="00720770"/>
    <w:rsid w:val="007209F6"/>
    <w:rsid w:val="00720AA9"/>
    <w:rsid w:val="00720C2D"/>
    <w:rsid w:val="007210C6"/>
    <w:rsid w:val="00721273"/>
    <w:rsid w:val="007212E1"/>
    <w:rsid w:val="00721C42"/>
    <w:rsid w:val="0072266C"/>
    <w:rsid w:val="00722A87"/>
    <w:rsid w:val="0072318B"/>
    <w:rsid w:val="00723252"/>
    <w:rsid w:val="00723568"/>
    <w:rsid w:val="00723639"/>
    <w:rsid w:val="00723883"/>
    <w:rsid w:val="00723DE9"/>
    <w:rsid w:val="00724132"/>
    <w:rsid w:val="00724B43"/>
    <w:rsid w:val="00724B5A"/>
    <w:rsid w:val="00724BA6"/>
    <w:rsid w:val="007250DC"/>
    <w:rsid w:val="007252D6"/>
    <w:rsid w:val="00725BDA"/>
    <w:rsid w:val="00725D9E"/>
    <w:rsid w:val="00725F68"/>
    <w:rsid w:val="00726305"/>
    <w:rsid w:val="00726614"/>
    <w:rsid w:val="00726C6D"/>
    <w:rsid w:val="00726E9D"/>
    <w:rsid w:val="00727375"/>
    <w:rsid w:val="007278A1"/>
    <w:rsid w:val="00730A8F"/>
    <w:rsid w:val="00730D23"/>
    <w:rsid w:val="00730F35"/>
    <w:rsid w:val="00730FDD"/>
    <w:rsid w:val="00731157"/>
    <w:rsid w:val="007311AA"/>
    <w:rsid w:val="007311AD"/>
    <w:rsid w:val="0073122C"/>
    <w:rsid w:val="0073152F"/>
    <w:rsid w:val="00731616"/>
    <w:rsid w:val="00731ACF"/>
    <w:rsid w:val="0073227F"/>
    <w:rsid w:val="00732387"/>
    <w:rsid w:val="007323F5"/>
    <w:rsid w:val="00732407"/>
    <w:rsid w:val="007327C9"/>
    <w:rsid w:val="00732B9B"/>
    <w:rsid w:val="00732B9E"/>
    <w:rsid w:val="00732CF9"/>
    <w:rsid w:val="00732D19"/>
    <w:rsid w:val="00732E06"/>
    <w:rsid w:val="00732EE0"/>
    <w:rsid w:val="00732EF0"/>
    <w:rsid w:val="00732F32"/>
    <w:rsid w:val="0073340A"/>
    <w:rsid w:val="00733522"/>
    <w:rsid w:val="00734130"/>
    <w:rsid w:val="0073474C"/>
    <w:rsid w:val="007348E6"/>
    <w:rsid w:val="00734903"/>
    <w:rsid w:val="00734CA9"/>
    <w:rsid w:val="007351BF"/>
    <w:rsid w:val="00735231"/>
    <w:rsid w:val="00735256"/>
    <w:rsid w:val="0073537A"/>
    <w:rsid w:val="00735419"/>
    <w:rsid w:val="00735CB0"/>
    <w:rsid w:val="0073602D"/>
    <w:rsid w:val="00736037"/>
    <w:rsid w:val="00736050"/>
    <w:rsid w:val="00736B35"/>
    <w:rsid w:val="00736BB1"/>
    <w:rsid w:val="00736E5F"/>
    <w:rsid w:val="00736FDF"/>
    <w:rsid w:val="00737013"/>
    <w:rsid w:val="007371B3"/>
    <w:rsid w:val="007376F9"/>
    <w:rsid w:val="00737738"/>
    <w:rsid w:val="00737B56"/>
    <w:rsid w:val="00737B64"/>
    <w:rsid w:val="00737F8A"/>
    <w:rsid w:val="00740442"/>
    <w:rsid w:val="00740621"/>
    <w:rsid w:val="007407CC"/>
    <w:rsid w:val="00740928"/>
    <w:rsid w:val="00740C58"/>
    <w:rsid w:val="00740F39"/>
    <w:rsid w:val="0074108C"/>
    <w:rsid w:val="007412F1"/>
    <w:rsid w:val="007412F4"/>
    <w:rsid w:val="00741680"/>
    <w:rsid w:val="00741A60"/>
    <w:rsid w:val="00741B7D"/>
    <w:rsid w:val="00741CD7"/>
    <w:rsid w:val="00742951"/>
    <w:rsid w:val="00743035"/>
    <w:rsid w:val="0074313C"/>
    <w:rsid w:val="00743189"/>
    <w:rsid w:val="0074379E"/>
    <w:rsid w:val="00743A01"/>
    <w:rsid w:val="00743BFC"/>
    <w:rsid w:val="00743FA7"/>
    <w:rsid w:val="00744751"/>
    <w:rsid w:val="00744B3B"/>
    <w:rsid w:val="00744DF1"/>
    <w:rsid w:val="00744EFA"/>
    <w:rsid w:val="007453FA"/>
    <w:rsid w:val="0074556B"/>
    <w:rsid w:val="007456A7"/>
    <w:rsid w:val="00745AD7"/>
    <w:rsid w:val="00745BD2"/>
    <w:rsid w:val="00745FAA"/>
    <w:rsid w:val="00746013"/>
    <w:rsid w:val="00746CBF"/>
    <w:rsid w:val="00746F6B"/>
    <w:rsid w:val="007471CA"/>
    <w:rsid w:val="0074739F"/>
    <w:rsid w:val="00747456"/>
    <w:rsid w:val="00747476"/>
    <w:rsid w:val="007475F2"/>
    <w:rsid w:val="0074768A"/>
    <w:rsid w:val="00747844"/>
    <w:rsid w:val="00747EF1"/>
    <w:rsid w:val="00747F71"/>
    <w:rsid w:val="007500D2"/>
    <w:rsid w:val="007503A8"/>
    <w:rsid w:val="0075067B"/>
    <w:rsid w:val="0075095B"/>
    <w:rsid w:val="00750A68"/>
    <w:rsid w:val="00750F7F"/>
    <w:rsid w:val="0075117D"/>
    <w:rsid w:val="007512D4"/>
    <w:rsid w:val="00751C86"/>
    <w:rsid w:val="00751E86"/>
    <w:rsid w:val="00751EE9"/>
    <w:rsid w:val="0075214A"/>
    <w:rsid w:val="00752166"/>
    <w:rsid w:val="007530C1"/>
    <w:rsid w:val="00753131"/>
    <w:rsid w:val="00753783"/>
    <w:rsid w:val="00753978"/>
    <w:rsid w:val="00753AE1"/>
    <w:rsid w:val="00753C2A"/>
    <w:rsid w:val="007545A4"/>
    <w:rsid w:val="00754829"/>
    <w:rsid w:val="00754B7E"/>
    <w:rsid w:val="00754BC3"/>
    <w:rsid w:val="00754C34"/>
    <w:rsid w:val="00754C99"/>
    <w:rsid w:val="0075507C"/>
    <w:rsid w:val="00755204"/>
    <w:rsid w:val="00755916"/>
    <w:rsid w:val="00755CB2"/>
    <w:rsid w:val="00755F4C"/>
    <w:rsid w:val="007561BA"/>
    <w:rsid w:val="00756471"/>
    <w:rsid w:val="007568D9"/>
    <w:rsid w:val="00756965"/>
    <w:rsid w:val="00756AD0"/>
    <w:rsid w:val="00756BED"/>
    <w:rsid w:val="00756E48"/>
    <w:rsid w:val="0075703B"/>
    <w:rsid w:val="0075780D"/>
    <w:rsid w:val="00757EE4"/>
    <w:rsid w:val="00760702"/>
    <w:rsid w:val="0076114C"/>
    <w:rsid w:val="007614CA"/>
    <w:rsid w:val="00761DD7"/>
    <w:rsid w:val="00761FB4"/>
    <w:rsid w:val="007620D6"/>
    <w:rsid w:val="00762487"/>
    <w:rsid w:val="007625B1"/>
    <w:rsid w:val="007628F6"/>
    <w:rsid w:val="00762C77"/>
    <w:rsid w:val="0076337C"/>
    <w:rsid w:val="007635E2"/>
    <w:rsid w:val="0076369F"/>
    <w:rsid w:val="00763A9F"/>
    <w:rsid w:val="00763DA0"/>
    <w:rsid w:val="00764082"/>
    <w:rsid w:val="00764280"/>
    <w:rsid w:val="00764698"/>
    <w:rsid w:val="00764A71"/>
    <w:rsid w:val="00764A82"/>
    <w:rsid w:val="00764B8B"/>
    <w:rsid w:val="00764F91"/>
    <w:rsid w:val="00765039"/>
    <w:rsid w:val="007653EC"/>
    <w:rsid w:val="00765407"/>
    <w:rsid w:val="0076557A"/>
    <w:rsid w:val="00765860"/>
    <w:rsid w:val="0076662A"/>
    <w:rsid w:val="00766B2A"/>
    <w:rsid w:val="00766D90"/>
    <w:rsid w:val="00766FC0"/>
    <w:rsid w:val="00767042"/>
    <w:rsid w:val="00767423"/>
    <w:rsid w:val="007679A6"/>
    <w:rsid w:val="00767D2F"/>
    <w:rsid w:val="00767DEF"/>
    <w:rsid w:val="00767EA7"/>
    <w:rsid w:val="00767F67"/>
    <w:rsid w:val="00770076"/>
    <w:rsid w:val="007700F1"/>
    <w:rsid w:val="007702E0"/>
    <w:rsid w:val="00770310"/>
    <w:rsid w:val="007704E1"/>
    <w:rsid w:val="00770899"/>
    <w:rsid w:val="00770A27"/>
    <w:rsid w:val="00771336"/>
    <w:rsid w:val="007715E5"/>
    <w:rsid w:val="007719EC"/>
    <w:rsid w:val="00771C3B"/>
    <w:rsid w:val="00771E09"/>
    <w:rsid w:val="00772313"/>
    <w:rsid w:val="00772550"/>
    <w:rsid w:val="007728A1"/>
    <w:rsid w:val="00772A42"/>
    <w:rsid w:val="007736E7"/>
    <w:rsid w:val="0077377D"/>
    <w:rsid w:val="0077386D"/>
    <w:rsid w:val="00773ECD"/>
    <w:rsid w:val="00773F3A"/>
    <w:rsid w:val="00774203"/>
    <w:rsid w:val="0077422F"/>
    <w:rsid w:val="00774425"/>
    <w:rsid w:val="00774491"/>
    <w:rsid w:val="007746A4"/>
    <w:rsid w:val="00774BC6"/>
    <w:rsid w:val="00774CAC"/>
    <w:rsid w:val="00774F62"/>
    <w:rsid w:val="007750BC"/>
    <w:rsid w:val="007756B5"/>
    <w:rsid w:val="007757EE"/>
    <w:rsid w:val="007758B5"/>
    <w:rsid w:val="00775FB4"/>
    <w:rsid w:val="0077603C"/>
    <w:rsid w:val="0077604A"/>
    <w:rsid w:val="0077613A"/>
    <w:rsid w:val="00776508"/>
    <w:rsid w:val="0077655C"/>
    <w:rsid w:val="0077686E"/>
    <w:rsid w:val="0077699A"/>
    <w:rsid w:val="00776DB4"/>
    <w:rsid w:val="00776F62"/>
    <w:rsid w:val="0077734A"/>
    <w:rsid w:val="0077767B"/>
    <w:rsid w:val="00777844"/>
    <w:rsid w:val="00777A5F"/>
    <w:rsid w:val="00777B4E"/>
    <w:rsid w:val="00777D75"/>
    <w:rsid w:val="00777F2C"/>
    <w:rsid w:val="0078063B"/>
    <w:rsid w:val="00780835"/>
    <w:rsid w:val="00780A34"/>
    <w:rsid w:val="00780A96"/>
    <w:rsid w:val="00780E36"/>
    <w:rsid w:val="00780ECA"/>
    <w:rsid w:val="007811BA"/>
    <w:rsid w:val="00781395"/>
    <w:rsid w:val="00781442"/>
    <w:rsid w:val="0078160A"/>
    <w:rsid w:val="007816A9"/>
    <w:rsid w:val="007817E7"/>
    <w:rsid w:val="00782576"/>
    <w:rsid w:val="007825C1"/>
    <w:rsid w:val="00782693"/>
    <w:rsid w:val="007826FB"/>
    <w:rsid w:val="0078281A"/>
    <w:rsid w:val="00782A01"/>
    <w:rsid w:val="00782D67"/>
    <w:rsid w:val="00782EFC"/>
    <w:rsid w:val="00782FB1"/>
    <w:rsid w:val="007832BF"/>
    <w:rsid w:val="007836A8"/>
    <w:rsid w:val="00783BA3"/>
    <w:rsid w:val="00783F80"/>
    <w:rsid w:val="007842B8"/>
    <w:rsid w:val="0078437F"/>
    <w:rsid w:val="0078475F"/>
    <w:rsid w:val="00784B64"/>
    <w:rsid w:val="00784E48"/>
    <w:rsid w:val="00785D0A"/>
    <w:rsid w:val="00785F20"/>
    <w:rsid w:val="00785FFA"/>
    <w:rsid w:val="00785FFD"/>
    <w:rsid w:val="00786020"/>
    <w:rsid w:val="00786042"/>
    <w:rsid w:val="007860BB"/>
    <w:rsid w:val="007861AF"/>
    <w:rsid w:val="007868D2"/>
    <w:rsid w:val="00786A74"/>
    <w:rsid w:val="00786DF3"/>
    <w:rsid w:val="007873FE"/>
    <w:rsid w:val="0078764E"/>
    <w:rsid w:val="00790362"/>
    <w:rsid w:val="00790727"/>
    <w:rsid w:val="00791B96"/>
    <w:rsid w:val="00792689"/>
    <w:rsid w:val="00792791"/>
    <w:rsid w:val="00792A70"/>
    <w:rsid w:val="00792CDB"/>
    <w:rsid w:val="00792E5B"/>
    <w:rsid w:val="00792F73"/>
    <w:rsid w:val="00793149"/>
    <w:rsid w:val="007934B8"/>
    <w:rsid w:val="0079366C"/>
    <w:rsid w:val="00793732"/>
    <w:rsid w:val="00793C55"/>
    <w:rsid w:val="0079445E"/>
    <w:rsid w:val="00794561"/>
    <w:rsid w:val="00794579"/>
    <w:rsid w:val="0079485B"/>
    <w:rsid w:val="00794941"/>
    <w:rsid w:val="00794A69"/>
    <w:rsid w:val="00794D16"/>
    <w:rsid w:val="00795272"/>
    <w:rsid w:val="007954CF"/>
    <w:rsid w:val="007955A3"/>
    <w:rsid w:val="00795B57"/>
    <w:rsid w:val="007961E9"/>
    <w:rsid w:val="00796DC3"/>
    <w:rsid w:val="00796FB7"/>
    <w:rsid w:val="0079732D"/>
    <w:rsid w:val="00797776"/>
    <w:rsid w:val="007977D4"/>
    <w:rsid w:val="007979B4"/>
    <w:rsid w:val="007979B7"/>
    <w:rsid w:val="007A023B"/>
    <w:rsid w:val="007A048A"/>
    <w:rsid w:val="007A054A"/>
    <w:rsid w:val="007A0AEA"/>
    <w:rsid w:val="007A135A"/>
    <w:rsid w:val="007A13FD"/>
    <w:rsid w:val="007A1492"/>
    <w:rsid w:val="007A1543"/>
    <w:rsid w:val="007A1A1E"/>
    <w:rsid w:val="007A1BC8"/>
    <w:rsid w:val="007A1E9F"/>
    <w:rsid w:val="007A202B"/>
    <w:rsid w:val="007A206B"/>
    <w:rsid w:val="007A29A7"/>
    <w:rsid w:val="007A2A3F"/>
    <w:rsid w:val="007A2A86"/>
    <w:rsid w:val="007A2C01"/>
    <w:rsid w:val="007A2C9D"/>
    <w:rsid w:val="007A2D27"/>
    <w:rsid w:val="007A2F49"/>
    <w:rsid w:val="007A3089"/>
    <w:rsid w:val="007A33B5"/>
    <w:rsid w:val="007A357E"/>
    <w:rsid w:val="007A3AEB"/>
    <w:rsid w:val="007A3DF7"/>
    <w:rsid w:val="007A46BB"/>
    <w:rsid w:val="007A488E"/>
    <w:rsid w:val="007A4A8F"/>
    <w:rsid w:val="007A4B19"/>
    <w:rsid w:val="007A4B1D"/>
    <w:rsid w:val="007A4EAB"/>
    <w:rsid w:val="007A4F02"/>
    <w:rsid w:val="007A4F36"/>
    <w:rsid w:val="007A508F"/>
    <w:rsid w:val="007A523B"/>
    <w:rsid w:val="007A5598"/>
    <w:rsid w:val="007A584C"/>
    <w:rsid w:val="007A59E8"/>
    <w:rsid w:val="007A5B5D"/>
    <w:rsid w:val="007A6EAE"/>
    <w:rsid w:val="007A72E1"/>
    <w:rsid w:val="007A742E"/>
    <w:rsid w:val="007A794A"/>
    <w:rsid w:val="007A7C15"/>
    <w:rsid w:val="007B00AC"/>
    <w:rsid w:val="007B01CD"/>
    <w:rsid w:val="007B0640"/>
    <w:rsid w:val="007B0830"/>
    <w:rsid w:val="007B0A29"/>
    <w:rsid w:val="007B0BC8"/>
    <w:rsid w:val="007B1334"/>
    <w:rsid w:val="007B18C4"/>
    <w:rsid w:val="007B2302"/>
    <w:rsid w:val="007B2370"/>
    <w:rsid w:val="007B2523"/>
    <w:rsid w:val="007B2731"/>
    <w:rsid w:val="007B2C02"/>
    <w:rsid w:val="007B2C9E"/>
    <w:rsid w:val="007B3137"/>
    <w:rsid w:val="007B365C"/>
    <w:rsid w:val="007B36F6"/>
    <w:rsid w:val="007B3B60"/>
    <w:rsid w:val="007B476C"/>
    <w:rsid w:val="007B4BBD"/>
    <w:rsid w:val="007B4D08"/>
    <w:rsid w:val="007B511E"/>
    <w:rsid w:val="007B545B"/>
    <w:rsid w:val="007B5693"/>
    <w:rsid w:val="007B58D6"/>
    <w:rsid w:val="007B595B"/>
    <w:rsid w:val="007B5C00"/>
    <w:rsid w:val="007B6032"/>
    <w:rsid w:val="007B649D"/>
    <w:rsid w:val="007B66B7"/>
    <w:rsid w:val="007B68A1"/>
    <w:rsid w:val="007B694B"/>
    <w:rsid w:val="007B69B8"/>
    <w:rsid w:val="007B7171"/>
    <w:rsid w:val="007B7374"/>
    <w:rsid w:val="007B7604"/>
    <w:rsid w:val="007B7629"/>
    <w:rsid w:val="007B7787"/>
    <w:rsid w:val="007B77BD"/>
    <w:rsid w:val="007B7DAF"/>
    <w:rsid w:val="007B7E91"/>
    <w:rsid w:val="007C0236"/>
    <w:rsid w:val="007C0421"/>
    <w:rsid w:val="007C046B"/>
    <w:rsid w:val="007C06CD"/>
    <w:rsid w:val="007C0B2C"/>
    <w:rsid w:val="007C0F83"/>
    <w:rsid w:val="007C0F8C"/>
    <w:rsid w:val="007C11A8"/>
    <w:rsid w:val="007C131F"/>
    <w:rsid w:val="007C1565"/>
    <w:rsid w:val="007C1890"/>
    <w:rsid w:val="007C1B2B"/>
    <w:rsid w:val="007C1CFA"/>
    <w:rsid w:val="007C1D0D"/>
    <w:rsid w:val="007C1F83"/>
    <w:rsid w:val="007C21B0"/>
    <w:rsid w:val="007C23AC"/>
    <w:rsid w:val="007C27B9"/>
    <w:rsid w:val="007C2B02"/>
    <w:rsid w:val="007C2C03"/>
    <w:rsid w:val="007C2C16"/>
    <w:rsid w:val="007C33F4"/>
    <w:rsid w:val="007C370F"/>
    <w:rsid w:val="007C4176"/>
    <w:rsid w:val="007C43B1"/>
    <w:rsid w:val="007C44EE"/>
    <w:rsid w:val="007C4870"/>
    <w:rsid w:val="007C4939"/>
    <w:rsid w:val="007C4A5C"/>
    <w:rsid w:val="007C4D30"/>
    <w:rsid w:val="007C565A"/>
    <w:rsid w:val="007C5E58"/>
    <w:rsid w:val="007C6C84"/>
    <w:rsid w:val="007C6D96"/>
    <w:rsid w:val="007C6DDC"/>
    <w:rsid w:val="007C6EDF"/>
    <w:rsid w:val="007C6F82"/>
    <w:rsid w:val="007C73A9"/>
    <w:rsid w:val="007C78FA"/>
    <w:rsid w:val="007C7B64"/>
    <w:rsid w:val="007C7FA3"/>
    <w:rsid w:val="007D0049"/>
    <w:rsid w:val="007D0055"/>
    <w:rsid w:val="007D03F2"/>
    <w:rsid w:val="007D04BB"/>
    <w:rsid w:val="007D051B"/>
    <w:rsid w:val="007D06A4"/>
    <w:rsid w:val="007D093B"/>
    <w:rsid w:val="007D0E87"/>
    <w:rsid w:val="007D0F36"/>
    <w:rsid w:val="007D11DA"/>
    <w:rsid w:val="007D143B"/>
    <w:rsid w:val="007D14C2"/>
    <w:rsid w:val="007D1579"/>
    <w:rsid w:val="007D17B4"/>
    <w:rsid w:val="007D190C"/>
    <w:rsid w:val="007D2119"/>
    <w:rsid w:val="007D22AE"/>
    <w:rsid w:val="007D22AF"/>
    <w:rsid w:val="007D2794"/>
    <w:rsid w:val="007D299E"/>
    <w:rsid w:val="007D2B2F"/>
    <w:rsid w:val="007D2CE9"/>
    <w:rsid w:val="007D313B"/>
    <w:rsid w:val="007D3197"/>
    <w:rsid w:val="007D333C"/>
    <w:rsid w:val="007D3893"/>
    <w:rsid w:val="007D38A1"/>
    <w:rsid w:val="007D391D"/>
    <w:rsid w:val="007D411E"/>
    <w:rsid w:val="007D464E"/>
    <w:rsid w:val="007D4849"/>
    <w:rsid w:val="007D486D"/>
    <w:rsid w:val="007D4AAC"/>
    <w:rsid w:val="007D4F7D"/>
    <w:rsid w:val="007D535A"/>
    <w:rsid w:val="007D5743"/>
    <w:rsid w:val="007D5C9B"/>
    <w:rsid w:val="007D5DBA"/>
    <w:rsid w:val="007D62AD"/>
    <w:rsid w:val="007D6342"/>
    <w:rsid w:val="007D63B3"/>
    <w:rsid w:val="007D657F"/>
    <w:rsid w:val="007D6AB1"/>
    <w:rsid w:val="007D6D31"/>
    <w:rsid w:val="007D761D"/>
    <w:rsid w:val="007D7AFB"/>
    <w:rsid w:val="007E0336"/>
    <w:rsid w:val="007E0388"/>
    <w:rsid w:val="007E039B"/>
    <w:rsid w:val="007E0441"/>
    <w:rsid w:val="007E0910"/>
    <w:rsid w:val="007E0CED"/>
    <w:rsid w:val="007E0FE1"/>
    <w:rsid w:val="007E1454"/>
    <w:rsid w:val="007E202D"/>
    <w:rsid w:val="007E2505"/>
    <w:rsid w:val="007E260D"/>
    <w:rsid w:val="007E28A4"/>
    <w:rsid w:val="007E3000"/>
    <w:rsid w:val="007E31C8"/>
    <w:rsid w:val="007E38E1"/>
    <w:rsid w:val="007E3C9F"/>
    <w:rsid w:val="007E3F8F"/>
    <w:rsid w:val="007E4334"/>
    <w:rsid w:val="007E43B7"/>
    <w:rsid w:val="007E45BB"/>
    <w:rsid w:val="007E4BBB"/>
    <w:rsid w:val="007E4CCB"/>
    <w:rsid w:val="007E4D8F"/>
    <w:rsid w:val="007E4DC7"/>
    <w:rsid w:val="007E4DCA"/>
    <w:rsid w:val="007E545A"/>
    <w:rsid w:val="007E5549"/>
    <w:rsid w:val="007E572A"/>
    <w:rsid w:val="007E5898"/>
    <w:rsid w:val="007E5FFC"/>
    <w:rsid w:val="007E600F"/>
    <w:rsid w:val="007E663F"/>
    <w:rsid w:val="007E6662"/>
    <w:rsid w:val="007E6BAA"/>
    <w:rsid w:val="007E6C4E"/>
    <w:rsid w:val="007E6D79"/>
    <w:rsid w:val="007E73D8"/>
    <w:rsid w:val="007E756A"/>
    <w:rsid w:val="007E772A"/>
    <w:rsid w:val="007E77B0"/>
    <w:rsid w:val="007E78BA"/>
    <w:rsid w:val="007E79DC"/>
    <w:rsid w:val="007E79DD"/>
    <w:rsid w:val="007E7B84"/>
    <w:rsid w:val="007F01D6"/>
    <w:rsid w:val="007F055B"/>
    <w:rsid w:val="007F060D"/>
    <w:rsid w:val="007F0906"/>
    <w:rsid w:val="007F0FBE"/>
    <w:rsid w:val="007F1141"/>
    <w:rsid w:val="007F1211"/>
    <w:rsid w:val="007F135A"/>
    <w:rsid w:val="007F1684"/>
    <w:rsid w:val="007F1EC1"/>
    <w:rsid w:val="007F1F9E"/>
    <w:rsid w:val="007F21DB"/>
    <w:rsid w:val="007F220A"/>
    <w:rsid w:val="007F23FA"/>
    <w:rsid w:val="007F2558"/>
    <w:rsid w:val="007F2CFF"/>
    <w:rsid w:val="007F31ED"/>
    <w:rsid w:val="007F38B5"/>
    <w:rsid w:val="007F395F"/>
    <w:rsid w:val="007F3BD6"/>
    <w:rsid w:val="007F3D87"/>
    <w:rsid w:val="007F3DE9"/>
    <w:rsid w:val="007F3F95"/>
    <w:rsid w:val="007F403A"/>
    <w:rsid w:val="007F4849"/>
    <w:rsid w:val="007F4C13"/>
    <w:rsid w:val="007F5320"/>
    <w:rsid w:val="007F591C"/>
    <w:rsid w:val="007F5A42"/>
    <w:rsid w:val="007F5ADD"/>
    <w:rsid w:val="007F5B3F"/>
    <w:rsid w:val="007F5C1B"/>
    <w:rsid w:val="007F6183"/>
    <w:rsid w:val="007F638B"/>
    <w:rsid w:val="007F6625"/>
    <w:rsid w:val="007F6691"/>
    <w:rsid w:val="007F66B8"/>
    <w:rsid w:val="007F6A6F"/>
    <w:rsid w:val="007F6AF1"/>
    <w:rsid w:val="007F6D4A"/>
    <w:rsid w:val="007F7012"/>
    <w:rsid w:val="007F73A2"/>
    <w:rsid w:val="007F7A3A"/>
    <w:rsid w:val="007F7C90"/>
    <w:rsid w:val="007F7E59"/>
    <w:rsid w:val="007F7E72"/>
    <w:rsid w:val="00800356"/>
    <w:rsid w:val="00800758"/>
    <w:rsid w:val="0080077B"/>
    <w:rsid w:val="00800843"/>
    <w:rsid w:val="00800A63"/>
    <w:rsid w:val="0080113B"/>
    <w:rsid w:val="008011EF"/>
    <w:rsid w:val="008015BC"/>
    <w:rsid w:val="00801667"/>
    <w:rsid w:val="00801BDF"/>
    <w:rsid w:val="00802145"/>
    <w:rsid w:val="008022DE"/>
    <w:rsid w:val="00802372"/>
    <w:rsid w:val="008026E1"/>
    <w:rsid w:val="00802C58"/>
    <w:rsid w:val="008035F2"/>
    <w:rsid w:val="00803AE0"/>
    <w:rsid w:val="00803C2E"/>
    <w:rsid w:val="00803CE3"/>
    <w:rsid w:val="00804360"/>
    <w:rsid w:val="0080485F"/>
    <w:rsid w:val="008049CA"/>
    <w:rsid w:val="00804AA9"/>
    <w:rsid w:val="00805617"/>
    <w:rsid w:val="00806056"/>
    <w:rsid w:val="0080620C"/>
    <w:rsid w:val="008063C6"/>
    <w:rsid w:val="008065EE"/>
    <w:rsid w:val="00806660"/>
    <w:rsid w:val="00806A4A"/>
    <w:rsid w:val="00806A50"/>
    <w:rsid w:val="00806C43"/>
    <w:rsid w:val="00807700"/>
    <w:rsid w:val="00807C34"/>
    <w:rsid w:val="00807CE8"/>
    <w:rsid w:val="00807F33"/>
    <w:rsid w:val="008101BB"/>
    <w:rsid w:val="00810771"/>
    <w:rsid w:val="008107E7"/>
    <w:rsid w:val="00810845"/>
    <w:rsid w:val="00810D20"/>
    <w:rsid w:val="00811944"/>
    <w:rsid w:val="00811990"/>
    <w:rsid w:val="00811B3C"/>
    <w:rsid w:val="00811CC5"/>
    <w:rsid w:val="0081259F"/>
    <w:rsid w:val="0081282E"/>
    <w:rsid w:val="008128F8"/>
    <w:rsid w:val="00812DFB"/>
    <w:rsid w:val="00813107"/>
    <w:rsid w:val="00813184"/>
    <w:rsid w:val="00813191"/>
    <w:rsid w:val="008133B3"/>
    <w:rsid w:val="008134F6"/>
    <w:rsid w:val="0081353D"/>
    <w:rsid w:val="00813865"/>
    <w:rsid w:val="008139EF"/>
    <w:rsid w:val="00813B63"/>
    <w:rsid w:val="00813CB8"/>
    <w:rsid w:val="00813FDB"/>
    <w:rsid w:val="008142BB"/>
    <w:rsid w:val="008145FF"/>
    <w:rsid w:val="00814AA2"/>
    <w:rsid w:val="00814D42"/>
    <w:rsid w:val="0081502B"/>
    <w:rsid w:val="008150C6"/>
    <w:rsid w:val="008150E2"/>
    <w:rsid w:val="0081546B"/>
    <w:rsid w:val="0081577A"/>
    <w:rsid w:val="00816588"/>
    <w:rsid w:val="00816675"/>
    <w:rsid w:val="00816942"/>
    <w:rsid w:val="00816A25"/>
    <w:rsid w:val="00816B80"/>
    <w:rsid w:val="0081722E"/>
    <w:rsid w:val="0081753E"/>
    <w:rsid w:val="00817951"/>
    <w:rsid w:val="00817F63"/>
    <w:rsid w:val="0082019B"/>
    <w:rsid w:val="008201C8"/>
    <w:rsid w:val="0082021F"/>
    <w:rsid w:val="00820366"/>
    <w:rsid w:val="00820438"/>
    <w:rsid w:val="008209DB"/>
    <w:rsid w:val="00820E67"/>
    <w:rsid w:val="00820FF2"/>
    <w:rsid w:val="00821032"/>
    <w:rsid w:val="00821377"/>
    <w:rsid w:val="00821502"/>
    <w:rsid w:val="00821961"/>
    <w:rsid w:val="008219C9"/>
    <w:rsid w:val="008219DB"/>
    <w:rsid w:val="00821BB3"/>
    <w:rsid w:val="00821DA4"/>
    <w:rsid w:val="00821E82"/>
    <w:rsid w:val="00822006"/>
    <w:rsid w:val="00822146"/>
    <w:rsid w:val="0082218A"/>
    <w:rsid w:val="008221EB"/>
    <w:rsid w:val="008222D3"/>
    <w:rsid w:val="00822787"/>
    <w:rsid w:val="008228CA"/>
    <w:rsid w:val="00822BDF"/>
    <w:rsid w:val="00822C38"/>
    <w:rsid w:val="00822EA7"/>
    <w:rsid w:val="00823682"/>
    <w:rsid w:val="00823AB7"/>
    <w:rsid w:val="00823F44"/>
    <w:rsid w:val="008246D7"/>
    <w:rsid w:val="00824BBD"/>
    <w:rsid w:val="00824CBD"/>
    <w:rsid w:val="0082507C"/>
    <w:rsid w:val="008254CF"/>
    <w:rsid w:val="00825843"/>
    <w:rsid w:val="00825957"/>
    <w:rsid w:val="00825DB3"/>
    <w:rsid w:val="008261E9"/>
    <w:rsid w:val="00826240"/>
    <w:rsid w:val="00826719"/>
    <w:rsid w:val="0082683A"/>
    <w:rsid w:val="008268FC"/>
    <w:rsid w:val="00826CD1"/>
    <w:rsid w:val="00826E5B"/>
    <w:rsid w:val="0082708D"/>
    <w:rsid w:val="00827091"/>
    <w:rsid w:val="008270F1"/>
    <w:rsid w:val="008270F9"/>
    <w:rsid w:val="0082721A"/>
    <w:rsid w:val="008272BA"/>
    <w:rsid w:val="008272CC"/>
    <w:rsid w:val="00827E3B"/>
    <w:rsid w:val="008300D5"/>
    <w:rsid w:val="00830444"/>
    <w:rsid w:val="00830520"/>
    <w:rsid w:val="0083052F"/>
    <w:rsid w:val="008309A3"/>
    <w:rsid w:val="00830BE9"/>
    <w:rsid w:val="00830CC9"/>
    <w:rsid w:val="00830E1C"/>
    <w:rsid w:val="00830E4E"/>
    <w:rsid w:val="0083122E"/>
    <w:rsid w:val="008312B6"/>
    <w:rsid w:val="008314DD"/>
    <w:rsid w:val="00831941"/>
    <w:rsid w:val="00832314"/>
    <w:rsid w:val="008323A7"/>
    <w:rsid w:val="00832504"/>
    <w:rsid w:val="00832779"/>
    <w:rsid w:val="00832AF8"/>
    <w:rsid w:val="00832B9C"/>
    <w:rsid w:val="00832D61"/>
    <w:rsid w:val="00832E5D"/>
    <w:rsid w:val="00833124"/>
    <w:rsid w:val="008333DB"/>
    <w:rsid w:val="00833B36"/>
    <w:rsid w:val="00834117"/>
    <w:rsid w:val="0083430B"/>
    <w:rsid w:val="00834533"/>
    <w:rsid w:val="00834E9F"/>
    <w:rsid w:val="008356C7"/>
    <w:rsid w:val="00835730"/>
    <w:rsid w:val="00835B17"/>
    <w:rsid w:val="00835DF9"/>
    <w:rsid w:val="0083624D"/>
    <w:rsid w:val="008362CD"/>
    <w:rsid w:val="008366CE"/>
    <w:rsid w:val="008366F9"/>
    <w:rsid w:val="0083673B"/>
    <w:rsid w:val="00836E10"/>
    <w:rsid w:val="00836E68"/>
    <w:rsid w:val="008370A6"/>
    <w:rsid w:val="0083754A"/>
    <w:rsid w:val="0083792A"/>
    <w:rsid w:val="00837A88"/>
    <w:rsid w:val="00837D23"/>
    <w:rsid w:val="00837E20"/>
    <w:rsid w:val="0084018C"/>
    <w:rsid w:val="0084073A"/>
    <w:rsid w:val="00840923"/>
    <w:rsid w:val="00840A53"/>
    <w:rsid w:val="00840EB4"/>
    <w:rsid w:val="008417A4"/>
    <w:rsid w:val="008417E3"/>
    <w:rsid w:val="00841848"/>
    <w:rsid w:val="00841AD4"/>
    <w:rsid w:val="00841E3D"/>
    <w:rsid w:val="008421B6"/>
    <w:rsid w:val="0084221B"/>
    <w:rsid w:val="0084254E"/>
    <w:rsid w:val="00842CF8"/>
    <w:rsid w:val="00842CFD"/>
    <w:rsid w:val="00843062"/>
    <w:rsid w:val="008435BB"/>
    <w:rsid w:val="0084371C"/>
    <w:rsid w:val="00843A7C"/>
    <w:rsid w:val="00844164"/>
    <w:rsid w:val="0084430F"/>
    <w:rsid w:val="008443AA"/>
    <w:rsid w:val="00844497"/>
    <w:rsid w:val="0084454D"/>
    <w:rsid w:val="008445AD"/>
    <w:rsid w:val="008447AD"/>
    <w:rsid w:val="00844A28"/>
    <w:rsid w:val="00844F8E"/>
    <w:rsid w:val="008454ED"/>
    <w:rsid w:val="00845C1C"/>
    <w:rsid w:val="00845D4D"/>
    <w:rsid w:val="00845D94"/>
    <w:rsid w:val="00846833"/>
    <w:rsid w:val="00846C83"/>
    <w:rsid w:val="00846EA4"/>
    <w:rsid w:val="00846EDB"/>
    <w:rsid w:val="0084723A"/>
    <w:rsid w:val="0084735A"/>
    <w:rsid w:val="008476D0"/>
    <w:rsid w:val="008479BE"/>
    <w:rsid w:val="008479D2"/>
    <w:rsid w:val="00847C93"/>
    <w:rsid w:val="00847D90"/>
    <w:rsid w:val="00847DB9"/>
    <w:rsid w:val="00850483"/>
    <w:rsid w:val="00850593"/>
    <w:rsid w:val="0085075A"/>
    <w:rsid w:val="008507B0"/>
    <w:rsid w:val="00850889"/>
    <w:rsid w:val="00850A55"/>
    <w:rsid w:val="00850F74"/>
    <w:rsid w:val="0085107A"/>
    <w:rsid w:val="0085166B"/>
    <w:rsid w:val="00851D18"/>
    <w:rsid w:val="00852097"/>
    <w:rsid w:val="00852154"/>
    <w:rsid w:val="008521DA"/>
    <w:rsid w:val="008521EF"/>
    <w:rsid w:val="0085290F"/>
    <w:rsid w:val="00852D13"/>
    <w:rsid w:val="00852E5C"/>
    <w:rsid w:val="008533A5"/>
    <w:rsid w:val="0085341D"/>
    <w:rsid w:val="0085363F"/>
    <w:rsid w:val="00853693"/>
    <w:rsid w:val="0085396A"/>
    <w:rsid w:val="0085430E"/>
    <w:rsid w:val="0085461B"/>
    <w:rsid w:val="00854791"/>
    <w:rsid w:val="00854E8A"/>
    <w:rsid w:val="00855318"/>
    <w:rsid w:val="008554EB"/>
    <w:rsid w:val="00855694"/>
    <w:rsid w:val="008556F8"/>
    <w:rsid w:val="008559D1"/>
    <w:rsid w:val="00855CE6"/>
    <w:rsid w:val="00855D6C"/>
    <w:rsid w:val="0085638C"/>
    <w:rsid w:val="0085649C"/>
    <w:rsid w:val="008566D6"/>
    <w:rsid w:val="00856D76"/>
    <w:rsid w:val="00857689"/>
    <w:rsid w:val="00857B9B"/>
    <w:rsid w:val="00857F9F"/>
    <w:rsid w:val="008606E7"/>
    <w:rsid w:val="008608F2"/>
    <w:rsid w:val="00860C55"/>
    <w:rsid w:val="00861191"/>
    <w:rsid w:val="00861527"/>
    <w:rsid w:val="008619F6"/>
    <w:rsid w:val="00861BD7"/>
    <w:rsid w:val="00861F35"/>
    <w:rsid w:val="00862511"/>
    <w:rsid w:val="00862711"/>
    <w:rsid w:val="00862BEC"/>
    <w:rsid w:val="00862C1F"/>
    <w:rsid w:val="00862C34"/>
    <w:rsid w:val="00862D4B"/>
    <w:rsid w:val="00863227"/>
    <w:rsid w:val="0086358F"/>
    <w:rsid w:val="0086376E"/>
    <w:rsid w:val="00863B35"/>
    <w:rsid w:val="00863B5C"/>
    <w:rsid w:val="00863CA4"/>
    <w:rsid w:val="00863CC5"/>
    <w:rsid w:val="0086404A"/>
    <w:rsid w:val="0086425E"/>
    <w:rsid w:val="008644B3"/>
    <w:rsid w:val="00865094"/>
    <w:rsid w:val="008650AE"/>
    <w:rsid w:val="00865F01"/>
    <w:rsid w:val="00865F94"/>
    <w:rsid w:val="0086644E"/>
    <w:rsid w:val="00866A7E"/>
    <w:rsid w:val="00866B1A"/>
    <w:rsid w:val="00866E20"/>
    <w:rsid w:val="00866FEF"/>
    <w:rsid w:val="00867017"/>
    <w:rsid w:val="0086702A"/>
    <w:rsid w:val="00867081"/>
    <w:rsid w:val="008671C1"/>
    <w:rsid w:val="0086737A"/>
    <w:rsid w:val="00867496"/>
    <w:rsid w:val="008675AF"/>
    <w:rsid w:val="00867DB6"/>
    <w:rsid w:val="008700F6"/>
    <w:rsid w:val="008703A5"/>
    <w:rsid w:val="00870539"/>
    <w:rsid w:val="008707FB"/>
    <w:rsid w:val="00870D08"/>
    <w:rsid w:val="0087135C"/>
    <w:rsid w:val="008719AB"/>
    <w:rsid w:val="00871E43"/>
    <w:rsid w:val="00871E62"/>
    <w:rsid w:val="008722E1"/>
    <w:rsid w:val="008724F3"/>
    <w:rsid w:val="00872558"/>
    <w:rsid w:val="00872621"/>
    <w:rsid w:val="008727AD"/>
    <w:rsid w:val="00872B15"/>
    <w:rsid w:val="00872FE8"/>
    <w:rsid w:val="008730D8"/>
    <w:rsid w:val="0087317A"/>
    <w:rsid w:val="00873214"/>
    <w:rsid w:val="00873539"/>
    <w:rsid w:val="00873762"/>
    <w:rsid w:val="008737A8"/>
    <w:rsid w:val="00873F14"/>
    <w:rsid w:val="00873F54"/>
    <w:rsid w:val="00874813"/>
    <w:rsid w:val="008749D4"/>
    <w:rsid w:val="00874C7B"/>
    <w:rsid w:val="00875882"/>
    <w:rsid w:val="00875C42"/>
    <w:rsid w:val="00875CE3"/>
    <w:rsid w:val="008763FD"/>
    <w:rsid w:val="008769D0"/>
    <w:rsid w:val="00876C12"/>
    <w:rsid w:val="0087711F"/>
    <w:rsid w:val="008772D7"/>
    <w:rsid w:val="008774A6"/>
    <w:rsid w:val="00877CCB"/>
    <w:rsid w:val="00880288"/>
    <w:rsid w:val="008803A6"/>
    <w:rsid w:val="00880596"/>
    <w:rsid w:val="008805E6"/>
    <w:rsid w:val="008807E2"/>
    <w:rsid w:val="00880CD1"/>
    <w:rsid w:val="00880DD5"/>
    <w:rsid w:val="00880F15"/>
    <w:rsid w:val="008810A9"/>
    <w:rsid w:val="00881248"/>
    <w:rsid w:val="0088131F"/>
    <w:rsid w:val="0088158D"/>
    <w:rsid w:val="0088188C"/>
    <w:rsid w:val="00881C8F"/>
    <w:rsid w:val="00882081"/>
    <w:rsid w:val="0088332F"/>
    <w:rsid w:val="0088348D"/>
    <w:rsid w:val="0088373B"/>
    <w:rsid w:val="00883937"/>
    <w:rsid w:val="00883A0F"/>
    <w:rsid w:val="00883B6C"/>
    <w:rsid w:val="00883C39"/>
    <w:rsid w:val="00883CB9"/>
    <w:rsid w:val="00883CCE"/>
    <w:rsid w:val="00883D87"/>
    <w:rsid w:val="0088424A"/>
    <w:rsid w:val="008844E4"/>
    <w:rsid w:val="00884743"/>
    <w:rsid w:val="008847A4"/>
    <w:rsid w:val="0088482F"/>
    <w:rsid w:val="00884A49"/>
    <w:rsid w:val="00884D1D"/>
    <w:rsid w:val="00885B32"/>
    <w:rsid w:val="00885DD5"/>
    <w:rsid w:val="00885F55"/>
    <w:rsid w:val="00886500"/>
    <w:rsid w:val="00887038"/>
    <w:rsid w:val="00887050"/>
    <w:rsid w:val="00887225"/>
    <w:rsid w:val="00887601"/>
    <w:rsid w:val="008878E3"/>
    <w:rsid w:val="0088792B"/>
    <w:rsid w:val="00890AE3"/>
    <w:rsid w:val="00890FF8"/>
    <w:rsid w:val="008911D0"/>
    <w:rsid w:val="00891406"/>
    <w:rsid w:val="008915BC"/>
    <w:rsid w:val="008915EA"/>
    <w:rsid w:val="008922B8"/>
    <w:rsid w:val="008923DA"/>
    <w:rsid w:val="008926AA"/>
    <w:rsid w:val="00892FD2"/>
    <w:rsid w:val="008934F0"/>
    <w:rsid w:val="008934FD"/>
    <w:rsid w:val="008936E9"/>
    <w:rsid w:val="00893702"/>
    <w:rsid w:val="00893989"/>
    <w:rsid w:val="00893D19"/>
    <w:rsid w:val="00894168"/>
    <w:rsid w:val="0089481F"/>
    <w:rsid w:val="008949EB"/>
    <w:rsid w:val="00895A11"/>
    <w:rsid w:val="00895A20"/>
    <w:rsid w:val="00895F7E"/>
    <w:rsid w:val="008964E4"/>
    <w:rsid w:val="00896614"/>
    <w:rsid w:val="008969E4"/>
    <w:rsid w:val="00896ACA"/>
    <w:rsid w:val="00897195"/>
    <w:rsid w:val="00897293"/>
    <w:rsid w:val="008972F8"/>
    <w:rsid w:val="00897BF6"/>
    <w:rsid w:val="008A0145"/>
    <w:rsid w:val="008A0311"/>
    <w:rsid w:val="008A0400"/>
    <w:rsid w:val="008A057A"/>
    <w:rsid w:val="008A059D"/>
    <w:rsid w:val="008A0784"/>
    <w:rsid w:val="008A086C"/>
    <w:rsid w:val="008A09AC"/>
    <w:rsid w:val="008A0E31"/>
    <w:rsid w:val="008A0EFA"/>
    <w:rsid w:val="008A0F61"/>
    <w:rsid w:val="008A10DF"/>
    <w:rsid w:val="008A14D2"/>
    <w:rsid w:val="008A1795"/>
    <w:rsid w:val="008A17CC"/>
    <w:rsid w:val="008A183E"/>
    <w:rsid w:val="008A1AC8"/>
    <w:rsid w:val="008A1B38"/>
    <w:rsid w:val="008A1CC4"/>
    <w:rsid w:val="008A1F19"/>
    <w:rsid w:val="008A2161"/>
    <w:rsid w:val="008A27A1"/>
    <w:rsid w:val="008A27F1"/>
    <w:rsid w:val="008A28DC"/>
    <w:rsid w:val="008A2F6F"/>
    <w:rsid w:val="008A326A"/>
    <w:rsid w:val="008A346C"/>
    <w:rsid w:val="008A3531"/>
    <w:rsid w:val="008A37AA"/>
    <w:rsid w:val="008A385D"/>
    <w:rsid w:val="008A38E5"/>
    <w:rsid w:val="008A3916"/>
    <w:rsid w:val="008A3C75"/>
    <w:rsid w:val="008A3CA5"/>
    <w:rsid w:val="008A43C4"/>
    <w:rsid w:val="008A4854"/>
    <w:rsid w:val="008A4AF0"/>
    <w:rsid w:val="008A4BC2"/>
    <w:rsid w:val="008A4CAC"/>
    <w:rsid w:val="008A4D7B"/>
    <w:rsid w:val="008A5779"/>
    <w:rsid w:val="008A590E"/>
    <w:rsid w:val="008A5911"/>
    <w:rsid w:val="008A5A3E"/>
    <w:rsid w:val="008A5ABC"/>
    <w:rsid w:val="008A6641"/>
    <w:rsid w:val="008A6691"/>
    <w:rsid w:val="008A67A8"/>
    <w:rsid w:val="008A69C1"/>
    <w:rsid w:val="008A75B6"/>
    <w:rsid w:val="008A7887"/>
    <w:rsid w:val="008A79A1"/>
    <w:rsid w:val="008A7A00"/>
    <w:rsid w:val="008B03F3"/>
    <w:rsid w:val="008B0406"/>
    <w:rsid w:val="008B0CD6"/>
    <w:rsid w:val="008B0DBB"/>
    <w:rsid w:val="008B0F52"/>
    <w:rsid w:val="008B109F"/>
    <w:rsid w:val="008B10FE"/>
    <w:rsid w:val="008B1319"/>
    <w:rsid w:val="008B14A1"/>
    <w:rsid w:val="008B1561"/>
    <w:rsid w:val="008B1637"/>
    <w:rsid w:val="008B1864"/>
    <w:rsid w:val="008B1A5C"/>
    <w:rsid w:val="008B1AC9"/>
    <w:rsid w:val="008B1D6D"/>
    <w:rsid w:val="008B1D9D"/>
    <w:rsid w:val="008B2044"/>
    <w:rsid w:val="008B20BD"/>
    <w:rsid w:val="008B246B"/>
    <w:rsid w:val="008B2892"/>
    <w:rsid w:val="008B30AE"/>
    <w:rsid w:val="008B433C"/>
    <w:rsid w:val="008B446A"/>
    <w:rsid w:val="008B4478"/>
    <w:rsid w:val="008B45E2"/>
    <w:rsid w:val="008B4C3D"/>
    <w:rsid w:val="008B4E39"/>
    <w:rsid w:val="008B4F76"/>
    <w:rsid w:val="008B590E"/>
    <w:rsid w:val="008B5A79"/>
    <w:rsid w:val="008B5EC8"/>
    <w:rsid w:val="008B64F3"/>
    <w:rsid w:val="008B64F4"/>
    <w:rsid w:val="008B6949"/>
    <w:rsid w:val="008B6CB4"/>
    <w:rsid w:val="008B6D1B"/>
    <w:rsid w:val="008B6F0C"/>
    <w:rsid w:val="008B72AE"/>
    <w:rsid w:val="008B7F48"/>
    <w:rsid w:val="008C040E"/>
    <w:rsid w:val="008C1318"/>
    <w:rsid w:val="008C15BF"/>
    <w:rsid w:val="008C15F8"/>
    <w:rsid w:val="008C1793"/>
    <w:rsid w:val="008C19BD"/>
    <w:rsid w:val="008C1AEA"/>
    <w:rsid w:val="008C1C37"/>
    <w:rsid w:val="008C28EB"/>
    <w:rsid w:val="008C3142"/>
    <w:rsid w:val="008C3826"/>
    <w:rsid w:val="008C3A48"/>
    <w:rsid w:val="008C3BE9"/>
    <w:rsid w:val="008C421D"/>
    <w:rsid w:val="008C433A"/>
    <w:rsid w:val="008C46C7"/>
    <w:rsid w:val="008C4810"/>
    <w:rsid w:val="008C4C91"/>
    <w:rsid w:val="008C5409"/>
    <w:rsid w:val="008C5423"/>
    <w:rsid w:val="008C58FD"/>
    <w:rsid w:val="008C5940"/>
    <w:rsid w:val="008C5B08"/>
    <w:rsid w:val="008C5F57"/>
    <w:rsid w:val="008C5FCC"/>
    <w:rsid w:val="008C6059"/>
    <w:rsid w:val="008C61C7"/>
    <w:rsid w:val="008C6210"/>
    <w:rsid w:val="008C6642"/>
    <w:rsid w:val="008C68A7"/>
    <w:rsid w:val="008C68F2"/>
    <w:rsid w:val="008C76B1"/>
    <w:rsid w:val="008C7AC8"/>
    <w:rsid w:val="008C7C73"/>
    <w:rsid w:val="008D0572"/>
    <w:rsid w:val="008D0833"/>
    <w:rsid w:val="008D0B52"/>
    <w:rsid w:val="008D0ED0"/>
    <w:rsid w:val="008D11E0"/>
    <w:rsid w:val="008D14E0"/>
    <w:rsid w:val="008D15BD"/>
    <w:rsid w:val="008D1690"/>
    <w:rsid w:val="008D216B"/>
    <w:rsid w:val="008D24F1"/>
    <w:rsid w:val="008D25F1"/>
    <w:rsid w:val="008D305F"/>
    <w:rsid w:val="008D30A2"/>
    <w:rsid w:val="008D372E"/>
    <w:rsid w:val="008D41A5"/>
    <w:rsid w:val="008D41B3"/>
    <w:rsid w:val="008D4505"/>
    <w:rsid w:val="008D4663"/>
    <w:rsid w:val="008D466A"/>
    <w:rsid w:val="008D4923"/>
    <w:rsid w:val="008D4C0C"/>
    <w:rsid w:val="008D4E7E"/>
    <w:rsid w:val="008D4FC9"/>
    <w:rsid w:val="008D547B"/>
    <w:rsid w:val="008D59A2"/>
    <w:rsid w:val="008D5E48"/>
    <w:rsid w:val="008D5F8B"/>
    <w:rsid w:val="008D5FAD"/>
    <w:rsid w:val="008D6114"/>
    <w:rsid w:val="008D6327"/>
    <w:rsid w:val="008D6348"/>
    <w:rsid w:val="008D63D1"/>
    <w:rsid w:val="008D6F6F"/>
    <w:rsid w:val="008D78E4"/>
    <w:rsid w:val="008D7B7C"/>
    <w:rsid w:val="008E00C6"/>
    <w:rsid w:val="008E0303"/>
    <w:rsid w:val="008E04D3"/>
    <w:rsid w:val="008E060B"/>
    <w:rsid w:val="008E080E"/>
    <w:rsid w:val="008E0BBC"/>
    <w:rsid w:val="008E0FAB"/>
    <w:rsid w:val="008E12BB"/>
    <w:rsid w:val="008E1841"/>
    <w:rsid w:val="008E1EF6"/>
    <w:rsid w:val="008E1F49"/>
    <w:rsid w:val="008E2002"/>
    <w:rsid w:val="008E24BF"/>
    <w:rsid w:val="008E274F"/>
    <w:rsid w:val="008E2B74"/>
    <w:rsid w:val="008E2D5D"/>
    <w:rsid w:val="008E34C7"/>
    <w:rsid w:val="008E374E"/>
    <w:rsid w:val="008E3929"/>
    <w:rsid w:val="008E3A05"/>
    <w:rsid w:val="008E3DAF"/>
    <w:rsid w:val="008E3EAD"/>
    <w:rsid w:val="008E4069"/>
    <w:rsid w:val="008E42BD"/>
    <w:rsid w:val="008E46CB"/>
    <w:rsid w:val="008E546F"/>
    <w:rsid w:val="008E5C42"/>
    <w:rsid w:val="008E5E79"/>
    <w:rsid w:val="008E6011"/>
    <w:rsid w:val="008E62FE"/>
    <w:rsid w:val="008E6D62"/>
    <w:rsid w:val="008E75D8"/>
    <w:rsid w:val="008E7776"/>
    <w:rsid w:val="008E786E"/>
    <w:rsid w:val="008E787D"/>
    <w:rsid w:val="008E7C00"/>
    <w:rsid w:val="008E7CAD"/>
    <w:rsid w:val="008F0308"/>
    <w:rsid w:val="008F0556"/>
    <w:rsid w:val="008F0B1F"/>
    <w:rsid w:val="008F0F40"/>
    <w:rsid w:val="008F13B9"/>
    <w:rsid w:val="008F1ECC"/>
    <w:rsid w:val="008F2058"/>
    <w:rsid w:val="008F2242"/>
    <w:rsid w:val="008F29C0"/>
    <w:rsid w:val="008F2BD0"/>
    <w:rsid w:val="008F2CFE"/>
    <w:rsid w:val="008F2EA3"/>
    <w:rsid w:val="008F31C5"/>
    <w:rsid w:val="008F346E"/>
    <w:rsid w:val="008F34EC"/>
    <w:rsid w:val="008F387B"/>
    <w:rsid w:val="008F3969"/>
    <w:rsid w:val="008F3A38"/>
    <w:rsid w:val="008F3DB9"/>
    <w:rsid w:val="008F4463"/>
    <w:rsid w:val="008F4C4F"/>
    <w:rsid w:val="008F4CC5"/>
    <w:rsid w:val="008F5305"/>
    <w:rsid w:val="008F5A33"/>
    <w:rsid w:val="008F5F4D"/>
    <w:rsid w:val="008F6233"/>
    <w:rsid w:val="008F64B2"/>
    <w:rsid w:val="008F64F0"/>
    <w:rsid w:val="008F65A6"/>
    <w:rsid w:val="008F667D"/>
    <w:rsid w:val="008F6B89"/>
    <w:rsid w:val="008F6DB7"/>
    <w:rsid w:val="008F6DE0"/>
    <w:rsid w:val="008F751C"/>
    <w:rsid w:val="008F758F"/>
    <w:rsid w:val="008F7798"/>
    <w:rsid w:val="008F7811"/>
    <w:rsid w:val="008F7F0E"/>
    <w:rsid w:val="00900278"/>
    <w:rsid w:val="009004A3"/>
    <w:rsid w:val="0090052A"/>
    <w:rsid w:val="00900C15"/>
    <w:rsid w:val="00900FC7"/>
    <w:rsid w:val="00901263"/>
    <w:rsid w:val="0090159D"/>
    <w:rsid w:val="009015B6"/>
    <w:rsid w:val="009018A5"/>
    <w:rsid w:val="009019EF"/>
    <w:rsid w:val="00901B8A"/>
    <w:rsid w:val="00901CA1"/>
    <w:rsid w:val="00901CB5"/>
    <w:rsid w:val="00902054"/>
    <w:rsid w:val="00902512"/>
    <w:rsid w:val="00902989"/>
    <w:rsid w:val="00902BA5"/>
    <w:rsid w:val="00902CDA"/>
    <w:rsid w:val="00902EB8"/>
    <w:rsid w:val="0090314D"/>
    <w:rsid w:val="009037C5"/>
    <w:rsid w:val="009037E6"/>
    <w:rsid w:val="00903875"/>
    <w:rsid w:val="00903902"/>
    <w:rsid w:val="00903F05"/>
    <w:rsid w:val="00903F6E"/>
    <w:rsid w:val="009042CF"/>
    <w:rsid w:val="009043DC"/>
    <w:rsid w:val="00904947"/>
    <w:rsid w:val="00904BE6"/>
    <w:rsid w:val="00904EE5"/>
    <w:rsid w:val="009051A8"/>
    <w:rsid w:val="00905978"/>
    <w:rsid w:val="00905F46"/>
    <w:rsid w:val="00906032"/>
    <w:rsid w:val="009060D7"/>
    <w:rsid w:val="0090648F"/>
    <w:rsid w:val="0090696A"/>
    <w:rsid w:val="00906AA9"/>
    <w:rsid w:val="00906FC7"/>
    <w:rsid w:val="00907491"/>
    <w:rsid w:val="00907572"/>
    <w:rsid w:val="009075C3"/>
    <w:rsid w:val="009079C2"/>
    <w:rsid w:val="00910792"/>
    <w:rsid w:val="00910852"/>
    <w:rsid w:val="00910D2A"/>
    <w:rsid w:val="0091117B"/>
    <w:rsid w:val="00911182"/>
    <w:rsid w:val="00911358"/>
    <w:rsid w:val="0091149D"/>
    <w:rsid w:val="0091161F"/>
    <w:rsid w:val="0091198F"/>
    <w:rsid w:val="00911C27"/>
    <w:rsid w:val="00911DB4"/>
    <w:rsid w:val="009120C4"/>
    <w:rsid w:val="00912530"/>
    <w:rsid w:val="00912545"/>
    <w:rsid w:val="009125DB"/>
    <w:rsid w:val="00912757"/>
    <w:rsid w:val="009133DD"/>
    <w:rsid w:val="0091377B"/>
    <w:rsid w:val="00913D51"/>
    <w:rsid w:val="00913DE1"/>
    <w:rsid w:val="00914941"/>
    <w:rsid w:val="009150AE"/>
    <w:rsid w:val="00915543"/>
    <w:rsid w:val="00915613"/>
    <w:rsid w:val="00915680"/>
    <w:rsid w:val="00915898"/>
    <w:rsid w:val="009159C8"/>
    <w:rsid w:val="00915A7A"/>
    <w:rsid w:val="00915E45"/>
    <w:rsid w:val="00916328"/>
    <w:rsid w:val="0091679F"/>
    <w:rsid w:val="00916D1A"/>
    <w:rsid w:val="00916F34"/>
    <w:rsid w:val="00916F75"/>
    <w:rsid w:val="00917049"/>
    <w:rsid w:val="0091708F"/>
    <w:rsid w:val="009170A4"/>
    <w:rsid w:val="00917135"/>
    <w:rsid w:val="009172A9"/>
    <w:rsid w:val="00917348"/>
    <w:rsid w:val="0091777B"/>
    <w:rsid w:val="0091780C"/>
    <w:rsid w:val="00917BC1"/>
    <w:rsid w:val="00917C71"/>
    <w:rsid w:val="00917C74"/>
    <w:rsid w:val="00917CAF"/>
    <w:rsid w:val="0092009A"/>
    <w:rsid w:val="009202DC"/>
    <w:rsid w:val="0092039F"/>
    <w:rsid w:val="009204B6"/>
    <w:rsid w:val="00920C9C"/>
    <w:rsid w:val="00920D2A"/>
    <w:rsid w:val="0092128E"/>
    <w:rsid w:val="009215C5"/>
    <w:rsid w:val="0092189F"/>
    <w:rsid w:val="00922375"/>
    <w:rsid w:val="0092238F"/>
    <w:rsid w:val="00922996"/>
    <w:rsid w:val="00922A95"/>
    <w:rsid w:val="00922CD2"/>
    <w:rsid w:val="009231AD"/>
    <w:rsid w:val="0092342C"/>
    <w:rsid w:val="00923442"/>
    <w:rsid w:val="00923866"/>
    <w:rsid w:val="009238AF"/>
    <w:rsid w:val="0092393E"/>
    <w:rsid w:val="00923A46"/>
    <w:rsid w:val="00923B98"/>
    <w:rsid w:val="00923BF2"/>
    <w:rsid w:val="0092459D"/>
    <w:rsid w:val="0092465B"/>
    <w:rsid w:val="00924944"/>
    <w:rsid w:val="00924C1A"/>
    <w:rsid w:val="009255EC"/>
    <w:rsid w:val="00925879"/>
    <w:rsid w:val="00925F55"/>
    <w:rsid w:val="009260B0"/>
    <w:rsid w:val="009261EA"/>
    <w:rsid w:val="00926767"/>
    <w:rsid w:val="00926954"/>
    <w:rsid w:val="0092696D"/>
    <w:rsid w:val="00926D04"/>
    <w:rsid w:val="00926FD4"/>
    <w:rsid w:val="009272B3"/>
    <w:rsid w:val="00927582"/>
    <w:rsid w:val="009278C2"/>
    <w:rsid w:val="009279A9"/>
    <w:rsid w:val="00927B8E"/>
    <w:rsid w:val="00927C19"/>
    <w:rsid w:val="00927FE1"/>
    <w:rsid w:val="0093029A"/>
    <w:rsid w:val="009302EA"/>
    <w:rsid w:val="00930379"/>
    <w:rsid w:val="009309BB"/>
    <w:rsid w:val="009309E4"/>
    <w:rsid w:val="00930BE8"/>
    <w:rsid w:val="00930CEE"/>
    <w:rsid w:val="009310A7"/>
    <w:rsid w:val="00931152"/>
    <w:rsid w:val="00931230"/>
    <w:rsid w:val="00931383"/>
    <w:rsid w:val="009321C7"/>
    <w:rsid w:val="00932521"/>
    <w:rsid w:val="009325C9"/>
    <w:rsid w:val="00932A06"/>
    <w:rsid w:val="00932A58"/>
    <w:rsid w:val="00932B1E"/>
    <w:rsid w:val="00932E97"/>
    <w:rsid w:val="00933157"/>
    <w:rsid w:val="0093341F"/>
    <w:rsid w:val="009338D7"/>
    <w:rsid w:val="00933C0B"/>
    <w:rsid w:val="009341A4"/>
    <w:rsid w:val="009342A3"/>
    <w:rsid w:val="00934366"/>
    <w:rsid w:val="00934F68"/>
    <w:rsid w:val="00935274"/>
    <w:rsid w:val="009359BB"/>
    <w:rsid w:val="00935C2A"/>
    <w:rsid w:val="00935DE9"/>
    <w:rsid w:val="00936399"/>
    <w:rsid w:val="00936CB3"/>
    <w:rsid w:val="00936D8D"/>
    <w:rsid w:val="009374D9"/>
    <w:rsid w:val="00937DC5"/>
    <w:rsid w:val="00937F0F"/>
    <w:rsid w:val="0094007A"/>
    <w:rsid w:val="009403BE"/>
    <w:rsid w:val="009406DF"/>
    <w:rsid w:val="00940E78"/>
    <w:rsid w:val="00941138"/>
    <w:rsid w:val="00941377"/>
    <w:rsid w:val="0094191E"/>
    <w:rsid w:val="00941A71"/>
    <w:rsid w:val="00941D19"/>
    <w:rsid w:val="00942389"/>
    <w:rsid w:val="0094258D"/>
    <w:rsid w:val="00942998"/>
    <w:rsid w:val="00942D3D"/>
    <w:rsid w:val="00943352"/>
    <w:rsid w:val="0094336C"/>
    <w:rsid w:val="00943F16"/>
    <w:rsid w:val="00944055"/>
    <w:rsid w:val="009440C8"/>
    <w:rsid w:val="009444F1"/>
    <w:rsid w:val="00944684"/>
    <w:rsid w:val="009447EB"/>
    <w:rsid w:val="00945115"/>
    <w:rsid w:val="00945120"/>
    <w:rsid w:val="009452F0"/>
    <w:rsid w:val="00945326"/>
    <w:rsid w:val="00945469"/>
    <w:rsid w:val="00945543"/>
    <w:rsid w:val="009459A7"/>
    <w:rsid w:val="00945A42"/>
    <w:rsid w:val="00946138"/>
    <w:rsid w:val="00946175"/>
    <w:rsid w:val="00946234"/>
    <w:rsid w:val="009462B1"/>
    <w:rsid w:val="009463A2"/>
    <w:rsid w:val="009465A0"/>
    <w:rsid w:val="009466FD"/>
    <w:rsid w:val="009468CD"/>
    <w:rsid w:val="00946EE5"/>
    <w:rsid w:val="00947321"/>
    <w:rsid w:val="00947A2A"/>
    <w:rsid w:val="00947A88"/>
    <w:rsid w:val="00950137"/>
    <w:rsid w:val="009508B7"/>
    <w:rsid w:val="0095093F"/>
    <w:rsid w:val="00950BC6"/>
    <w:rsid w:val="00950C32"/>
    <w:rsid w:val="00950C68"/>
    <w:rsid w:val="009511D3"/>
    <w:rsid w:val="0095149B"/>
    <w:rsid w:val="00951728"/>
    <w:rsid w:val="0095211F"/>
    <w:rsid w:val="00952273"/>
    <w:rsid w:val="0095298B"/>
    <w:rsid w:val="00952D70"/>
    <w:rsid w:val="00952D8E"/>
    <w:rsid w:val="00953016"/>
    <w:rsid w:val="009532D8"/>
    <w:rsid w:val="00953974"/>
    <w:rsid w:val="00953F4B"/>
    <w:rsid w:val="00953FC2"/>
    <w:rsid w:val="00954230"/>
    <w:rsid w:val="00954BF1"/>
    <w:rsid w:val="00954EB1"/>
    <w:rsid w:val="00955174"/>
    <w:rsid w:val="009551B8"/>
    <w:rsid w:val="00955297"/>
    <w:rsid w:val="00955404"/>
    <w:rsid w:val="0095575B"/>
    <w:rsid w:val="00955824"/>
    <w:rsid w:val="00955A03"/>
    <w:rsid w:val="00955D3F"/>
    <w:rsid w:val="00955DDB"/>
    <w:rsid w:val="0095627D"/>
    <w:rsid w:val="00956347"/>
    <w:rsid w:val="009563EA"/>
    <w:rsid w:val="00956480"/>
    <w:rsid w:val="0095662F"/>
    <w:rsid w:val="0095690B"/>
    <w:rsid w:val="00956919"/>
    <w:rsid w:val="00956B1C"/>
    <w:rsid w:val="00956C39"/>
    <w:rsid w:val="00956D20"/>
    <w:rsid w:val="00957570"/>
    <w:rsid w:val="009579EB"/>
    <w:rsid w:val="00957A86"/>
    <w:rsid w:val="00957BC0"/>
    <w:rsid w:val="00957FD7"/>
    <w:rsid w:val="00960117"/>
    <w:rsid w:val="0096025E"/>
    <w:rsid w:val="009605E2"/>
    <w:rsid w:val="00960746"/>
    <w:rsid w:val="00960865"/>
    <w:rsid w:val="009608E5"/>
    <w:rsid w:val="0096098C"/>
    <w:rsid w:val="0096130E"/>
    <w:rsid w:val="009614A1"/>
    <w:rsid w:val="009614FD"/>
    <w:rsid w:val="00961B94"/>
    <w:rsid w:val="00961C47"/>
    <w:rsid w:val="00962053"/>
    <w:rsid w:val="00962334"/>
    <w:rsid w:val="00962375"/>
    <w:rsid w:val="0096262F"/>
    <w:rsid w:val="00962A5C"/>
    <w:rsid w:val="00962F6A"/>
    <w:rsid w:val="0096310D"/>
    <w:rsid w:val="00963176"/>
    <w:rsid w:val="00963993"/>
    <w:rsid w:val="00963FC2"/>
    <w:rsid w:val="0096453B"/>
    <w:rsid w:val="009646FA"/>
    <w:rsid w:val="00964918"/>
    <w:rsid w:val="00964A08"/>
    <w:rsid w:val="00964A85"/>
    <w:rsid w:val="00964C4B"/>
    <w:rsid w:val="00965194"/>
    <w:rsid w:val="009656FC"/>
    <w:rsid w:val="00965A51"/>
    <w:rsid w:val="00965AA0"/>
    <w:rsid w:val="00965EE5"/>
    <w:rsid w:val="00966092"/>
    <w:rsid w:val="009662C2"/>
    <w:rsid w:val="009664CF"/>
    <w:rsid w:val="0096661E"/>
    <w:rsid w:val="0096689D"/>
    <w:rsid w:val="009669C3"/>
    <w:rsid w:val="009669C8"/>
    <w:rsid w:val="00966F90"/>
    <w:rsid w:val="00967281"/>
    <w:rsid w:val="00967459"/>
    <w:rsid w:val="009674EE"/>
    <w:rsid w:val="00970253"/>
    <w:rsid w:val="00970CB1"/>
    <w:rsid w:val="00970D50"/>
    <w:rsid w:val="00970DF2"/>
    <w:rsid w:val="00971235"/>
    <w:rsid w:val="00971F6D"/>
    <w:rsid w:val="00971FC4"/>
    <w:rsid w:val="0097264B"/>
    <w:rsid w:val="00972E22"/>
    <w:rsid w:val="00973073"/>
    <w:rsid w:val="009730B4"/>
    <w:rsid w:val="00973265"/>
    <w:rsid w:val="00973276"/>
    <w:rsid w:val="009736EB"/>
    <w:rsid w:val="00973715"/>
    <w:rsid w:val="0097391F"/>
    <w:rsid w:val="00973B15"/>
    <w:rsid w:val="00974449"/>
    <w:rsid w:val="009744F1"/>
    <w:rsid w:val="00974559"/>
    <w:rsid w:val="009745D3"/>
    <w:rsid w:val="00974EA7"/>
    <w:rsid w:val="00975105"/>
    <w:rsid w:val="00975136"/>
    <w:rsid w:val="0097513B"/>
    <w:rsid w:val="009757ED"/>
    <w:rsid w:val="00975A03"/>
    <w:rsid w:val="00975EEA"/>
    <w:rsid w:val="00976368"/>
    <w:rsid w:val="00976447"/>
    <w:rsid w:val="0097684F"/>
    <w:rsid w:val="00976BA3"/>
    <w:rsid w:val="009773A3"/>
    <w:rsid w:val="009778B6"/>
    <w:rsid w:val="00977AB5"/>
    <w:rsid w:val="00977CE4"/>
    <w:rsid w:val="00977DEF"/>
    <w:rsid w:val="00977EC4"/>
    <w:rsid w:val="00977EE9"/>
    <w:rsid w:val="009800AE"/>
    <w:rsid w:val="009801A2"/>
    <w:rsid w:val="009801ED"/>
    <w:rsid w:val="00980342"/>
    <w:rsid w:val="009803B1"/>
    <w:rsid w:val="00980ECD"/>
    <w:rsid w:val="009813E2"/>
    <w:rsid w:val="00981592"/>
    <w:rsid w:val="00981B5F"/>
    <w:rsid w:val="0098200B"/>
    <w:rsid w:val="009823A5"/>
    <w:rsid w:val="009825CC"/>
    <w:rsid w:val="00982A09"/>
    <w:rsid w:val="0098323E"/>
    <w:rsid w:val="0098337F"/>
    <w:rsid w:val="0098372F"/>
    <w:rsid w:val="009837EB"/>
    <w:rsid w:val="00983945"/>
    <w:rsid w:val="00983B79"/>
    <w:rsid w:val="00983F18"/>
    <w:rsid w:val="00984030"/>
    <w:rsid w:val="00984181"/>
    <w:rsid w:val="009842D0"/>
    <w:rsid w:val="00984776"/>
    <w:rsid w:val="00984C34"/>
    <w:rsid w:val="00985113"/>
    <w:rsid w:val="009852CE"/>
    <w:rsid w:val="009855A8"/>
    <w:rsid w:val="009857EA"/>
    <w:rsid w:val="0098581A"/>
    <w:rsid w:val="00985A3B"/>
    <w:rsid w:val="00985B81"/>
    <w:rsid w:val="0098649E"/>
    <w:rsid w:val="00986626"/>
    <w:rsid w:val="00986743"/>
    <w:rsid w:val="00986EF7"/>
    <w:rsid w:val="009875A2"/>
    <w:rsid w:val="009875D5"/>
    <w:rsid w:val="00990156"/>
    <w:rsid w:val="00990160"/>
    <w:rsid w:val="0099062C"/>
    <w:rsid w:val="009907C1"/>
    <w:rsid w:val="0099081C"/>
    <w:rsid w:val="00990CE0"/>
    <w:rsid w:val="009910D1"/>
    <w:rsid w:val="00991334"/>
    <w:rsid w:val="009915E4"/>
    <w:rsid w:val="00991688"/>
    <w:rsid w:val="00991C6B"/>
    <w:rsid w:val="00991C9A"/>
    <w:rsid w:val="00992269"/>
    <w:rsid w:val="00992683"/>
    <w:rsid w:val="00992825"/>
    <w:rsid w:val="0099294D"/>
    <w:rsid w:val="00992EDE"/>
    <w:rsid w:val="00993DB4"/>
    <w:rsid w:val="00994228"/>
    <w:rsid w:val="00994343"/>
    <w:rsid w:val="0099435F"/>
    <w:rsid w:val="009946BE"/>
    <w:rsid w:val="00994CA8"/>
    <w:rsid w:val="00994ECF"/>
    <w:rsid w:val="00994F14"/>
    <w:rsid w:val="00994FC6"/>
    <w:rsid w:val="00995029"/>
    <w:rsid w:val="00995239"/>
    <w:rsid w:val="00995501"/>
    <w:rsid w:val="00995CBA"/>
    <w:rsid w:val="00995FDA"/>
    <w:rsid w:val="00996275"/>
    <w:rsid w:val="00996717"/>
    <w:rsid w:val="00996753"/>
    <w:rsid w:val="00996780"/>
    <w:rsid w:val="00996D2E"/>
    <w:rsid w:val="00996F7E"/>
    <w:rsid w:val="00997777"/>
    <w:rsid w:val="009977A1"/>
    <w:rsid w:val="00997BBA"/>
    <w:rsid w:val="00997EB6"/>
    <w:rsid w:val="00997FA6"/>
    <w:rsid w:val="009A07B7"/>
    <w:rsid w:val="009A0F8A"/>
    <w:rsid w:val="009A1462"/>
    <w:rsid w:val="009A17F4"/>
    <w:rsid w:val="009A1CC8"/>
    <w:rsid w:val="009A1D79"/>
    <w:rsid w:val="009A2256"/>
    <w:rsid w:val="009A2513"/>
    <w:rsid w:val="009A2551"/>
    <w:rsid w:val="009A328A"/>
    <w:rsid w:val="009A33C5"/>
    <w:rsid w:val="009A3491"/>
    <w:rsid w:val="009A36A3"/>
    <w:rsid w:val="009A3DED"/>
    <w:rsid w:val="009A40B9"/>
    <w:rsid w:val="009A4229"/>
    <w:rsid w:val="009A42D9"/>
    <w:rsid w:val="009A450C"/>
    <w:rsid w:val="009A4C9A"/>
    <w:rsid w:val="009A4FEF"/>
    <w:rsid w:val="009A501D"/>
    <w:rsid w:val="009A50B4"/>
    <w:rsid w:val="009A511D"/>
    <w:rsid w:val="009A513C"/>
    <w:rsid w:val="009A6031"/>
    <w:rsid w:val="009A60B0"/>
    <w:rsid w:val="009A630B"/>
    <w:rsid w:val="009A67DC"/>
    <w:rsid w:val="009A695D"/>
    <w:rsid w:val="009A6A09"/>
    <w:rsid w:val="009A6D25"/>
    <w:rsid w:val="009A7115"/>
    <w:rsid w:val="009A714C"/>
    <w:rsid w:val="009A742F"/>
    <w:rsid w:val="009A74A4"/>
    <w:rsid w:val="009A74C8"/>
    <w:rsid w:val="009A7849"/>
    <w:rsid w:val="009A7AB2"/>
    <w:rsid w:val="009A7B53"/>
    <w:rsid w:val="009A7B81"/>
    <w:rsid w:val="009A7C01"/>
    <w:rsid w:val="009A7C3B"/>
    <w:rsid w:val="009A7F33"/>
    <w:rsid w:val="009B06CF"/>
    <w:rsid w:val="009B157F"/>
    <w:rsid w:val="009B1984"/>
    <w:rsid w:val="009B1F4A"/>
    <w:rsid w:val="009B200D"/>
    <w:rsid w:val="009B206B"/>
    <w:rsid w:val="009B217A"/>
    <w:rsid w:val="009B21D6"/>
    <w:rsid w:val="009B22DB"/>
    <w:rsid w:val="009B250B"/>
    <w:rsid w:val="009B27BB"/>
    <w:rsid w:val="009B2859"/>
    <w:rsid w:val="009B2C21"/>
    <w:rsid w:val="009B30D9"/>
    <w:rsid w:val="009B3129"/>
    <w:rsid w:val="009B315A"/>
    <w:rsid w:val="009B32DF"/>
    <w:rsid w:val="009B3359"/>
    <w:rsid w:val="009B353C"/>
    <w:rsid w:val="009B3920"/>
    <w:rsid w:val="009B3A15"/>
    <w:rsid w:val="009B3A86"/>
    <w:rsid w:val="009B41DF"/>
    <w:rsid w:val="009B4328"/>
    <w:rsid w:val="009B4730"/>
    <w:rsid w:val="009B4AF3"/>
    <w:rsid w:val="009B4CEA"/>
    <w:rsid w:val="009B4DAB"/>
    <w:rsid w:val="009B4F4F"/>
    <w:rsid w:val="009B506A"/>
    <w:rsid w:val="009B50D6"/>
    <w:rsid w:val="009B5180"/>
    <w:rsid w:val="009B520A"/>
    <w:rsid w:val="009B5767"/>
    <w:rsid w:val="009B594F"/>
    <w:rsid w:val="009B59F3"/>
    <w:rsid w:val="009B5FA6"/>
    <w:rsid w:val="009B60DC"/>
    <w:rsid w:val="009B6491"/>
    <w:rsid w:val="009B6A06"/>
    <w:rsid w:val="009B6A77"/>
    <w:rsid w:val="009B6CFC"/>
    <w:rsid w:val="009B6E22"/>
    <w:rsid w:val="009B7B5A"/>
    <w:rsid w:val="009C0051"/>
    <w:rsid w:val="009C023D"/>
    <w:rsid w:val="009C0256"/>
    <w:rsid w:val="009C040E"/>
    <w:rsid w:val="009C0AF8"/>
    <w:rsid w:val="009C0B2B"/>
    <w:rsid w:val="009C0C5C"/>
    <w:rsid w:val="009C0D33"/>
    <w:rsid w:val="009C107A"/>
    <w:rsid w:val="009C1644"/>
    <w:rsid w:val="009C1A65"/>
    <w:rsid w:val="009C1A6D"/>
    <w:rsid w:val="009C1C20"/>
    <w:rsid w:val="009C1EED"/>
    <w:rsid w:val="009C2139"/>
    <w:rsid w:val="009C21AD"/>
    <w:rsid w:val="009C2221"/>
    <w:rsid w:val="009C2569"/>
    <w:rsid w:val="009C266C"/>
    <w:rsid w:val="009C2DCB"/>
    <w:rsid w:val="009C2F50"/>
    <w:rsid w:val="009C30F0"/>
    <w:rsid w:val="009C3452"/>
    <w:rsid w:val="009C3F8D"/>
    <w:rsid w:val="009C42EA"/>
    <w:rsid w:val="009C44EA"/>
    <w:rsid w:val="009C4676"/>
    <w:rsid w:val="009C4793"/>
    <w:rsid w:val="009C48B2"/>
    <w:rsid w:val="009C4A37"/>
    <w:rsid w:val="009C505C"/>
    <w:rsid w:val="009C5202"/>
    <w:rsid w:val="009C5280"/>
    <w:rsid w:val="009C560A"/>
    <w:rsid w:val="009C59D1"/>
    <w:rsid w:val="009C5BF5"/>
    <w:rsid w:val="009C5F91"/>
    <w:rsid w:val="009C640F"/>
    <w:rsid w:val="009C652C"/>
    <w:rsid w:val="009C6B5E"/>
    <w:rsid w:val="009C6E6D"/>
    <w:rsid w:val="009C7200"/>
    <w:rsid w:val="009C7433"/>
    <w:rsid w:val="009C7A27"/>
    <w:rsid w:val="009C7DBB"/>
    <w:rsid w:val="009D0161"/>
    <w:rsid w:val="009D02D7"/>
    <w:rsid w:val="009D0374"/>
    <w:rsid w:val="009D039E"/>
    <w:rsid w:val="009D0AAE"/>
    <w:rsid w:val="009D1104"/>
    <w:rsid w:val="009D18B7"/>
    <w:rsid w:val="009D1B97"/>
    <w:rsid w:val="009D1E2B"/>
    <w:rsid w:val="009D203B"/>
    <w:rsid w:val="009D23BA"/>
    <w:rsid w:val="009D2615"/>
    <w:rsid w:val="009D2984"/>
    <w:rsid w:val="009D2C13"/>
    <w:rsid w:val="009D2D2A"/>
    <w:rsid w:val="009D2F9A"/>
    <w:rsid w:val="009D303E"/>
    <w:rsid w:val="009D32DC"/>
    <w:rsid w:val="009D345E"/>
    <w:rsid w:val="009D35A6"/>
    <w:rsid w:val="009D3804"/>
    <w:rsid w:val="009D3821"/>
    <w:rsid w:val="009D3911"/>
    <w:rsid w:val="009D3A48"/>
    <w:rsid w:val="009D3CF3"/>
    <w:rsid w:val="009D3D05"/>
    <w:rsid w:val="009D4199"/>
    <w:rsid w:val="009D4614"/>
    <w:rsid w:val="009D4B33"/>
    <w:rsid w:val="009D4C09"/>
    <w:rsid w:val="009D4D3B"/>
    <w:rsid w:val="009D4F0F"/>
    <w:rsid w:val="009D4F27"/>
    <w:rsid w:val="009D4FAC"/>
    <w:rsid w:val="009D5165"/>
    <w:rsid w:val="009D557E"/>
    <w:rsid w:val="009D604A"/>
    <w:rsid w:val="009D60AF"/>
    <w:rsid w:val="009D62A2"/>
    <w:rsid w:val="009D642F"/>
    <w:rsid w:val="009D649B"/>
    <w:rsid w:val="009D67D3"/>
    <w:rsid w:val="009D6C00"/>
    <w:rsid w:val="009D6D1F"/>
    <w:rsid w:val="009D6F6A"/>
    <w:rsid w:val="009D71FF"/>
    <w:rsid w:val="009D7412"/>
    <w:rsid w:val="009D7511"/>
    <w:rsid w:val="009D75DE"/>
    <w:rsid w:val="009D7886"/>
    <w:rsid w:val="009D7AAA"/>
    <w:rsid w:val="009D7B8A"/>
    <w:rsid w:val="009E0366"/>
    <w:rsid w:val="009E14FE"/>
    <w:rsid w:val="009E1855"/>
    <w:rsid w:val="009E1F0D"/>
    <w:rsid w:val="009E26E3"/>
    <w:rsid w:val="009E2A0C"/>
    <w:rsid w:val="009E2CC9"/>
    <w:rsid w:val="009E344A"/>
    <w:rsid w:val="009E388E"/>
    <w:rsid w:val="009E39AC"/>
    <w:rsid w:val="009E3A27"/>
    <w:rsid w:val="009E3DA4"/>
    <w:rsid w:val="009E415B"/>
    <w:rsid w:val="009E41C0"/>
    <w:rsid w:val="009E44A7"/>
    <w:rsid w:val="009E4887"/>
    <w:rsid w:val="009E5258"/>
    <w:rsid w:val="009E55F5"/>
    <w:rsid w:val="009E578F"/>
    <w:rsid w:val="009E59F3"/>
    <w:rsid w:val="009E5AA4"/>
    <w:rsid w:val="009E5B76"/>
    <w:rsid w:val="009E5C33"/>
    <w:rsid w:val="009E5FB8"/>
    <w:rsid w:val="009E632C"/>
    <w:rsid w:val="009E638E"/>
    <w:rsid w:val="009E6532"/>
    <w:rsid w:val="009E661E"/>
    <w:rsid w:val="009E6764"/>
    <w:rsid w:val="009E683E"/>
    <w:rsid w:val="009E7290"/>
    <w:rsid w:val="009E7761"/>
    <w:rsid w:val="009E779F"/>
    <w:rsid w:val="009E79D5"/>
    <w:rsid w:val="009E7BA1"/>
    <w:rsid w:val="009E7BBF"/>
    <w:rsid w:val="009E7BF2"/>
    <w:rsid w:val="009F092B"/>
    <w:rsid w:val="009F1132"/>
    <w:rsid w:val="009F1263"/>
    <w:rsid w:val="009F1316"/>
    <w:rsid w:val="009F1938"/>
    <w:rsid w:val="009F1D21"/>
    <w:rsid w:val="009F205D"/>
    <w:rsid w:val="009F2070"/>
    <w:rsid w:val="009F2266"/>
    <w:rsid w:val="009F26EA"/>
    <w:rsid w:val="009F2A85"/>
    <w:rsid w:val="009F2CED"/>
    <w:rsid w:val="009F3663"/>
    <w:rsid w:val="009F39B2"/>
    <w:rsid w:val="009F39B3"/>
    <w:rsid w:val="009F3A9C"/>
    <w:rsid w:val="009F3AB1"/>
    <w:rsid w:val="009F3C78"/>
    <w:rsid w:val="009F3D64"/>
    <w:rsid w:val="009F3DA8"/>
    <w:rsid w:val="009F3EBF"/>
    <w:rsid w:val="009F3EDA"/>
    <w:rsid w:val="009F40F1"/>
    <w:rsid w:val="009F434A"/>
    <w:rsid w:val="009F451A"/>
    <w:rsid w:val="009F4647"/>
    <w:rsid w:val="009F4CB3"/>
    <w:rsid w:val="009F52A3"/>
    <w:rsid w:val="009F53C9"/>
    <w:rsid w:val="009F5644"/>
    <w:rsid w:val="009F589F"/>
    <w:rsid w:val="009F5FE6"/>
    <w:rsid w:val="009F6371"/>
    <w:rsid w:val="009F6519"/>
    <w:rsid w:val="009F6829"/>
    <w:rsid w:val="009F6EE5"/>
    <w:rsid w:val="009F7476"/>
    <w:rsid w:val="009F79A3"/>
    <w:rsid w:val="009F7F0A"/>
    <w:rsid w:val="00A00294"/>
    <w:rsid w:val="00A0058F"/>
    <w:rsid w:val="00A00858"/>
    <w:rsid w:val="00A008FB"/>
    <w:rsid w:val="00A00A49"/>
    <w:rsid w:val="00A0106C"/>
    <w:rsid w:val="00A012C8"/>
    <w:rsid w:val="00A016FE"/>
    <w:rsid w:val="00A01930"/>
    <w:rsid w:val="00A01934"/>
    <w:rsid w:val="00A01C69"/>
    <w:rsid w:val="00A01D9A"/>
    <w:rsid w:val="00A024AC"/>
    <w:rsid w:val="00A0251F"/>
    <w:rsid w:val="00A02EC7"/>
    <w:rsid w:val="00A03119"/>
    <w:rsid w:val="00A03BDF"/>
    <w:rsid w:val="00A04113"/>
    <w:rsid w:val="00A044A1"/>
    <w:rsid w:val="00A048DF"/>
    <w:rsid w:val="00A048FB"/>
    <w:rsid w:val="00A05143"/>
    <w:rsid w:val="00A05240"/>
    <w:rsid w:val="00A0532F"/>
    <w:rsid w:val="00A055AA"/>
    <w:rsid w:val="00A05744"/>
    <w:rsid w:val="00A05C17"/>
    <w:rsid w:val="00A05C19"/>
    <w:rsid w:val="00A05DCB"/>
    <w:rsid w:val="00A05E78"/>
    <w:rsid w:val="00A0602E"/>
    <w:rsid w:val="00A060CE"/>
    <w:rsid w:val="00A061FB"/>
    <w:rsid w:val="00A06363"/>
    <w:rsid w:val="00A0673D"/>
    <w:rsid w:val="00A0695B"/>
    <w:rsid w:val="00A06D8C"/>
    <w:rsid w:val="00A06DBC"/>
    <w:rsid w:val="00A06F08"/>
    <w:rsid w:val="00A072B8"/>
    <w:rsid w:val="00A07531"/>
    <w:rsid w:val="00A0773E"/>
    <w:rsid w:val="00A0779E"/>
    <w:rsid w:val="00A07867"/>
    <w:rsid w:val="00A07A12"/>
    <w:rsid w:val="00A07E33"/>
    <w:rsid w:val="00A10278"/>
    <w:rsid w:val="00A10457"/>
    <w:rsid w:val="00A1107D"/>
    <w:rsid w:val="00A11978"/>
    <w:rsid w:val="00A11FFD"/>
    <w:rsid w:val="00A122ED"/>
    <w:rsid w:val="00A12357"/>
    <w:rsid w:val="00A128D6"/>
    <w:rsid w:val="00A12A1D"/>
    <w:rsid w:val="00A12F7D"/>
    <w:rsid w:val="00A13107"/>
    <w:rsid w:val="00A13330"/>
    <w:rsid w:val="00A1366A"/>
    <w:rsid w:val="00A137E7"/>
    <w:rsid w:val="00A13963"/>
    <w:rsid w:val="00A13DD9"/>
    <w:rsid w:val="00A13E42"/>
    <w:rsid w:val="00A1445B"/>
    <w:rsid w:val="00A144BD"/>
    <w:rsid w:val="00A14AE2"/>
    <w:rsid w:val="00A14ED0"/>
    <w:rsid w:val="00A15292"/>
    <w:rsid w:val="00A1687D"/>
    <w:rsid w:val="00A16965"/>
    <w:rsid w:val="00A16A29"/>
    <w:rsid w:val="00A16E4B"/>
    <w:rsid w:val="00A16EF8"/>
    <w:rsid w:val="00A17147"/>
    <w:rsid w:val="00A1726D"/>
    <w:rsid w:val="00A17781"/>
    <w:rsid w:val="00A1780B"/>
    <w:rsid w:val="00A17A26"/>
    <w:rsid w:val="00A17CE7"/>
    <w:rsid w:val="00A20044"/>
    <w:rsid w:val="00A2008D"/>
    <w:rsid w:val="00A202E2"/>
    <w:rsid w:val="00A21A5A"/>
    <w:rsid w:val="00A21BCC"/>
    <w:rsid w:val="00A22204"/>
    <w:rsid w:val="00A2222A"/>
    <w:rsid w:val="00A228AC"/>
    <w:rsid w:val="00A2293D"/>
    <w:rsid w:val="00A2302A"/>
    <w:rsid w:val="00A233CF"/>
    <w:rsid w:val="00A234D4"/>
    <w:rsid w:val="00A23588"/>
    <w:rsid w:val="00A238BE"/>
    <w:rsid w:val="00A23F42"/>
    <w:rsid w:val="00A243D6"/>
    <w:rsid w:val="00A243E8"/>
    <w:rsid w:val="00A24966"/>
    <w:rsid w:val="00A249F4"/>
    <w:rsid w:val="00A24B10"/>
    <w:rsid w:val="00A24FAE"/>
    <w:rsid w:val="00A25084"/>
    <w:rsid w:val="00A258EB"/>
    <w:rsid w:val="00A25994"/>
    <w:rsid w:val="00A25CC7"/>
    <w:rsid w:val="00A25FCE"/>
    <w:rsid w:val="00A26492"/>
    <w:rsid w:val="00A265DA"/>
    <w:rsid w:val="00A266FD"/>
    <w:rsid w:val="00A2702E"/>
    <w:rsid w:val="00A273D4"/>
    <w:rsid w:val="00A2740B"/>
    <w:rsid w:val="00A276D6"/>
    <w:rsid w:val="00A278A2"/>
    <w:rsid w:val="00A27E55"/>
    <w:rsid w:val="00A30027"/>
    <w:rsid w:val="00A3097F"/>
    <w:rsid w:val="00A311BB"/>
    <w:rsid w:val="00A312CE"/>
    <w:rsid w:val="00A31391"/>
    <w:rsid w:val="00A318AD"/>
    <w:rsid w:val="00A31E11"/>
    <w:rsid w:val="00A31F5A"/>
    <w:rsid w:val="00A321DE"/>
    <w:rsid w:val="00A322DB"/>
    <w:rsid w:val="00A32604"/>
    <w:rsid w:val="00A32765"/>
    <w:rsid w:val="00A32C43"/>
    <w:rsid w:val="00A32E9B"/>
    <w:rsid w:val="00A3318D"/>
    <w:rsid w:val="00A33285"/>
    <w:rsid w:val="00A33359"/>
    <w:rsid w:val="00A339A6"/>
    <w:rsid w:val="00A33A7D"/>
    <w:rsid w:val="00A33B98"/>
    <w:rsid w:val="00A33C74"/>
    <w:rsid w:val="00A33DE8"/>
    <w:rsid w:val="00A34200"/>
    <w:rsid w:val="00A347CF"/>
    <w:rsid w:val="00A34AAF"/>
    <w:rsid w:val="00A34FB3"/>
    <w:rsid w:val="00A35915"/>
    <w:rsid w:val="00A35A89"/>
    <w:rsid w:val="00A35B74"/>
    <w:rsid w:val="00A35D92"/>
    <w:rsid w:val="00A3646E"/>
    <w:rsid w:val="00A36514"/>
    <w:rsid w:val="00A36E05"/>
    <w:rsid w:val="00A3705B"/>
    <w:rsid w:val="00A3730E"/>
    <w:rsid w:val="00A375A9"/>
    <w:rsid w:val="00A376BC"/>
    <w:rsid w:val="00A3778E"/>
    <w:rsid w:val="00A37CBF"/>
    <w:rsid w:val="00A37CED"/>
    <w:rsid w:val="00A37D16"/>
    <w:rsid w:val="00A37DBF"/>
    <w:rsid w:val="00A37FC1"/>
    <w:rsid w:val="00A40267"/>
    <w:rsid w:val="00A4048A"/>
    <w:rsid w:val="00A4048E"/>
    <w:rsid w:val="00A40831"/>
    <w:rsid w:val="00A40AA6"/>
    <w:rsid w:val="00A4174C"/>
    <w:rsid w:val="00A41823"/>
    <w:rsid w:val="00A41D40"/>
    <w:rsid w:val="00A41DE1"/>
    <w:rsid w:val="00A4204B"/>
    <w:rsid w:val="00A42137"/>
    <w:rsid w:val="00A42298"/>
    <w:rsid w:val="00A42354"/>
    <w:rsid w:val="00A42739"/>
    <w:rsid w:val="00A42C26"/>
    <w:rsid w:val="00A42DDD"/>
    <w:rsid w:val="00A435AD"/>
    <w:rsid w:val="00A4384D"/>
    <w:rsid w:val="00A43B5B"/>
    <w:rsid w:val="00A43D96"/>
    <w:rsid w:val="00A43FCE"/>
    <w:rsid w:val="00A441F8"/>
    <w:rsid w:val="00A4465F"/>
    <w:rsid w:val="00A4490F"/>
    <w:rsid w:val="00A44AAA"/>
    <w:rsid w:val="00A44C6D"/>
    <w:rsid w:val="00A44E58"/>
    <w:rsid w:val="00A455C6"/>
    <w:rsid w:val="00A45B15"/>
    <w:rsid w:val="00A45BAB"/>
    <w:rsid w:val="00A45CB2"/>
    <w:rsid w:val="00A45DE3"/>
    <w:rsid w:val="00A46322"/>
    <w:rsid w:val="00A46522"/>
    <w:rsid w:val="00A46800"/>
    <w:rsid w:val="00A46887"/>
    <w:rsid w:val="00A46A67"/>
    <w:rsid w:val="00A46EED"/>
    <w:rsid w:val="00A46F1C"/>
    <w:rsid w:val="00A47005"/>
    <w:rsid w:val="00A471C8"/>
    <w:rsid w:val="00A473D0"/>
    <w:rsid w:val="00A47C5F"/>
    <w:rsid w:val="00A47C8A"/>
    <w:rsid w:val="00A500CA"/>
    <w:rsid w:val="00A50697"/>
    <w:rsid w:val="00A50B01"/>
    <w:rsid w:val="00A50DB9"/>
    <w:rsid w:val="00A5145A"/>
    <w:rsid w:val="00A514D5"/>
    <w:rsid w:val="00A5158C"/>
    <w:rsid w:val="00A517AD"/>
    <w:rsid w:val="00A51859"/>
    <w:rsid w:val="00A51E0F"/>
    <w:rsid w:val="00A52051"/>
    <w:rsid w:val="00A52108"/>
    <w:rsid w:val="00A5229D"/>
    <w:rsid w:val="00A5265F"/>
    <w:rsid w:val="00A52728"/>
    <w:rsid w:val="00A52D92"/>
    <w:rsid w:val="00A52D99"/>
    <w:rsid w:val="00A52E25"/>
    <w:rsid w:val="00A52E41"/>
    <w:rsid w:val="00A53219"/>
    <w:rsid w:val="00A533EB"/>
    <w:rsid w:val="00A534C3"/>
    <w:rsid w:val="00A5385A"/>
    <w:rsid w:val="00A5407E"/>
    <w:rsid w:val="00A54259"/>
    <w:rsid w:val="00A543A8"/>
    <w:rsid w:val="00A54F16"/>
    <w:rsid w:val="00A54FB6"/>
    <w:rsid w:val="00A55160"/>
    <w:rsid w:val="00A5540E"/>
    <w:rsid w:val="00A55875"/>
    <w:rsid w:val="00A55903"/>
    <w:rsid w:val="00A55A90"/>
    <w:rsid w:val="00A55C9D"/>
    <w:rsid w:val="00A55CB3"/>
    <w:rsid w:val="00A55CFF"/>
    <w:rsid w:val="00A5623A"/>
    <w:rsid w:val="00A56392"/>
    <w:rsid w:val="00A56447"/>
    <w:rsid w:val="00A567E6"/>
    <w:rsid w:val="00A568BE"/>
    <w:rsid w:val="00A5696E"/>
    <w:rsid w:val="00A56F78"/>
    <w:rsid w:val="00A56FDE"/>
    <w:rsid w:val="00A5748E"/>
    <w:rsid w:val="00A5763D"/>
    <w:rsid w:val="00A57720"/>
    <w:rsid w:val="00A5775E"/>
    <w:rsid w:val="00A578E8"/>
    <w:rsid w:val="00A57A0B"/>
    <w:rsid w:val="00A57DE7"/>
    <w:rsid w:val="00A6015F"/>
    <w:rsid w:val="00A6076B"/>
    <w:rsid w:val="00A609A9"/>
    <w:rsid w:val="00A61610"/>
    <w:rsid w:val="00A61B9C"/>
    <w:rsid w:val="00A62290"/>
    <w:rsid w:val="00A62565"/>
    <w:rsid w:val="00A625C7"/>
    <w:rsid w:val="00A62A6B"/>
    <w:rsid w:val="00A63873"/>
    <w:rsid w:val="00A63ABC"/>
    <w:rsid w:val="00A64548"/>
    <w:rsid w:val="00A64AA8"/>
    <w:rsid w:val="00A64C0D"/>
    <w:rsid w:val="00A64D97"/>
    <w:rsid w:val="00A65641"/>
    <w:rsid w:val="00A65B2D"/>
    <w:rsid w:val="00A6617B"/>
    <w:rsid w:val="00A66192"/>
    <w:rsid w:val="00A665B1"/>
    <w:rsid w:val="00A66627"/>
    <w:rsid w:val="00A66D41"/>
    <w:rsid w:val="00A66DF6"/>
    <w:rsid w:val="00A66EFA"/>
    <w:rsid w:val="00A67223"/>
    <w:rsid w:val="00A673AB"/>
    <w:rsid w:val="00A677DB"/>
    <w:rsid w:val="00A67E6A"/>
    <w:rsid w:val="00A67EA9"/>
    <w:rsid w:val="00A701C8"/>
    <w:rsid w:val="00A7028E"/>
    <w:rsid w:val="00A71948"/>
    <w:rsid w:val="00A71953"/>
    <w:rsid w:val="00A71A3D"/>
    <w:rsid w:val="00A71C34"/>
    <w:rsid w:val="00A71E9F"/>
    <w:rsid w:val="00A72159"/>
    <w:rsid w:val="00A722D3"/>
    <w:rsid w:val="00A724B2"/>
    <w:rsid w:val="00A72935"/>
    <w:rsid w:val="00A72C60"/>
    <w:rsid w:val="00A730CC"/>
    <w:rsid w:val="00A7318F"/>
    <w:rsid w:val="00A73324"/>
    <w:rsid w:val="00A73503"/>
    <w:rsid w:val="00A735FC"/>
    <w:rsid w:val="00A73684"/>
    <w:rsid w:val="00A73FC4"/>
    <w:rsid w:val="00A7465B"/>
    <w:rsid w:val="00A746F2"/>
    <w:rsid w:val="00A7490C"/>
    <w:rsid w:val="00A749EE"/>
    <w:rsid w:val="00A74CEA"/>
    <w:rsid w:val="00A75691"/>
    <w:rsid w:val="00A758BD"/>
    <w:rsid w:val="00A760BE"/>
    <w:rsid w:val="00A7622E"/>
    <w:rsid w:val="00A76770"/>
    <w:rsid w:val="00A76A94"/>
    <w:rsid w:val="00A76D4A"/>
    <w:rsid w:val="00A76DEF"/>
    <w:rsid w:val="00A7735D"/>
    <w:rsid w:val="00A77572"/>
    <w:rsid w:val="00A7763B"/>
    <w:rsid w:val="00A77AE4"/>
    <w:rsid w:val="00A77C70"/>
    <w:rsid w:val="00A77C80"/>
    <w:rsid w:val="00A77C92"/>
    <w:rsid w:val="00A805D4"/>
    <w:rsid w:val="00A812E5"/>
    <w:rsid w:val="00A81A0C"/>
    <w:rsid w:val="00A81A80"/>
    <w:rsid w:val="00A81ED6"/>
    <w:rsid w:val="00A823F0"/>
    <w:rsid w:val="00A82622"/>
    <w:rsid w:val="00A82C9C"/>
    <w:rsid w:val="00A832BF"/>
    <w:rsid w:val="00A83327"/>
    <w:rsid w:val="00A83394"/>
    <w:rsid w:val="00A84163"/>
    <w:rsid w:val="00A84324"/>
    <w:rsid w:val="00A84790"/>
    <w:rsid w:val="00A848AA"/>
    <w:rsid w:val="00A848E4"/>
    <w:rsid w:val="00A84B60"/>
    <w:rsid w:val="00A84D40"/>
    <w:rsid w:val="00A84FAB"/>
    <w:rsid w:val="00A8508C"/>
    <w:rsid w:val="00A8516F"/>
    <w:rsid w:val="00A858DC"/>
    <w:rsid w:val="00A86182"/>
    <w:rsid w:val="00A86C37"/>
    <w:rsid w:val="00A86ED7"/>
    <w:rsid w:val="00A873B2"/>
    <w:rsid w:val="00A87952"/>
    <w:rsid w:val="00A903C6"/>
    <w:rsid w:val="00A905C4"/>
    <w:rsid w:val="00A90D2D"/>
    <w:rsid w:val="00A90D3E"/>
    <w:rsid w:val="00A910AA"/>
    <w:rsid w:val="00A91511"/>
    <w:rsid w:val="00A91565"/>
    <w:rsid w:val="00A917E6"/>
    <w:rsid w:val="00A9181E"/>
    <w:rsid w:val="00A91A0F"/>
    <w:rsid w:val="00A91BD6"/>
    <w:rsid w:val="00A91FB8"/>
    <w:rsid w:val="00A923FC"/>
    <w:rsid w:val="00A92B2C"/>
    <w:rsid w:val="00A92BD3"/>
    <w:rsid w:val="00A93961"/>
    <w:rsid w:val="00A93BAC"/>
    <w:rsid w:val="00A93BB1"/>
    <w:rsid w:val="00A93C48"/>
    <w:rsid w:val="00A94475"/>
    <w:rsid w:val="00A94612"/>
    <w:rsid w:val="00A946A5"/>
    <w:rsid w:val="00A94D86"/>
    <w:rsid w:val="00A94DD8"/>
    <w:rsid w:val="00A94E95"/>
    <w:rsid w:val="00A94F40"/>
    <w:rsid w:val="00A950AC"/>
    <w:rsid w:val="00A95493"/>
    <w:rsid w:val="00A9561B"/>
    <w:rsid w:val="00A95795"/>
    <w:rsid w:val="00A95C89"/>
    <w:rsid w:val="00A961AE"/>
    <w:rsid w:val="00A963C1"/>
    <w:rsid w:val="00A96400"/>
    <w:rsid w:val="00A96635"/>
    <w:rsid w:val="00A968B5"/>
    <w:rsid w:val="00A969CC"/>
    <w:rsid w:val="00A96A74"/>
    <w:rsid w:val="00A96A8A"/>
    <w:rsid w:val="00A96EB1"/>
    <w:rsid w:val="00A971C3"/>
    <w:rsid w:val="00A97B04"/>
    <w:rsid w:val="00AA00C1"/>
    <w:rsid w:val="00AA0105"/>
    <w:rsid w:val="00AA0498"/>
    <w:rsid w:val="00AA0989"/>
    <w:rsid w:val="00AA0D58"/>
    <w:rsid w:val="00AA1234"/>
    <w:rsid w:val="00AA150C"/>
    <w:rsid w:val="00AA189C"/>
    <w:rsid w:val="00AA1E60"/>
    <w:rsid w:val="00AA2115"/>
    <w:rsid w:val="00AA237D"/>
    <w:rsid w:val="00AA2600"/>
    <w:rsid w:val="00AA2EA4"/>
    <w:rsid w:val="00AA2F3D"/>
    <w:rsid w:val="00AA2FD0"/>
    <w:rsid w:val="00AA311A"/>
    <w:rsid w:val="00AA3A37"/>
    <w:rsid w:val="00AA3CDD"/>
    <w:rsid w:val="00AA3FEC"/>
    <w:rsid w:val="00AA425A"/>
    <w:rsid w:val="00AA439E"/>
    <w:rsid w:val="00AA43B5"/>
    <w:rsid w:val="00AA447C"/>
    <w:rsid w:val="00AA4501"/>
    <w:rsid w:val="00AA45EE"/>
    <w:rsid w:val="00AA4A4A"/>
    <w:rsid w:val="00AA4A8C"/>
    <w:rsid w:val="00AA4AB9"/>
    <w:rsid w:val="00AA4D1B"/>
    <w:rsid w:val="00AA5085"/>
    <w:rsid w:val="00AA5BCB"/>
    <w:rsid w:val="00AA61E3"/>
    <w:rsid w:val="00AA6485"/>
    <w:rsid w:val="00AA65A3"/>
    <w:rsid w:val="00AA66EA"/>
    <w:rsid w:val="00AA6A3C"/>
    <w:rsid w:val="00AA6E8D"/>
    <w:rsid w:val="00AA6F1D"/>
    <w:rsid w:val="00AA6F74"/>
    <w:rsid w:val="00AA72CF"/>
    <w:rsid w:val="00AA7655"/>
    <w:rsid w:val="00AA79F4"/>
    <w:rsid w:val="00AA7CE0"/>
    <w:rsid w:val="00AA7E32"/>
    <w:rsid w:val="00AA7EF3"/>
    <w:rsid w:val="00AA7F17"/>
    <w:rsid w:val="00AB085E"/>
    <w:rsid w:val="00AB089E"/>
    <w:rsid w:val="00AB0942"/>
    <w:rsid w:val="00AB0AE5"/>
    <w:rsid w:val="00AB0C88"/>
    <w:rsid w:val="00AB0F93"/>
    <w:rsid w:val="00AB23BD"/>
    <w:rsid w:val="00AB24CC"/>
    <w:rsid w:val="00AB2523"/>
    <w:rsid w:val="00AB279D"/>
    <w:rsid w:val="00AB2EDA"/>
    <w:rsid w:val="00AB369F"/>
    <w:rsid w:val="00AB374F"/>
    <w:rsid w:val="00AB39FA"/>
    <w:rsid w:val="00AB3D9B"/>
    <w:rsid w:val="00AB3E7C"/>
    <w:rsid w:val="00AB40AE"/>
    <w:rsid w:val="00AB4599"/>
    <w:rsid w:val="00AB4853"/>
    <w:rsid w:val="00AB486E"/>
    <w:rsid w:val="00AB4EE1"/>
    <w:rsid w:val="00AB4EF2"/>
    <w:rsid w:val="00AB4F4E"/>
    <w:rsid w:val="00AB523E"/>
    <w:rsid w:val="00AB53B3"/>
    <w:rsid w:val="00AB5507"/>
    <w:rsid w:val="00AB56EB"/>
    <w:rsid w:val="00AB5FDF"/>
    <w:rsid w:val="00AB654B"/>
    <w:rsid w:val="00AB6C79"/>
    <w:rsid w:val="00AB6FEB"/>
    <w:rsid w:val="00AB7343"/>
    <w:rsid w:val="00AB7611"/>
    <w:rsid w:val="00AB773C"/>
    <w:rsid w:val="00AB7828"/>
    <w:rsid w:val="00AB7A7E"/>
    <w:rsid w:val="00AB7D5A"/>
    <w:rsid w:val="00AB7D97"/>
    <w:rsid w:val="00AC00B6"/>
    <w:rsid w:val="00AC01F3"/>
    <w:rsid w:val="00AC0336"/>
    <w:rsid w:val="00AC0341"/>
    <w:rsid w:val="00AC0683"/>
    <w:rsid w:val="00AC08B4"/>
    <w:rsid w:val="00AC0934"/>
    <w:rsid w:val="00AC0951"/>
    <w:rsid w:val="00AC0AF1"/>
    <w:rsid w:val="00AC0E1E"/>
    <w:rsid w:val="00AC121C"/>
    <w:rsid w:val="00AC1420"/>
    <w:rsid w:val="00AC1450"/>
    <w:rsid w:val="00AC1FD4"/>
    <w:rsid w:val="00AC23F2"/>
    <w:rsid w:val="00AC2896"/>
    <w:rsid w:val="00AC2D71"/>
    <w:rsid w:val="00AC2E24"/>
    <w:rsid w:val="00AC3CF7"/>
    <w:rsid w:val="00AC3CFA"/>
    <w:rsid w:val="00AC49E7"/>
    <w:rsid w:val="00AC526F"/>
    <w:rsid w:val="00AC5476"/>
    <w:rsid w:val="00AC59CB"/>
    <w:rsid w:val="00AC59ED"/>
    <w:rsid w:val="00AC5A9E"/>
    <w:rsid w:val="00AC5CCD"/>
    <w:rsid w:val="00AC5E43"/>
    <w:rsid w:val="00AC6021"/>
    <w:rsid w:val="00AC6735"/>
    <w:rsid w:val="00AC6962"/>
    <w:rsid w:val="00AC7072"/>
    <w:rsid w:val="00AC7329"/>
    <w:rsid w:val="00AC73D0"/>
    <w:rsid w:val="00AC742E"/>
    <w:rsid w:val="00AC7798"/>
    <w:rsid w:val="00AC7860"/>
    <w:rsid w:val="00AC7B29"/>
    <w:rsid w:val="00AD04CD"/>
    <w:rsid w:val="00AD08B1"/>
    <w:rsid w:val="00AD0AF7"/>
    <w:rsid w:val="00AD0DCD"/>
    <w:rsid w:val="00AD151D"/>
    <w:rsid w:val="00AD1D41"/>
    <w:rsid w:val="00AD1F8D"/>
    <w:rsid w:val="00AD24D2"/>
    <w:rsid w:val="00AD2A88"/>
    <w:rsid w:val="00AD2D5B"/>
    <w:rsid w:val="00AD3078"/>
    <w:rsid w:val="00AD311C"/>
    <w:rsid w:val="00AD3DC4"/>
    <w:rsid w:val="00AD4069"/>
    <w:rsid w:val="00AD4109"/>
    <w:rsid w:val="00AD478A"/>
    <w:rsid w:val="00AD4EFD"/>
    <w:rsid w:val="00AD52EB"/>
    <w:rsid w:val="00AD54FC"/>
    <w:rsid w:val="00AD55C7"/>
    <w:rsid w:val="00AD5B9C"/>
    <w:rsid w:val="00AD5C83"/>
    <w:rsid w:val="00AD5D16"/>
    <w:rsid w:val="00AD5ECA"/>
    <w:rsid w:val="00AD6087"/>
    <w:rsid w:val="00AD670E"/>
    <w:rsid w:val="00AD6C00"/>
    <w:rsid w:val="00AD6D68"/>
    <w:rsid w:val="00AD6E75"/>
    <w:rsid w:val="00AD741B"/>
    <w:rsid w:val="00AD7833"/>
    <w:rsid w:val="00AD79DF"/>
    <w:rsid w:val="00AD7A48"/>
    <w:rsid w:val="00AE00B1"/>
    <w:rsid w:val="00AE0105"/>
    <w:rsid w:val="00AE0310"/>
    <w:rsid w:val="00AE05B0"/>
    <w:rsid w:val="00AE0CD0"/>
    <w:rsid w:val="00AE0DF6"/>
    <w:rsid w:val="00AE0EF3"/>
    <w:rsid w:val="00AE1051"/>
    <w:rsid w:val="00AE14C4"/>
    <w:rsid w:val="00AE1D1A"/>
    <w:rsid w:val="00AE2594"/>
    <w:rsid w:val="00AE2D83"/>
    <w:rsid w:val="00AE3281"/>
    <w:rsid w:val="00AE3424"/>
    <w:rsid w:val="00AE3443"/>
    <w:rsid w:val="00AE35AF"/>
    <w:rsid w:val="00AE3628"/>
    <w:rsid w:val="00AE3ABC"/>
    <w:rsid w:val="00AE3BA5"/>
    <w:rsid w:val="00AE46D6"/>
    <w:rsid w:val="00AE4812"/>
    <w:rsid w:val="00AE4B70"/>
    <w:rsid w:val="00AE4B82"/>
    <w:rsid w:val="00AE4EFC"/>
    <w:rsid w:val="00AE4FE5"/>
    <w:rsid w:val="00AE50EB"/>
    <w:rsid w:val="00AE544A"/>
    <w:rsid w:val="00AE5597"/>
    <w:rsid w:val="00AE59D3"/>
    <w:rsid w:val="00AE5B39"/>
    <w:rsid w:val="00AE5B84"/>
    <w:rsid w:val="00AE5FA2"/>
    <w:rsid w:val="00AE6086"/>
    <w:rsid w:val="00AE6217"/>
    <w:rsid w:val="00AE6411"/>
    <w:rsid w:val="00AE645A"/>
    <w:rsid w:val="00AE6ABF"/>
    <w:rsid w:val="00AE6ACF"/>
    <w:rsid w:val="00AE6C80"/>
    <w:rsid w:val="00AE7AA5"/>
    <w:rsid w:val="00AE7B10"/>
    <w:rsid w:val="00AF03EC"/>
    <w:rsid w:val="00AF0ACE"/>
    <w:rsid w:val="00AF16CE"/>
    <w:rsid w:val="00AF18B8"/>
    <w:rsid w:val="00AF1B67"/>
    <w:rsid w:val="00AF1C2C"/>
    <w:rsid w:val="00AF1CFB"/>
    <w:rsid w:val="00AF1E96"/>
    <w:rsid w:val="00AF20BF"/>
    <w:rsid w:val="00AF2193"/>
    <w:rsid w:val="00AF2712"/>
    <w:rsid w:val="00AF2DF2"/>
    <w:rsid w:val="00AF2E4A"/>
    <w:rsid w:val="00AF2E7C"/>
    <w:rsid w:val="00AF3083"/>
    <w:rsid w:val="00AF354E"/>
    <w:rsid w:val="00AF3C1F"/>
    <w:rsid w:val="00AF3D55"/>
    <w:rsid w:val="00AF3E69"/>
    <w:rsid w:val="00AF4586"/>
    <w:rsid w:val="00AF467C"/>
    <w:rsid w:val="00AF4738"/>
    <w:rsid w:val="00AF492B"/>
    <w:rsid w:val="00AF4BC3"/>
    <w:rsid w:val="00AF5048"/>
    <w:rsid w:val="00AF52D5"/>
    <w:rsid w:val="00AF5353"/>
    <w:rsid w:val="00AF53BF"/>
    <w:rsid w:val="00AF53DD"/>
    <w:rsid w:val="00AF5EF3"/>
    <w:rsid w:val="00AF6117"/>
    <w:rsid w:val="00AF62DB"/>
    <w:rsid w:val="00AF62E8"/>
    <w:rsid w:val="00AF656D"/>
    <w:rsid w:val="00AF65B5"/>
    <w:rsid w:val="00AF65D5"/>
    <w:rsid w:val="00AF6794"/>
    <w:rsid w:val="00AF69E6"/>
    <w:rsid w:val="00AF6AFE"/>
    <w:rsid w:val="00AF6BB7"/>
    <w:rsid w:val="00AF738D"/>
    <w:rsid w:val="00AF78D4"/>
    <w:rsid w:val="00AF7912"/>
    <w:rsid w:val="00AF7CE8"/>
    <w:rsid w:val="00B001E0"/>
    <w:rsid w:val="00B001E3"/>
    <w:rsid w:val="00B00251"/>
    <w:rsid w:val="00B006D8"/>
    <w:rsid w:val="00B006FF"/>
    <w:rsid w:val="00B01325"/>
    <w:rsid w:val="00B014FC"/>
    <w:rsid w:val="00B01E25"/>
    <w:rsid w:val="00B01F7C"/>
    <w:rsid w:val="00B025F6"/>
    <w:rsid w:val="00B02DC2"/>
    <w:rsid w:val="00B02DC9"/>
    <w:rsid w:val="00B030DC"/>
    <w:rsid w:val="00B03D23"/>
    <w:rsid w:val="00B049E4"/>
    <w:rsid w:val="00B055DF"/>
    <w:rsid w:val="00B055E5"/>
    <w:rsid w:val="00B056D1"/>
    <w:rsid w:val="00B05850"/>
    <w:rsid w:val="00B05A2F"/>
    <w:rsid w:val="00B05C11"/>
    <w:rsid w:val="00B061F7"/>
    <w:rsid w:val="00B06681"/>
    <w:rsid w:val="00B066C4"/>
    <w:rsid w:val="00B06713"/>
    <w:rsid w:val="00B069EF"/>
    <w:rsid w:val="00B069F3"/>
    <w:rsid w:val="00B06C3B"/>
    <w:rsid w:val="00B06CA8"/>
    <w:rsid w:val="00B0706A"/>
    <w:rsid w:val="00B072E1"/>
    <w:rsid w:val="00B07847"/>
    <w:rsid w:val="00B10749"/>
    <w:rsid w:val="00B109C5"/>
    <w:rsid w:val="00B10B6E"/>
    <w:rsid w:val="00B10E9E"/>
    <w:rsid w:val="00B11402"/>
    <w:rsid w:val="00B116FD"/>
    <w:rsid w:val="00B11776"/>
    <w:rsid w:val="00B117EA"/>
    <w:rsid w:val="00B1187B"/>
    <w:rsid w:val="00B118E8"/>
    <w:rsid w:val="00B11900"/>
    <w:rsid w:val="00B11912"/>
    <w:rsid w:val="00B11A27"/>
    <w:rsid w:val="00B11B5B"/>
    <w:rsid w:val="00B1239A"/>
    <w:rsid w:val="00B12831"/>
    <w:rsid w:val="00B129DF"/>
    <w:rsid w:val="00B12CDF"/>
    <w:rsid w:val="00B13102"/>
    <w:rsid w:val="00B13129"/>
    <w:rsid w:val="00B13547"/>
    <w:rsid w:val="00B138B7"/>
    <w:rsid w:val="00B139DF"/>
    <w:rsid w:val="00B13CAE"/>
    <w:rsid w:val="00B14342"/>
    <w:rsid w:val="00B143DF"/>
    <w:rsid w:val="00B14599"/>
    <w:rsid w:val="00B148E4"/>
    <w:rsid w:val="00B14F08"/>
    <w:rsid w:val="00B1524F"/>
    <w:rsid w:val="00B156C5"/>
    <w:rsid w:val="00B15CC3"/>
    <w:rsid w:val="00B15DCD"/>
    <w:rsid w:val="00B1634C"/>
    <w:rsid w:val="00B16417"/>
    <w:rsid w:val="00B16660"/>
    <w:rsid w:val="00B1669D"/>
    <w:rsid w:val="00B1698A"/>
    <w:rsid w:val="00B16DB6"/>
    <w:rsid w:val="00B170F3"/>
    <w:rsid w:val="00B20083"/>
    <w:rsid w:val="00B20221"/>
    <w:rsid w:val="00B2052C"/>
    <w:rsid w:val="00B20A5A"/>
    <w:rsid w:val="00B211F6"/>
    <w:rsid w:val="00B21594"/>
    <w:rsid w:val="00B2180E"/>
    <w:rsid w:val="00B21839"/>
    <w:rsid w:val="00B218EB"/>
    <w:rsid w:val="00B225FF"/>
    <w:rsid w:val="00B2274C"/>
    <w:rsid w:val="00B22C6E"/>
    <w:rsid w:val="00B22E05"/>
    <w:rsid w:val="00B23365"/>
    <w:rsid w:val="00B241F7"/>
    <w:rsid w:val="00B24236"/>
    <w:rsid w:val="00B2435A"/>
    <w:rsid w:val="00B24633"/>
    <w:rsid w:val="00B248B3"/>
    <w:rsid w:val="00B24A7B"/>
    <w:rsid w:val="00B24BC9"/>
    <w:rsid w:val="00B24E61"/>
    <w:rsid w:val="00B24FC8"/>
    <w:rsid w:val="00B25193"/>
    <w:rsid w:val="00B25553"/>
    <w:rsid w:val="00B2558A"/>
    <w:rsid w:val="00B25C9D"/>
    <w:rsid w:val="00B25CCE"/>
    <w:rsid w:val="00B25E5B"/>
    <w:rsid w:val="00B262A3"/>
    <w:rsid w:val="00B266B3"/>
    <w:rsid w:val="00B26CBA"/>
    <w:rsid w:val="00B26DEA"/>
    <w:rsid w:val="00B26EEF"/>
    <w:rsid w:val="00B272C6"/>
    <w:rsid w:val="00B27580"/>
    <w:rsid w:val="00B276A9"/>
    <w:rsid w:val="00B276B3"/>
    <w:rsid w:val="00B27B95"/>
    <w:rsid w:val="00B27BFE"/>
    <w:rsid w:val="00B3023E"/>
    <w:rsid w:val="00B3107F"/>
    <w:rsid w:val="00B31092"/>
    <w:rsid w:val="00B312DC"/>
    <w:rsid w:val="00B319D9"/>
    <w:rsid w:val="00B31ADC"/>
    <w:rsid w:val="00B31C4D"/>
    <w:rsid w:val="00B31E08"/>
    <w:rsid w:val="00B31E0A"/>
    <w:rsid w:val="00B31E25"/>
    <w:rsid w:val="00B31E74"/>
    <w:rsid w:val="00B31F54"/>
    <w:rsid w:val="00B32610"/>
    <w:rsid w:val="00B32EFD"/>
    <w:rsid w:val="00B334F6"/>
    <w:rsid w:val="00B3382F"/>
    <w:rsid w:val="00B33833"/>
    <w:rsid w:val="00B339E0"/>
    <w:rsid w:val="00B33A02"/>
    <w:rsid w:val="00B33B34"/>
    <w:rsid w:val="00B33C17"/>
    <w:rsid w:val="00B33CA1"/>
    <w:rsid w:val="00B33E78"/>
    <w:rsid w:val="00B34096"/>
    <w:rsid w:val="00B34365"/>
    <w:rsid w:val="00B34610"/>
    <w:rsid w:val="00B347DD"/>
    <w:rsid w:val="00B34A1F"/>
    <w:rsid w:val="00B34DD8"/>
    <w:rsid w:val="00B35483"/>
    <w:rsid w:val="00B35788"/>
    <w:rsid w:val="00B35AB0"/>
    <w:rsid w:val="00B35B23"/>
    <w:rsid w:val="00B35CEA"/>
    <w:rsid w:val="00B35CF2"/>
    <w:rsid w:val="00B360B8"/>
    <w:rsid w:val="00B3613F"/>
    <w:rsid w:val="00B362AD"/>
    <w:rsid w:val="00B3659D"/>
    <w:rsid w:val="00B366DC"/>
    <w:rsid w:val="00B366EE"/>
    <w:rsid w:val="00B36725"/>
    <w:rsid w:val="00B367B9"/>
    <w:rsid w:val="00B367C0"/>
    <w:rsid w:val="00B36F3C"/>
    <w:rsid w:val="00B3727E"/>
    <w:rsid w:val="00B37403"/>
    <w:rsid w:val="00B37A57"/>
    <w:rsid w:val="00B37D1F"/>
    <w:rsid w:val="00B37D7E"/>
    <w:rsid w:val="00B403F9"/>
    <w:rsid w:val="00B404BE"/>
    <w:rsid w:val="00B40527"/>
    <w:rsid w:val="00B40900"/>
    <w:rsid w:val="00B40F6F"/>
    <w:rsid w:val="00B41A3E"/>
    <w:rsid w:val="00B41C00"/>
    <w:rsid w:val="00B41CA7"/>
    <w:rsid w:val="00B41FE5"/>
    <w:rsid w:val="00B42098"/>
    <w:rsid w:val="00B4274F"/>
    <w:rsid w:val="00B42C38"/>
    <w:rsid w:val="00B43698"/>
    <w:rsid w:val="00B436ED"/>
    <w:rsid w:val="00B438E1"/>
    <w:rsid w:val="00B4390A"/>
    <w:rsid w:val="00B439E4"/>
    <w:rsid w:val="00B43EB5"/>
    <w:rsid w:val="00B43F57"/>
    <w:rsid w:val="00B4435C"/>
    <w:rsid w:val="00B444F0"/>
    <w:rsid w:val="00B445E3"/>
    <w:rsid w:val="00B44954"/>
    <w:rsid w:val="00B44966"/>
    <w:rsid w:val="00B44ABF"/>
    <w:rsid w:val="00B44B7E"/>
    <w:rsid w:val="00B45244"/>
    <w:rsid w:val="00B453E6"/>
    <w:rsid w:val="00B4548C"/>
    <w:rsid w:val="00B45910"/>
    <w:rsid w:val="00B45B3C"/>
    <w:rsid w:val="00B45B64"/>
    <w:rsid w:val="00B45D40"/>
    <w:rsid w:val="00B45E2A"/>
    <w:rsid w:val="00B4613D"/>
    <w:rsid w:val="00B46281"/>
    <w:rsid w:val="00B4641E"/>
    <w:rsid w:val="00B464DB"/>
    <w:rsid w:val="00B465A7"/>
    <w:rsid w:val="00B46E47"/>
    <w:rsid w:val="00B46F3F"/>
    <w:rsid w:val="00B47178"/>
    <w:rsid w:val="00B47330"/>
    <w:rsid w:val="00B47C99"/>
    <w:rsid w:val="00B47CE7"/>
    <w:rsid w:val="00B47F27"/>
    <w:rsid w:val="00B50AC4"/>
    <w:rsid w:val="00B50DEB"/>
    <w:rsid w:val="00B50E05"/>
    <w:rsid w:val="00B513CF"/>
    <w:rsid w:val="00B51BF8"/>
    <w:rsid w:val="00B51EDD"/>
    <w:rsid w:val="00B5207A"/>
    <w:rsid w:val="00B52145"/>
    <w:rsid w:val="00B52256"/>
    <w:rsid w:val="00B523A2"/>
    <w:rsid w:val="00B5247F"/>
    <w:rsid w:val="00B52611"/>
    <w:rsid w:val="00B526EF"/>
    <w:rsid w:val="00B52918"/>
    <w:rsid w:val="00B52A03"/>
    <w:rsid w:val="00B542C6"/>
    <w:rsid w:val="00B549B8"/>
    <w:rsid w:val="00B54C52"/>
    <w:rsid w:val="00B551C6"/>
    <w:rsid w:val="00B5545C"/>
    <w:rsid w:val="00B55705"/>
    <w:rsid w:val="00B55808"/>
    <w:rsid w:val="00B55D6E"/>
    <w:rsid w:val="00B566A6"/>
    <w:rsid w:val="00B567E7"/>
    <w:rsid w:val="00B56855"/>
    <w:rsid w:val="00B56A20"/>
    <w:rsid w:val="00B56A81"/>
    <w:rsid w:val="00B56BBF"/>
    <w:rsid w:val="00B56FF7"/>
    <w:rsid w:val="00B570D6"/>
    <w:rsid w:val="00B5711E"/>
    <w:rsid w:val="00B57694"/>
    <w:rsid w:val="00B578A0"/>
    <w:rsid w:val="00B57E99"/>
    <w:rsid w:val="00B57FA4"/>
    <w:rsid w:val="00B6010A"/>
    <w:rsid w:val="00B60280"/>
    <w:rsid w:val="00B603E7"/>
    <w:rsid w:val="00B60927"/>
    <w:rsid w:val="00B60A0A"/>
    <w:rsid w:val="00B60E43"/>
    <w:rsid w:val="00B618EA"/>
    <w:rsid w:val="00B61B1B"/>
    <w:rsid w:val="00B61CB7"/>
    <w:rsid w:val="00B61FC2"/>
    <w:rsid w:val="00B623CA"/>
    <w:rsid w:val="00B62545"/>
    <w:rsid w:val="00B628D9"/>
    <w:rsid w:val="00B6291B"/>
    <w:rsid w:val="00B62F07"/>
    <w:rsid w:val="00B62FF0"/>
    <w:rsid w:val="00B63528"/>
    <w:rsid w:val="00B63694"/>
    <w:rsid w:val="00B636D6"/>
    <w:rsid w:val="00B63925"/>
    <w:rsid w:val="00B63B04"/>
    <w:rsid w:val="00B63D48"/>
    <w:rsid w:val="00B63FBA"/>
    <w:rsid w:val="00B6404A"/>
    <w:rsid w:val="00B641D2"/>
    <w:rsid w:val="00B64283"/>
    <w:rsid w:val="00B646F9"/>
    <w:rsid w:val="00B64952"/>
    <w:rsid w:val="00B64AA1"/>
    <w:rsid w:val="00B64BCC"/>
    <w:rsid w:val="00B64C01"/>
    <w:rsid w:val="00B65AF5"/>
    <w:rsid w:val="00B65BBD"/>
    <w:rsid w:val="00B65F92"/>
    <w:rsid w:val="00B66433"/>
    <w:rsid w:val="00B66988"/>
    <w:rsid w:val="00B66DC2"/>
    <w:rsid w:val="00B670E5"/>
    <w:rsid w:val="00B674AE"/>
    <w:rsid w:val="00B675DD"/>
    <w:rsid w:val="00B67DEA"/>
    <w:rsid w:val="00B67FE6"/>
    <w:rsid w:val="00B70072"/>
    <w:rsid w:val="00B70168"/>
    <w:rsid w:val="00B703C1"/>
    <w:rsid w:val="00B70514"/>
    <w:rsid w:val="00B706E5"/>
    <w:rsid w:val="00B708E3"/>
    <w:rsid w:val="00B71494"/>
    <w:rsid w:val="00B715F4"/>
    <w:rsid w:val="00B71907"/>
    <w:rsid w:val="00B71C3B"/>
    <w:rsid w:val="00B71D9F"/>
    <w:rsid w:val="00B71E8D"/>
    <w:rsid w:val="00B72027"/>
    <w:rsid w:val="00B72453"/>
    <w:rsid w:val="00B726A1"/>
    <w:rsid w:val="00B72864"/>
    <w:rsid w:val="00B72965"/>
    <w:rsid w:val="00B72BEE"/>
    <w:rsid w:val="00B72E27"/>
    <w:rsid w:val="00B72E4B"/>
    <w:rsid w:val="00B7337C"/>
    <w:rsid w:val="00B737A1"/>
    <w:rsid w:val="00B738CF"/>
    <w:rsid w:val="00B73904"/>
    <w:rsid w:val="00B73987"/>
    <w:rsid w:val="00B7409F"/>
    <w:rsid w:val="00B74314"/>
    <w:rsid w:val="00B746DE"/>
    <w:rsid w:val="00B74748"/>
    <w:rsid w:val="00B74801"/>
    <w:rsid w:val="00B74A3D"/>
    <w:rsid w:val="00B74A88"/>
    <w:rsid w:val="00B74B1A"/>
    <w:rsid w:val="00B74E98"/>
    <w:rsid w:val="00B75675"/>
    <w:rsid w:val="00B75984"/>
    <w:rsid w:val="00B759BD"/>
    <w:rsid w:val="00B75E0E"/>
    <w:rsid w:val="00B75EDC"/>
    <w:rsid w:val="00B76948"/>
    <w:rsid w:val="00B76B9C"/>
    <w:rsid w:val="00B76C6B"/>
    <w:rsid w:val="00B7732C"/>
    <w:rsid w:val="00B77334"/>
    <w:rsid w:val="00B7766F"/>
    <w:rsid w:val="00B7796C"/>
    <w:rsid w:val="00B801B5"/>
    <w:rsid w:val="00B80387"/>
    <w:rsid w:val="00B804F3"/>
    <w:rsid w:val="00B80610"/>
    <w:rsid w:val="00B80657"/>
    <w:rsid w:val="00B809C9"/>
    <w:rsid w:val="00B80A48"/>
    <w:rsid w:val="00B80A90"/>
    <w:rsid w:val="00B80AE8"/>
    <w:rsid w:val="00B81124"/>
    <w:rsid w:val="00B812D8"/>
    <w:rsid w:val="00B818BC"/>
    <w:rsid w:val="00B82529"/>
    <w:rsid w:val="00B829F9"/>
    <w:rsid w:val="00B82A89"/>
    <w:rsid w:val="00B82E18"/>
    <w:rsid w:val="00B8305F"/>
    <w:rsid w:val="00B83207"/>
    <w:rsid w:val="00B835FD"/>
    <w:rsid w:val="00B8381E"/>
    <w:rsid w:val="00B8399C"/>
    <w:rsid w:val="00B84018"/>
    <w:rsid w:val="00B84074"/>
    <w:rsid w:val="00B84F06"/>
    <w:rsid w:val="00B85028"/>
    <w:rsid w:val="00B85241"/>
    <w:rsid w:val="00B858F7"/>
    <w:rsid w:val="00B85C78"/>
    <w:rsid w:val="00B85D4C"/>
    <w:rsid w:val="00B871F7"/>
    <w:rsid w:val="00B87845"/>
    <w:rsid w:val="00B878E9"/>
    <w:rsid w:val="00B87C5E"/>
    <w:rsid w:val="00B87CC0"/>
    <w:rsid w:val="00B87EE5"/>
    <w:rsid w:val="00B90415"/>
    <w:rsid w:val="00B90A13"/>
    <w:rsid w:val="00B90BCB"/>
    <w:rsid w:val="00B90BEA"/>
    <w:rsid w:val="00B90C73"/>
    <w:rsid w:val="00B90DCD"/>
    <w:rsid w:val="00B91B2E"/>
    <w:rsid w:val="00B923C8"/>
    <w:rsid w:val="00B929C3"/>
    <w:rsid w:val="00B93022"/>
    <w:rsid w:val="00B93248"/>
    <w:rsid w:val="00B93716"/>
    <w:rsid w:val="00B93915"/>
    <w:rsid w:val="00B93C6B"/>
    <w:rsid w:val="00B94447"/>
    <w:rsid w:val="00B944C3"/>
    <w:rsid w:val="00B95BFB"/>
    <w:rsid w:val="00B95DA3"/>
    <w:rsid w:val="00B95E09"/>
    <w:rsid w:val="00B9607D"/>
    <w:rsid w:val="00B96262"/>
    <w:rsid w:val="00B96467"/>
    <w:rsid w:val="00B96621"/>
    <w:rsid w:val="00B96726"/>
    <w:rsid w:val="00B96C67"/>
    <w:rsid w:val="00B96F08"/>
    <w:rsid w:val="00B96FA3"/>
    <w:rsid w:val="00B97073"/>
    <w:rsid w:val="00B976CB"/>
    <w:rsid w:val="00B978EF"/>
    <w:rsid w:val="00B97C0A"/>
    <w:rsid w:val="00BA010A"/>
    <w:rsid w:val="00BA0190"/>
    <w:rsid w:val="00BA037E"/>
    <w:rsid w:val="00BA044B"/>
    <w:rsid w:val="00BA08F0"/>
    <w:rsid w:val="00BA0BFA"/>
    <w:rsid w:val="00BA129C"/>
    <w:rsid w:val="00BA18B7"/>
    <w:rsid w:val="00BA1C0D"/>
    <w:rsid w:val="00BA219C"/>
    <w:rsid w:val="00BA251F"/>
    <w:rsid w:val="00BA29F8"/>
    <w:rsid w:val="00BA2AE2"/>
    <w:rsid w:val="00BA2F0A"/>
    <w:rsid w:val="00BA2FB7"/>
    <w:rsid w:val="00BA3300"/>
    <w:rsid w:val="00BA33F5"/>
    <w:rsid w:val="00BA34DB"/>
    <w:rsid w:val="00BA3DC8"/>
    <w:rsid w:val="00BA41F4"/>
    <w:rsid w:val="00BA42ED"/>
    <w:rsid w:val="00BA45BB"/>
    <w:rsid w:val="00BA4679"/>
    <w:rsid w:val="00BA4775"/>
    <w:rsid w:val="00BA4824"/>
    <w:rsid w:val="00BA4948"/>
    <w:rsid w:val="00BA4A26"/>
    <w:rsid w:val="00BA4C5C"/>
    <w:rsid w:val="00BA4EF5"/>
    <w:rsid w:val="00BA5C61"/>
    <w:rsid w:val="00BA5DA2"/>
    <w:rsid w:val="00BA614B"/>
    <w:rsid w:val="00BA6249"/>
    <w:rsid w:val="00BA62F4"/>
    <w:rsid w:val="00BA6DD1"/>
    <w:rsid w:val="00BA70BD"/>
    <w:rsid w:val="00BA71AF"/>
    <w:rsid w:val="00BA73C0"/>
    <w:rsid w:val="00BA7780"/>
    <w:rsid w:val="00BA7E1C"/>
    <w:rsid w:val="00BB0322"/>
    <w:rsid w:val="00BB0436"/>
    <w:rsid w:val="00BB0C75"/>
    <w:rsid w:val="00BB0F4B"/>
    <w:rsid w:val="00BB106F"/>
    <w:rsid w:val="00BB1502"/>
    <w:rsid w:val="00BB1747"/>
    <w:rsid w:val="00BB1DCE"/>
    <w:rsid w:val="00BB1F5B"/>
    <w:rsid w:val="00BB23FD"/>
    <w:rsid w:val="00BB2768"/>
    <w:rsid w:val="00BB2882"/>
    <w:rsid w:val="00BB31FE"/>
    <w:rsid w:val="00BB37F9"/>
    <w:rsid w:val="00BB3DAB"/>
    <w:rsid w:val="00BB3DAC"/>
    <w:rsid w:val="00BB3DEF"/>
    <w:rsid w:val="00BB3E29"/>
    <w:rsid w:val="00BB3F59"/>
    <w:rsid w:val="00BB47B2"/>
    <w:rsid w:val="00BB4FDF"/>
    <w:rsid w:val="00BB5179"/>
    <w:rsid w:val="00BB5A5C"/>
    <w:rsid w:val="00BB5A79"/>
    <w:rsid w:val="00BB5AF2"/>
    <w:rsid w:val="00BB5FF8"/>
    <w:rsid w:val="00BB6635"/>
    <w:rsid w:val="00BB6830"/>
    <w:rsid w:val="00BB6BE5"/>
    <w:rsid w:val="00BB7491"/>
    <w:rsid w:val="00BB74A6"/>
    <w:rsid w:val="00BB7B78"/>
    <w:rsid w:val="00BB7CB9"/>
    <w:rsid w:val="00BC0088"/>
    <w:rsid w:val="00BC00AC"/>
    <w:rsid w:val="00BC00C8"/>
    <w:rsid w:val="00BC044F"/>
    <w:rsid w:val="00BC0620"/>
    <w:rsid w:val="00BC06A3"/>
    <w:rsid w:val="00BC079F"/>
    <w:rsid w:val="00BC0896"/>
    <w:rsid w:val="00BC097E"/>
    <w:rsid w:val="00BC0D93"/>
    <w:rsid w:val="00BC1112"/>
    <w:rsid w:val="00BC1486"/>
    <w:rsid w:val="00BC1A94"/>
    <w:rsid w:val="00BC1AC8"/>
    <w:rsid w:val="00BC1E63"/>
    <w:rsid w:val="00BC2025"/>
    <w:rsid w:val="00BC21AF"/>
    <w:rsid w:val="00BC25B0"/>
    <w:rsid w:val="00BC27FD"/>
    <w:rsid w:val="00BC288C"/>
    <w:rsid w:val="00BC29E1"/>
    <w:rsid w:val="00BC2A83"/>
    <w:rsid w:val="00BC2D7D"/>
    <w:rsid w:val="00BC2F01"/>
    <w:rsid w:val="00BC34C3"/>
    <w:rsid w:val="00BC3673"/>
    <w:rsid w:val="00BC36D5"/>
    <w:rsid w:val="00BC39A3"/>
    <w:rsid w:val="00BC3ED0"/>
    <w:rsid w:val="00BC416F"/>
    <w:rsid w:val="00BC42B1"/>
    <w:rsid w:val="00BC43C3"/>
    <w:rsid w:val="00BC479C"/>
    <w:rsid w:val="00BC494A"/>
    <w:rsid w:val="00BC4DB2"/>
    <w:rsid w:val="00BC5403"/>
    <w:rsid w:val="00BC5436"/>
    <w:rsid w:val="00BC553F"/>
    <w:rsid w:val="00BC6329"/>
    <w:rsid w:val="00BC6A42"/>
    <w:rsid w:val="00BC6AF7"/>
    <w:rsid w:val="00BC6AFA"/>
    <w:rsid w:val="00BC6E42"/>
    <w:rsid w:val="00BC6EC1"/>
    <w:rsid w:val="00BC7229"/>
    <w:rsid w:val="00BC7458"/>
    <w:rsid w:val="00BC7461"/>
    <w:rsid w:val="00BC774F"/>
    <w:rsid w:val="00BC7CAB"/>
    <w:rsid w:val="00BD0117"/>
    <w:rsid w:val="00BD0429"/>
    <w:rsid w:val="00BD05EC"/>
    <w:rsid w:val="00BD07A3"/>
    <w:rsid w:val="00BD09EC"/>
    <w:rsid w:val="00BD0A1F"/>
    <w:rsid w:val="00BD0AF8"/>
    <w:rsid w:val="00BD0C2F"/>
    <w:rsid w:val="00BD0CBA"/>
    <w:rsid w:val="00BD0E41"/>
    <w:rsid w:val="00BD0F48"/>
    <w:rsid w:val="00BD1197"/>
    <w:rsid w:val="00BD1459"/>
    <w:rsid w:val="00BD14E9"/>
    <w:rsid w:val="00BD1860"/>
    <w:rsid w:val="00BD1A02"/>
    <w:rsid w:val="00BD1A55"/>
    <w:rsid w:val="00BD1CB2"/>
    <w:rsid w:val="00BD1CFA"/>
    <w:rsid w:val="00BD1F32"/>
    <w:rsid w:val="00BD29E6"/>
    <w:rsid w:val="00BD2A37"/>
    <w:rsid w:val="00BD2FBE"/>
    <w:rsid w:val="00BD3313"/>
    <w:rsid w:val="00BD33C2"/>
    <w:rsid w:val="00BD39FC"/>
    <w:rsid w:val="00BD3B4C"/>
    <w:rsid w:val="00BD4354"/>
    <w:rsid w:val="00BD467E"/>
    <w:rsid w:val="00BD4C4C"/>
    <w:rsid w:val="00BD4C79"/>
    <w:rsid w:val="00BD50AF"/>
    <w:rsid w:val="00BD51E0"/>
    <w:rsid w:val="00BD562E"/>
    <w:rsid w:val="00BD5E15"/>
    <w:rsid w:val="00BD60AA"/>
    <w:rsid w:val="00BD61F7"/>
    <w:rsid w:val="00BD63C8"/>
    <w:rsid w:val="00BD65D5"/>
    <w:rsid w:val="00BD67D2"/>
    <w:rsid w:val="00BD6A8C"/>
    <w:rsid w:val="00BD6BBD"/>
    <w:rsid w:val="00BD7468"/>
    <w:rsid w:val="00BD7BA5"/>
    <w:rsid w:val="00BD7D11"/>
    <w:rsid w:val="00BE0015"/>
    <w:rsid w:val="00BE044E"/>
    <w:rsid w:val="00BE05AC"/>
    <w:rsid w:val="00BE0862"/>
    <w:rsid w:val="00BE0B71"/>
    <w:rsid w:val="00BE101F"/>
    <w:rsid w:val="00BE13A7"/>
    <w:rsid w:val="00BE1B2A"/>
    <w:rsid w:val="00BE20B8"/>
    <w:rsid w:val="00BE22F7"/>
    <w:rsid w:val="00BE2CB8"/>
    <w:rsid w:val="00BE2E4C"/>
    <w:rsid w:val="00BE33FE"/>
    <w:rsid w:val="00BE3770"/>
    <w:rsid w:val="00BE3817"/>
    <w:rsid w:val="00BE3A12"/>
    <w:rsid w:val="00BE406F"/>
    <w:rsid w:val="00BE414E"/>
    <w:rsid w:val="00BE417D"/>
    <w:rsid w:val="00BE45C7"/>
    <w:rsid w:val="00BE466C"/>
    <w:rsid w:val="00BE4B15"/>
    <w:rsid w:val="00BE519D"/>
    <w:rsid w:val="00BE5248"/>
    <w:rsid w:val="00BE5320"/>
    <w:rsid w:val="00BE59E9"/>
    <w:rsid w:val="00BE5B64"/>
    <w:rsid w:val="00BE63C4"/>
    <w:rsid w:val="00BE66EB"/>
    <w:rsid w:val="00BE6769"/>
    <w:rsid w:val="00BE68AA"/>
    <w:rsid w:val="00BE68B5"/>
    <w:rsid w:val="00BE6988"/>
    <w:rsid w:val="00BE6D75"/>
    <w:rsid w:val="00BE6E89"/>
    <w:rsid w:val="00BE715D"/>
    <w:rsid w:val="00BE7D1B"/>
    <w:rsid w:val="00BE7D3C"/>
    <w:rsid w:val="00BE7E0B"/>
    <w:rsid w:val="00BF021B"/>
    <w:rsid w:val="00BF0341"/>
    <w:rsid w:val="00BF036B"/>
    <w:rsid w:val="00BF0D95"/>
    <w:rsid w:val="00BF0DA4"/>
    <w:rsid w:val="00BF129E"/>
    <w:rsid w:val="00BF1D4E"/>
    <w:rsid w:val="00BF22D0"/>
    <w:rsid w:val="00BF2AE9"/>
    <w:rsid w:val="00BF2C1E"/>
    <w:rsid w:val="00BF2C1F"/>
    <w:rsid w:val="00BF2C4A"/>
    <w:rsid w:val="00BF32EF"/>
    <w:rsid w:val="00BF347F"/>
    <w:rsid w:val="00BF34D6"/>
    <w:rsid w:val="00BF3574"/>
    <w:rsid w:val="00BF3773"/>
    <w:rsid w:val="00BF3BDE"/>
    <w:rsid w:val="00BF3C0D"/>
    <w:rsid w:val="00BF41CA"/>
    <w:rsid w:val="00BF4A2C"/>
    <w:rsid w:val="00BF4B22"/>
    <w:rsid w:val="00BF4CC0"/>
    <w:rsid w:val="00BF4D6F"/>
    <w:rsid w:val="00BF4D7B"/>
    <w:rsid w:val="00BF51EF"/>
    <w:rsid w:val="00BF54EA"/>
    <w:rsid w:val="00BF553A"/>
    <w:rsid w:val="00BF560E"/>
    <w:rsid w:val="00BF563A"/>
    <w:rsid w:val="00BF5BDE"/>
    <w:rsid w:val="00BF69AF"/>
    <w:rsid w:val="00BF6CE1"/>
    <w:rsid w:val="00BF7055"/>
    <w:rsid w:val="00BF71E4"/>
    <w:rsid w:val="00BF7385"/>
    <w:rsid w:val="00C0007B"/>
    <w:rsid w:val="00C00602"/>
    <w:rsid w:val="00C00EDC"/>
    <w:rsid w:val="00C00F5B"/>
    <w:rsid w:val="00C00F66"/>
    <w:rsid w:val="00C01189"/>
    <w:rsid w:val="00C01311"/>
    <w:rsid w:val="00C0156A"/>
    <w:rsid w:val="00C017CC"/>
    <w:rsid w:val="00C01F9C"/>
    <w:rsid w:val="00C02652"/>
    <w:rsid w:val="00C02B1A"/>
    <w:rsid w:val="00C02CE5"/>
    <w:rsid w:val="00C02EC1"/>
    <w:rsid w:val="00C03148"/>
    <w:rsid w:val="00C03160"/>
    <w:rsid w:val="00C035B5"/>
    <w:rsid w:val="00C03697"/>
    <w:rsid w:val="00C036A4"/>
    <w:rsid w:val="00C04015"/>
    <w:rsid w:val="00C04083"/>
    <w:rsid w:val="00C0456A"/>
    <w:rsid w:val="00C0496A"/>
    <w:rsid w:val="00C04D45"/>
    <w:rsid w:val="00C04D6C"/>
    <w:rsid w:val="00C04EAC"/>
    <w:rsid w:val="00C05480"/>
    <w:rsid w:val="00C05564"/>
    <w:rsid w:val="00C057A9"/>
    <w:rsid w:val="00C05C90"/>
    <w:rsid w:val="00C05DBC"/>
    <w:rsid w:val="00C05F53"/>
    <w:rsid w:val="00C06035"/>
    <w:rsid w:val="00C062A8"/>
    <w:rsid w:val="00C06407"/>
    <w:rsid w:val="00C06677"/>
    <w:rsid w:val="00C066CA"/>
    <w:rsid w:val="00C067D5"/>
    <w:rsid w:val="00C06905"/>
    <w:rsid w:val="00C06B3E"/>
    <w:rsid w:val="00C06C19"/>
    <w:rsid w:val="00C06CAA"/>
    <w:rsid w:val="00C06EDE"/>
    <w:rsid w:val="00C07327"/>
    <w:rsid w:val="00C073DA"/>
    <w:rsid w:val="00C07F02"/>
    <w:rsid w:val="00C10011"/>
    <w:rsid w:val="00C102D0"/>
    <w:rsid w:val="00C10440"/>
    <w:rsid w:val="00C10A67"/>
    <w:rsid w:val="00C10AE9"/>
    <w:rsid w:val="00C10FF2"/>
    <w:rsid w:val="00C1103C"/>
    <w:rsid w:val="00C1138E"/>
    <w:rsid w:val="00C113ED"/>
    <w:rsid w:val="00C11608"/>
    <w:rsid w:val="00C11666"/>
    <w:rsid w:val="00C118B7"/>
    <w:rsid w:val="00C11A14"/>
    <w:rsid w:val="00C11BEC"/>
    <w:rsid w:val="00C123A0"/>
    <w:rsid w:val="00C123C8"/>
    <w:rsid w:val="00C1241B"/>
    <w:rsid w:val="00C12587"/>
    <w:rsid w:val="00C125FB"/>
    <w:rsid w:val="00C1276E"/>
    <w:rsid w:val="00C127E8"/>
    <w:rsid w:val="00C128A6"/>
    <w:rsid w:val="00C13978"/>
    <w:rsid w:val="00C13FF9"/>
    <w:rsid w:val="00C1401B"/>
    <w:rsid w:val="00C140BF"/>
    <w:rsid w:val="00C14272"/>
    <w:rsid w:val="00C14291"/>
    <w:rsid w:val="00C146FB"/>
    <w:rsid w:val="00C148D1"/>
    <w:rsid w:val="00C14A09"/>
    <w:rsid w:val="00C14F41"/>
    <w:rsid w:val="00C15217"/>
    <w:rsid w:val="00C15869"/>
    <w:rsid w:val="00C15BB2"/>
    <w:rsid w:val="00C15BF7"/>
    <w:rsid w:val="00C15C57"/>
    <w:rsid w:val="00C16045"/>
    <w:rsid w:val="00C1649C"/>
    <w:rsid w:val="00C167B4"/>
    <w:rsid w:val="00C169E7"/>
    <w:rsid w:val="00C16D43"/>
    <w:rsid w:val="00C16DC5"/>
    <w:rsid w:val="00C16E94"/>
    <w:rsid w:val="00C17553"/>
    <w:rsid w:val="00C17BE9"/>
    <w:rsid w:val="00C17FF0"/>
    <w:rsid w:val="00C2002F"/>
    <w:rsid w:val="00C2025E"/>
    <w:rsid w:val="00C20A7B"/>
    <w:rsid w:val="00C20BF0"/>
    <w:rsid w:val="00C20F62"/>
    <w:rsid w:val="00C20FDA"/>
    <w:rsid w:val="00C211F7"/>
    <w:rsid w:val="00C21AC7"/>
    <w:rsid w:val="00C21D08"/>
    <w:rsid w:val="00C2233A"/>
    <w:rsid w:val="00C22488"/>
    <w:rsid w:val="00C22748"/>
    <w:rsid w:val="00C227C9"/>
    <w:rsid w:val="00C22B0E"/>
    <w:rsid w:val="00C22CB6"/>
    <w:rsid w:val="00C22EBC"/>
    <w:rsid w:val="00C23216"/>
    <w:rsid w:val="00C23821"/>
    <w:rsid w:val="00C23F6A"/>
    <w:rsid w:val="00C241D0"/>
    <w:rsid w:val="00C24420"/>
    <w:rsid w:val="00C24D18"/>
    <w:rsid w:val="00C24D51"/>
    <w:rsid w:val="00C25014"/>
    <w:rsid w:val="00C2502B"/>
    <w:rsid w:val="00C2503E"/>
    <w:rsid w:val="00C25EB4"/>
    <w:rsid w:val="00C261A3"/>
    <w:rsid w:val="00C2621C"/>
    <w:rsid w:val="00C26237"/>
    <w:rsid w:val="00C267CC"/>
    <w:rsid w:val="00C26967"/>
    <w:rsid w:val="00C26A59"/>
    <w:rsid w:val="00C26EEC"/>
    <w:rsid w:val="00C274A1"/>
    <w:rsid w:val="00C275F4"/>
    <w:rsid w:val="00C277D9"/>
    <w:rsid w:val="00C27CC2"/>
    <w:rsid w:val="00C30273"/>
    <w:rsid w:val="00C3027F"/>
    <w:rsid w:val="00C30739"/>
    <w:rsid w:val="00C30AFD"/>
    <w:rsid w:val="00C30B55"/>
    <w:rsid w:val="00C30ED0"/>
    <w:rsid w:val="00C30FB8"/>
    <w:rsid w:val="00C31AEF"/>
    <w:rsid w:val="00C31BE5"/>
    <w:rsid w:val="00C32A08"/>
    <w:rsid w:val="00C32D37"/>
    <w:rsid w:val="00C32D85"/>
    <w:rsid w:val="00C32DD9"/>
    <w:rsid w:val="00C330A4"/>
    <w:rsid w:val="00C33763"/>
    <w:rsid w:val="00C3382D"/>
    <w:rsid w:val="00C33839"/>
    <w:rsid w:val="00C339C7"/>
    <w:rsid w:val="00C33B04"/>
    <w:rsid w:val="00C34675"/>
    <w:rsid w:val="00C349A1"/>
    <w:rsid w:val="00C34B08"/>
    <w:rsid w:val="00C34C94"/>
    <w:rsid w:val="00C34F25"/>
    <w:rsid w:val="00C34F39"/>
    <w:rsid w:val="00C3505D"/>
    <w:rsid w:val="00C351F1"/>
    <w:rsid w:val="00C35D78"/>
    <w:rsid w:val="00C35E34"/>
    <w:rsid w:val="00C36123"/>
    <w:rsid w:val="00C3615F"/>
    <w:rsid w:val="00C3637C"/>
    <w:rsid w:val="00C3656B"/>
    <w:rsid w:val="00C36E22"/>
    <w:rsid w:val="00C370E5"/>
    <w:rsid w:val="00C37285"/>
    <w:rsid w:val="00C373B8"/>
    <w:rsid w:val="00C37514"/>
    <w:rsid w:val="00C37664"/>
    <w:rsid w:val="00C3774F"/>
    <w:rsid w:val="00C37C61"/>
    <w:rsid w:val="00C37D02"/>
    <w:rsid w:val="00C37F8F"/>
    <w:rsid w:val="00C40338"/>
    <w:rsid w:val="00C406CD"/>
    <w:rsid w:val="00C41024"/>
    <w:rsid w:val="00C4140E"/>
    <w:rsid w:val="00C41741"/>
    <w:rsid w:val="00C41746"/>
    <w:rsid w:val="00C41D89"/>
    <w:rsid w:val="00C41F4A"/>
    <w:rsid w:val="00C42223"/>
    <w:rsid w:val="00C42513"/>
    <w:rsid w:val="00C42523"/>
    <w:rsid w:val="00C42DA2"/>
    <w:rsid w:val="00C43585"/>
    <w:rsid w:val="00C436C7"/>
    <w:rsid w:val="00C4449C"/>
    <w:rsid w:val="00C444DC"/>
    <w:rsid w:val="00C4460F"/>
    <w:rsid w:val="00C45220"/>
    <w:rsid w:val="00C452A5"/>
    <w:rsid w:val="00C45773"/>
    <w:rsid w:val="00C45D8E"/>
    <w:rsid w:val="00C46128"/>
    <w:rsid w:val="00C465DD"/>
    <w:rsid w:val="00C466C9"/>
    <w:rsid w:val="00C46931"/>
    <w:rsid w:val="00C46B1D"/>
    <w:rsid w:val="00C47748"/>
    <w:rsid w:val="00C47A98"/>
    <w:rsid w:val="00C47C15"/>
    <w:rsid w:val="00C47CB8"/>
    <w:rsid w:val="00C50430"/>
    <w:rsid w:val="00C508A6"/>
    <w:rsid w:val="00C50A4C"/>
    <w:rsid w:val="00C50CEA"/>
    <w:rsid w:val="00C5144D"/>
    <w:rsid w:val="00C514C3"/>
    <w:rsid w:val="00C51576"/>
    <w:rsid w:val="00C51632"/>
    <w:rsid w:val="00C518A4"/>
    <w:rsid w:val="00C51D7C"/>
    <w:rsid w:val="00C51F4C"/>
    <w:rsid w:val="00C51F59"/>
    <w:rsid w:val="00C522B9"/>
    <w:rsid w:val="00C5246D"/>
    <w:rsid w:val="00C52738"/>
    <w:rsid w:val="00C52B71"/>
    <w:rsid w:val="00C53697"/>
    <w:rsid w:val="00C5398D"/>
    <w:rsid w:val="00C53A30"/>
    <w:rsid w:val="00C53CC3"/>
    <w:rsid w:val="00C542E7"/>
    <w:rsid w:val="00C547C5"/>
    <w:rsid w:val="00C55207"/>
    <w:rsid w:val="00C55AB1"/>
    <w:rsid w:val="00C55B62"/>
    <w:rsid w:val="00C56038"/>
    <w:rsid w:val="00C56093"/>
    <w:rsid w:val="00C56623"/>
    <w:rsid w:val="00C56943"/>
    <w:rsid w:val="00C5700B"/>
    <w:rsid w:val="00C577EB"/>
    <w:rsid w:val="00C57BB9"/>
    <w:rsid w:val="00C601B5"/>
    <w:rsid w:val="00C605E7"/>
    <w:rsid w:val="00C60836"/>
    <w:rsid w:val="00C615A0"/>
    <w:rsid w:val="00C6196A"/>
    <w:rsid w:val="00C61EE7"/>
    <w:rsid w:val="00C621C9"/>
    <w:rsid w:val="00C62766"/>
    <w:rsid w:val="00C63002"/>
    <w:rsid w:val="00C63A17"/>
    <w:rsid w:val="00C63C38"/>
    <w:rsid w:val="00C640FC"/>
    <w:rsid w:val="00C64167"/>
    <w:rsid w:val="00C64866"/>
    <w:rsid w:val="00C65263"/>
    <w:rsid w:val="00C6561F"/>
    <w:rsid w:val="00C65646"/>
    <w:rsid w:val="00C65918"/>
    <w:rsid w:val="00C65B71"/>
    <w:rsid w:val="00C65FD1"/>
    <w:rsid w:val="00C66747"/>
    <w:rsid w:val="00C6691B"/>
    <w:rsid w:val="00C6694E"/>
    <w:rsid w:val="00C66E71"/>
    <w:rsid w:val="00C66EA6"/>
    <w:rsid w:val="00C66F70"/>
    <w:rsid w:val="00C67099"/>
    <w:rsid w:val="00C67299"/>
    <w:rsid w:val="00C67B64"/>
    <w:rsid w:val="00C67E10"/>
    <w:rsid w:val="00C67FF7"/>
    <w:rsid w:val="00C70223"/>
    <w:rsid w:val="00C708A8"/>
    <w:rsid w:val="00C717D4"/>
    <w:rsid w:val="00C71992"/>
    <w:rsid w:val="00C71FE5"/>
    <w:rsid w:val="00C720B6"/>
    <w:rsid w:val="00C72166"/>
    <w:rsid w:val="00C721AD"/>
    <w:rsid w:val="00C723B5"/>
    <w:rsid w:val="00C72F98"/>
    <w:rsid w:val="00C73409"/>
    <w:rsid w:val="00C7344F"/>
    <w:rsid w:val="00C7372D"/>
    <w:rsid w:val="00C73A4E"/>
    <w:rsid w:val="00C73E9C"/>
    <w:rsid w:val="00C7475B"/>
    <w:rsid w:val="00C74886"/>
    <w:rsid w:val="00C74CE4"/>
    <w:rsid w:val="00C74D2F"/>
    <w:rsid w:val="00C74DEC"/>
    <w:rsid w:val="00C74FF9"/>
    <w:rsid w:val="00C755EA"/>
    <w:rsid w:val="00C75913"/>
    <w:rsid w:val="00C75AE4"/>
    <w:rsid w:val="00C75EB1"/>
    <w:rsid w:val="00C764C5"/>
    <w:rsid w:val="00C7691B"/>
    <w:rsid w:val="00C769D1"/>
    <w:rsid w:val="00C76B88"/>
    <w:rsid w:val="00C76D29"/>
    <w:rsid w:val="00C76EA3"/>
    <w:rsid w:val="00C76F33"/>
    <w:rsid w:val="00C770EE"/>
    <w:rsid w:val="00C77358"/>
    <w:rsid w:val="00C77596"/>
    <w:rsid w:val="00C7765A"/>
    <w:rsid w:val="00C77785"/>
    <w:rsid w:val="00C77AD9"/>
    <w:rsid w:val="00C77EBA"/>
    <w:rsid w:val="00C77FB2"/>
    <w:rsid w:val="00C801C8"/>
    <w:rsid w:val="00C80607"/>
    <w:rsid w:val="00C8072E"/>
    <w:rsid w:val="00C80996"/>
    <w:rsid w:val="00C80A85"/>
    <w:rsid w:val="00C80D0F"/>
    <w:rsid w:val="00C80DFB"/>
    <w:rsid w:val="00C80F93"/>
    <w:rsid w:val="00C81593"/>
    <w:rsid w:val="00C815F9"/>
    <w:rsid w:val="00C81C46"/>
    <w:rsid w:val="00C8216C"/>
    <w:rsid w:val="00C82292"/>
    <w:rsid w:val="00C824C6"/>
    <w:rsid w:val="00C82635"/>
    <w:rsid w:val="00C82A25"/>
    <w:rsid w:val="00C82C89"/>
    <w:rsid w:val="00C82FC5"/>
    <w:rsid w:val="00C831E7"/>
    <w:rsid w:val="00C83E6A"/>
    <w:rsid w:val="00C83E7B"/>
    <w:rsid w:val="00C840A6"/>
    <w:rsid w:val="00C84EFB"/>
    <w:rsid w:val="00C85C05"/>
    <w:rsid w:val="00C85D91"/>
    <w:rsid w:val="00C85EA3"/>
    <w:rsid w:val="00C85F67"/>
    <w:rsid w:val="00C86454"/>
    <w:rsid w:val="00C86826"/>
    <w:rsid w:val="00C86DF7"/>
    <w:rsid w:val="00C8735D"/>
    <w:rsid w:val="00C87598"/>
    <w:rsid w:val="00C903EA"/>
    <w:rsid w:val="00C90C74"/>
    <w:rsid w:val="00C90CD2"/>
    <w:rsid w:val="00C91A65"/>
    <w:rsid w:val="00C927EF"/>
    <w:rsid w:val="00C9288D"/>
    <w:rsid w:val="00C92934"/>
    <w:rsid w:val="00C930E4"/>
    <w:rsid w:val="00C93240"/>
    <w:rsid w:val="00C933AD"/>
    <w:rsid w:val="00C93BD0"/>
    <w:rsid w:val="00C9411C"/>
    <w:rsid w:val="00C943DF"/>
    <w:rsid w:val="00C945E7"/>
    <w:rsid w:val="00C94AE1"/>
    <w:rsid w:val="00C94EAA"/>
    <w:rsid w:val="00C95504"/>
    <w:rsid w:val="00C955A0"/>
    <w:rsid w:val="00C955BD"/>
    <w:rsid w:val="00C956F1"/>
    <w:rsid w:val="00C9570C"/>
    <w:rsid w:val="00C9570F"/>
    <w:rsid w:val="00C95B38"/>
    <w:rsid w:val="00C95B3D"/>
    <w:rsid w:val="00C95CD8"/>
    <w:rsid w:val="00C95DF5"/>
    <w:rsid w:val="00C95E05"/>
    <w:rsid w:val="00C9652A"/>
    <w:rsid w:val="00C96697"/>
    <w:rsid w:val="00C969C5"/>
    <w:rsid w:val="00C96AE8"/>
    <w:rsid w:val="00C96BED"/>
    <w:rsid w:val="00C96D85"/>
    <w:rsid w:val="00C97131"/>
    <w:rsid w:val="00C9713B"/>
    <w:rsid w:val="00C97256"/>
    <w:rsid w:val="00C97760"/>
    <w:rsid w:val="00C97799"/>
    <w:rsid w:val="00C97A54"/>
    <w:rsid w:val="00C97B2B"/>
    <w:rsid w:val="00CA0745"/>
    <w:rsid w:val="00CA0747"/>
    <w:rsid w:val="00CA0763"/>
    <w:rsid w:val="00CA103F"/>
    <w:rsid w:val="00CA109F"/>
    <w:rsid w:val="00CA10BA"/>
    <w:rsid w:val="00CA12B8"/>
    <w:rsid w:val="00CA15DC"/>
    <w:rsid w:val="00CA1711"/>
    <w:rsid w:val="00CA1E98"/>
    <w:rsid w:val="00CA1ED0"/>
    <w:rsid w:val="00CA1F5C"/>
    <w:rsid w:val="00CA245E"/>
    <w:rsid w:val="00CA2880"/>
    <w:rsid w:val="00CA2AD7"/>
    <w:rsid w:val="00CA2D95"/>
    <w:rsid w:val="00CA3153"/>
    <w:rsid w:val="00CA3520"/>
    <w:rsid w:val="00CA3524"/>
    <w:rsid w:val="00CA38D9"/>
    <w:rsid w:val="00CA390E"/>
    <w:rsid w:val="00CA3CEB"/>
    <w:rsid w:val="00CA446A"/>
    <w:rsid w:val="00CA455C"/>
    <w:rsid w:val="00CA4F19"/>
    <w:rsid w:val="00CA518B"/>
    <w:rsid w:val="00CA54D2"/>
    <w:rsid w:val="00CA5A87"/>
    <w:rsid w:val="00CA5DA0"/>
    <w:rsid w:val="00CA5FDA"/>
    <w:rsid w:val="00CA609E"/>
    <w:rsid w:val="00CA630A"/>
    <w:rsid w:val="00CA636F"/>
    <w:rsid w:val="00CA647E"/>
    <w:rsid w:val="00CA64C3"/>
    <w:rsid w:val="00CA64EB"/>
    <w:rsid w:val="00CA6AC1"/>
    <w:rsid w:val="00CA71E0"/>
    <w:rsid w:val="00CA7A36"/>
    <w:rsid w:val="00CA7C0B"/>
    <w:rsid w:val="00CA7C75"/>
    <w:rsid w:val="00CA7F1A"/>
    <w:rsid w:val="00CB04BB"/>
    <w:rsid w:val="00CB053D"/>
    <w:rsid w:val="00CB05C8"/>
    <w:rsid w:val="00CB0F4B"/>
    <w:rsid w:val="00CB12AD"/>
    <w:rsid w:val="00CB13A8"/>
    <w:rsid w:val="00CB1561"/>
    <w:rsid w:val="00CB15C7"/>
    <w:rsid w:val="00CB17E0"/>
    <w:rsid w:val="00CB228F"/>
    <w:rsid w:val="00CB22C5"/>
    <w:rsid w:val="00CB25E9"/>
    <w:rsid w:val="00CB266D"/>
    <w:rsid w:val="00CB2FEF"/>
    <w:rsid w:val="00CB3A66"/>
    <w:rsid w:val="00CB3BB9"/>
    <w:rsid w:val="00CB476D"/>
    <w:rsid w:val="00CB4AB1"/>
    <w:rsid w:val="00CB4CC8"/>
    <w:rsid w:val="00CB4E62"/>
    <w:rsid w:val="00CB55F3"/>
    <w:rsid w:val="00CB58B5"/>
    <w:rsid w:val="00CB5A2F"/>
    <w:rsid w:val="00CB5D58"/>
    <w:rsid w:val="00CB60F4"/>
    <w:rsid w:val="00CB6354"/>
    <w:rsid w:val="00CB66D7"/>
    <w:rsid w:val="00CB69F0"/>
    <w:rsid w:val="00CB6DD7"/>
    <w:rsid w:val="00CB725A"/>
    <w:rsid w:val="00CB77E9"/>
    <w:rsid w:val="00CB791E"/>
    <w:rsid w:val="00CB7977"/>
    <w:rsid w:val="00CB7A0B"/>
    <w:rsid w:val="00CB7A8C"/>
    <w:rsid w:val="00CB7EFD"/>
    <w:rsid w:val="00CC036E"/>
    <w:rsid w:val="00CC0400"/>
    <w:rsid w:val="00CC04C8"/>
    <w:rsid w:val="00CC0B3C"/>
    <w:rsid w:val="00CC0BB1"/>
    <w:rsid w:val="00CC0BC1"/>
    <w:rsid w:val="00CC1BCF"/>
    <w:rsid w:val="00CC20D9"/>
    <w:rsid w:val="00CC2609"/>
    <w:rsid w:val="00CC2C23"/>
    <w:rsid w:val="00CC2C39"/>
    <w:rsid w:val="00CC3361"/>
    <w:rsid w:val="00CC3477"/>
    <w:rsid w:val="00CC39BB"/>
    <w:rsid w:val="00CC3B46"/>
    <w:rsid w:val="00CC42A9"/>
    <w:rsid w:val="00CC4588"/>
    <w:rsid w:val="00CC47C7"/>
    <w:rsid w:val="00CC498B"/>
    <w:rsid w:val="00CC4B20"/>
    <w:rsid w:val="00CC4D2A"/>
    <w:rsid w:val="00CC5363"/>
    <w:rsid w:val="00CC53DE"/>
    <w:rsid w:val="00CC5403"/>
    <w:rsid w:val="00CC5425"/>
    <w:rsid w:val="00CC5492"/>
    <w:rsid w:val="00CC55BB"/>
    <w:rsid w:val="00CC55ED"/>
    <w:rsid w:val="00CC5A8A"/>
    <w:rsid w:val="00CC5A8D"/>
    <w:rsid w:val="00CC5AA5"/>
    <w:rsid w:val="00CC5C0E"/>
    <w:rsid w:val="00CC5DC7"/>
    <w:rsid w:val="00CC672E"/>
    <w:rsid w:val="00CC672F"/>
    <w:rsid w:val="00CC68AF"/>
    <w:rsid w:val="00CC68CB"/>
    <w:rsid w:val="00CC6973"/>
    <w:rsid w:val="00CC6A34"/>
    <w:rsid w:val="00CC6CCA"/>
    <w:rsid w:val="00CC6D7B"/>
    <w:rsid w:val="00CC7180"/>
    <w:rsid w:val="00CC71B8"/>
    <w:rsid w:val="00CC7399"/>
    <w:rsid w:val="00CC76AB"/>
    <w:rsid w:val="00CC771B"/>
    <w:rsid w:val="00CC7B4A"/>
    <w:rsid w:val="00CC7C4F"/>
    <w:rsid w:val="00CC7E71"/>
    <w:rsid w:val="00CD010E"/>
    <w:rsid w:val="00CD0400"/>
    <w:rsid w:val="00CD043D"/>
    <w:rsid w:val="00CD05C0"/>
    <w:rsid w:val="00CD0689"/>
    <w:rsid w:val="00CD07FB"/>
    <w:rsid w:val="00CD0ABA"/>
    <w:rsid w:val="00CD0B9B"/>
    <w:rsid w:val="00CD0C8C"/>
    <w:rsid w:val="00CD0F65"/>
    <w:rsid w:val="00CD100D"/>
    <w:rsid w:val="00CD10CF"/>
    <w:rsid w:val="00CD10D9"/>
    <w:rsid w:val="00CD1E46"/>
    <w:rsid w:val="00CD267B"/>
    <w:rsid w:val="00CD2763"/>
    <w:rsid w:val="00CD2B08"/>
    <w:rsid w:val="00CD2BEB"/>
    <w:rsid w:val="00CD35EC"/>
    <w:rsid w:val="00CD3948"/>
    <w:rsid w:val="00CD3CEB"/>
    <w:rsid w:val="00CD3E4D"/>
    <w:rsid w:val="00CD41D5"/>
    <w:rsid w:val="00CD41DC"/>
    <w:rsid w:val="00CD462A"/>
    <w:rsid w:val="00CD4E46"/>
    <w:rsid w:val="00CD4E7B"/>
    <w:rsid w:val="00CD5774"/>
    <w:rsid w:val="00CD591D"/>
    <w:rsid w:val="00CD5C30"/>
    <w:rsid w:val="00CD69FD"/>
    <w:rsid w:val="00CD6A68"/>
    <w:rsid w:val="00CD6AC1"/>
    <w:rsid w:val="00CD70FC"/>
    <w:rsid w:val="00CD74F6"/>
    <w:rsid w:val="00CD77CD"/>
    <w:rsid w:val="00CD78A2"/>
    <w:rsid w:val="00CD7A39"/>
    <w:rsid w:val="00CD7AEA"/>
    <w:rsid w:val="00CD7F00"/>
    <w:rsid w:val="00CE011A"/>
    <w:rsid w:val="00CE0559"/>
    <w:rsid w:val="00CE072E"/>
    <w:rsid w:val="00CE0A8C"/>
    <w:rsid w:val="00CE1068"/>
    <w:rsid w:val="00CE1483"/>
    <w:rsid w:val="00CE1528"/>
    <w:rsid w:val="00CE18E5"/>
    <w:rsid w:val="00CE1C90"/>
    <w:rsid w:val="00CE1CDA"/>
    <w:rsid w:val="00CE1CEA"/>
    <w:rsid w:val="00CE26F3"/>
    <w:rsid w:val="00CE289A"/>
    <w:rsid w:val="00CE2C92"/>
    <w:rsid w:val="00CE2E59"/>
    <w:rsid w:val="00CE2F02"/>
    <w:rsid w:val="00CE330F"/>
    <w:rsid w:val="00CE37DC"/>
    <w:rsid w:val="00CE3B08"/>
    <w:rsid w:val="00CE3D91"/>
    <w:rsid w:val="00CE3DA2"/>
    <w:rsid w:val="00CE3F40"/>
    <w:rsid w:val="00CE3FDF"/>
    <w:rsid w:val="00CE428B"/>
    <w:rsid w:val="00CE42CA"/>
    <w:rsid w:val="00CE45F2"/>
    <w:rsid w:val="00CE480F"/>
    <w:rsid w:val="00CE48AC"/>
    <w:rsid w:val="00CE4BAF"/>
    <w:rsid w:val="00CE4BDA"/>
    <w:rsid w:val="00CE4F26"/>
    <w:rsid w:val="00CE534F"/>
    <w:rsid w:val="00CE53C5"/>
    <w:rsid w:val="00CE5459"/>
    <w:rsid w:val="00CE5973"/>
    <w:rsid w:val="00CE5D5F"/>
    <w:rsid w:val="00CE5DB9"/>
    <w:rsid w:val="00CE5DD5"/>
    <w:rsid w:val="00CE5FB6"/>
    <w:rsid w:val="00CE609B"/>
    <w:rsid w:val="00CE6715"/>
    <w:rsid w:val="00CE6859"/>
    <w:rsid w:val="00CE68EF"/>
    <w:rsid w:val="00CE69A7"/>
    <w:rsid w:val="00CE6A38"/>
    <w:rsid w:val="00CE6CC5"/>
    <w:rsid w:val="00CE7351"/>
    <w:rsid w:val="00CE7CE5"/>
    <w:rsid w:val="00CE7E3A"/>
    <w:rsid w:val="00CE7E63"/>
    <w:rsid w:val="00CE7E95"/>
    <w:rsid w:val="00CF02AE"/>
    <w:rsid w:val="00CF03E8"/>
    <w:rsid w:val="00CF0AF0"/>
    <w:rsid w:val="00CF1224"/>
    <w:rsid w:val="00CF1288"/>
    <w:rsid w:val="00CF12D6"/>
    <w:rsid w:val="00CF138A"/>
    <w:rsid w:val="00CF142B"/>
    <w:rsid w:val="00CF190D"/>
    <w:rsid w:val="00CF1947"/>
    <w:rsid w:val="00CF1BFE"/>
    <w:rsid w:val="00CF1EEA"/>
    <w:rsid w:val="00CF248A"/>
    <w:rsid w:val="00CF2639"/>
    <w:rsid w:val="00CF2742"/>
    <w:rsid w:val="00CF2946"/>
    <w:rsid w:val="00CF2C7D"/>
    <w:rsid w:val="00CF2D17"/>
    <w:rsid w:val="00CF3261"/>
    <w:rsid w:val="00CF3F8C"/>
    <w:rsid w:val="00CF4262"/>
    <w:rsid w:val="00CF442D"/>
    <w:rsid w:val="00CF46C4"/>
    <w:rsid w:val="00CF46CA"/>
    <w:rsid w:val="00CF4D0E"/>
    <w:rsid w:val="00CF544B"/>
    <w:rsid w:val="00CF5543"/>
    <w:rsid w:val="00CF56D8"/>
    <w:rsid w:val="00CF5AE5"/>
    <w:rsid w:val="00CF6112"/>
    <w:rsid w:val="00CF6144"/>
    <w:rsid w:val="00CF64B1"/>
    <w:rsid w:val="00CF6DAD"/>
    <w:rsid w:val="00CF78FB"/>
    <w:rsid w:val="00CF7F65"/>
    <w:rsid w:val="00D002A4"/>
    <w:rsid w:val="00D00ABF"/>
    <w:rsid w:val="00D00CAC"/>
    <w:rsid w:val="00D00CB4"/>
    <w:rsid w:val="00D00EC3"/>
    <w:rsid w:val="00D01340"/>
    <w:rsid w:val="00D0195E"/>
    <w:rsid w:val="00D01BC3"/>
    <w:rsid w:val="00D01D56"/>
    <w:rsid w:val="00D023F1"/>
    <w:rsid w:val="00D02779"/>
    <w:rsid w:val="00D02B2F"/>
    <w:rsid w:val="00D02B73"/>
    <w:rsid w:val="00D03448"/>
    <w:rsid w:val="00D036F8"/>
    <w:rsid w:val="00D03F8B"/>
    <w:rsid w:val="00D0401E"/>
    <w:rsid w:val="00D041A9"/>
    <w:rsid w:val="00D04E46"/>
    <w:rsid w:val="00D04F05"/>
    <w:rsid w:val="00D04FA3"/>
    <w:rsid w:val="00D05750"/>
    <w:rsid w:val="00D05ECB"/>
    <w:rsid w:val="00D05F63"/>
    <w:rsid w:val="00D05FA8"/>
    <w:rsid w:val="00D061FA"/>
    <w:rsid w:val="00D0621E"/>
    <w:rsid w:val="00D0630D"/>
    <w:rsid w:val="00D063B1"/>
    <w:rsid w:val="00D0660D"/>
    <w:rsid w:val="00D0674F"/>
    <w:rsid w:val="00D06800"/>
    <w:rsid w:val="00D06ABC"/>
    <w:rsid w:val="00D06EAD"/>
    <w:rsid w:val="00D07015"/>
    <w:rsid w:val="00D07609"/>
    <w:rsid w:val="00D07996"/>
    <w:rsid w:val="00D07ACC"/>
    <w:rsid w:val="00D10239"/>
    <w:rsid w:val="00D102B5"/>
    <w:rsid w:val="00D103B2"/>
    <w:rsid w:val="00D103C9"/>
    <w:rsid w:val="00D106F4"/>
    <w:rsid w:val="00D10909"/>
    <w:rsid w:val="00D10917"/>
    <w:rsid w:val="00D10D33"/>
    <w:rsid w:val="00D10EDF"/>
    <w:rsid w:val="00D10F78"/>
    <w:rsid w:val="00D10FAA"/>
    <w:rsid w:val="00D11081"/>
    <w:rsid w:val="00D111E7"/>
    <w:rsid w:val="00D1123E"/>
    <w:rsid w:val="00D1181A"/>
    <w:rsid w:val="00D11C6C"/>
    <w:rsid w:val="00D11D96"/>
    <w:rsid w:val="00D1219C"/>
    <w:rsid w:val="00D12223"/>
    <w:rsid w:val="00D12493"/>
    <w:rsid w:val="00D12567"/>
    <w:rsid w:val="00D1256D"/>
    <w:rsid w:val="00D12828"/>
    <w:rsid w:val="00D12C59"/>
    <w:rsid w:val="00D13185"/>
    <w:rsid w:val="00D1351C"/>
    <w:rsid w:val="00D13A90"/>
    <w:rsid w:val="00D13ACD"/>
    <w:rsid w:val="00D13BE4"/>
    <w:rsid w:val="00D14E23"/>
    <w:rsid w:val="00D14F48"/>
    <w:rsid w:val="00D157FF"/>
    <w:rsid w:val="00D15D0D"/>
    <w:rsid w:val="00D15F00"/>
    <w:rsid w:val="00D1604B"/>
    <w:rsid w:val="00D16172"/>
    <w:rsid w:val="00D161EA"/>
    <w:rsid w:val="00D16331"/>
    <w:rsid w:val="00D17023"/>
    <w:rsid w:val="00D1703A"/>
    <w:rsid w:val="00D17BF9"/>
    <w:rsid w:val="00D20145"/>
    <w:rsid w:val="00D20384"/>
    <w:rsid w:val="00D20A30"/>
    <w:rsid w:val="00D21053"/>
    <w:rsid w:val="00D21071"/>
    <w:rsid w:val="00D21159"/>
    <w:rsid w:val="00D21862"/>
    <w:rsid w:val="00D21E38"/>
    <w:rsid w:val="00D21F8F"/>
    <w:rsid w:val="00D221D5"/>
    <w:rsid w:val="00D2220A"/>
    <w:rsid w:val="00D22663"/>
    <w:rsid w:val="00D22677"/>
    <w:rsid w:val="00D2288D"/>
    <w:rsid w:val="00D228CC"/>
    <w:rsid w:val="00D229F2"/>
    <w:rsid w:val="00D22A99"/>
    <w:rsid w:val="00D22DFB"/>
    <w:rsid w:val="00D22E6B"/>
    <w:rsid w:val="00D22ECC"/>
    <w:rsid w:val="00D23596"/>
    <w:rsid w:val="00D235A3"/>
    <w:rsid w:val="00D23647"/>
    <w:rsid w:val="00D23F28"/>
    <w:rsid w:val="00D243CD"/>
    <w:rsid w:val="00D24682"/>
    <w:rsid w:val="00D248D0"/>
    <w:rsid w:val="00D24AD6"/>
    <w:rsid w:val="00D24DB5"/>
    <w:rsid w:val="00D24EF0"/>
    <w:rsid w:val="00D24F74"/>
    <w:rsid w:val="00D24FD3"/>
    <w:rsid w:val="00D255FE"/>
    <w:rsid w:val="00D256F6"/>
    <w:rsid w:val="00D25D0C"/>
    <w:rsid w:val="00D26092"/>
    <w:rsid w:val="00D265E6"/>
    <w:rsid w:val="00D27272"/>
    <w:rsid w:val="00D27352"/>
    <w:rsid w:val="00D274F4"/>
    <w:rsid w:val="00D275DC"/>
    <w:rsid w:val="00D2762C"/>
    <w:rsid w:val="00D277AE"/>
    <w:rsid w:val="00D301A1"/>
    <w:rsid w:val="00D3030C"/>
    <w:rsid w:val="00D306F9"/>
    <w:rsid w:val="00D3098F"/>
    <w:rsid w:val="00D30B2F"/>
    <w:rsid w:val="00D30B62"/>
    <w:rsid w:val="00D310E1"/>
    <w:rsid w:val="00D3122B"/>
    <w:rsid w:val="00D3142B"/>
    <w:rsid w:val="00D31541"/>
    <w:rsid w:val="00D316B3"/>
    <w:rsid w:val="00D318E3"/>
    <w:rsid w:val="00D3215B"/>
    <w:rsid w:val="00D321D7"/>
    <w:rsid w:val="00D32562"/>
    <w:rsid w:val="00D32983"/>
    <w:rsid w:val="00D32A62"/>
    <w:rsid w:val="00D32DB4"/>
    <w:rsid w:val="00D32F23"/>
    <w:rsid w:val="00D33288"/>
    <w:rsid w:val="00D33622"/>
    <w:rsid w:val="00D34128"/>
    <w:rsid w:val="00D342A2"/>
    <w:rsid w:val="00D34A06"/>
    <w:rsid w:val="00D34A53"/>
    <w:rsid w:val="00D34C5C"/>
    <w:rsid w:val="00D35481"/>
    <w:rsid w:val="00D3554C"/>
    <w:rsid w:val="00D35891"/>
    <w:rsid w:val="00D35CE1"/>
    <w:rsid w:val="00D36025"/>
    <w:rsid w:val="00D360D1"/>
    <w:rsid w:val="00D36274"/>
    <w:rsid w:val="00D36F29"/>
    <w:rsid w:val="00D373B7"/>
    <w:rsid w:val="00D37779"/>
    <w:rsid w:val="00D379F9"/>
    <w:rsid w:val="00D401EF"/>
    <w:rsid w:val="00D40226"/>
    <w:rsid w:val="00D403E1"/>
    <w:rsid w:val="00D4046C"/>
    <w:rsid w:val="00D4072B"/>
    <w:rsid w:val="00D40963"/>
    <w:rsid w:val="00D40D13"/>
    <w:rsid w:val="00D4117B"/>
    <w:rsid w:val="00D411AC"/>
    <w:rsid w:val="00D41363"/>
    <w:rsid w:val="00D41512"/>
    <w:rsid w:val="00D41680"/>
    <w:rsid w:val="00D41825"/>
    <w:rsid w:val="00D41A2F"/>
    <w:rsid w:val="00D41E0A"/>
    <w:rsid w:val="00D42962"/>
    <w:rsid w:val="00D4341B"/>
    <w:rsid w:val="00D43860"/>
    <w:rsid w:val="00D439D7"/>
    <w:rsid w:val="00D43B21"/>
    <w:rsid w:val="00D43B8A"/>
    <w:rsid w:val="00D43C8F"/>
    <w:rsid w:val="00D4454F"/>
    <w:rsid w:val="00D4462A"/>
    <w:rsid w:val="00D44757"/>
    <w:rsid w:val="00D449CD"/>
    <w:rsid w:val="00D44A8B"/>
    <w:rsid w:val="00D44B05"/>
    <w:rsid w:val="00D44C98"/>
    <w:rsid w:val="00D44EDE"/>
    <w:rsid w:val="00D45434"/>
    <w:rsid w:val="00D459A8"/>
    <w:rsid w:val="00D45B6A"/>
    <w:rsid w:val="00D45FFB"/>
    <w:rsid w:val="00D463D7"/>
    <w:rsid w:val="00D4678D"/>
    <w:rsid w:val="00D46AFA"/>
    <w:rsid w:val="00D47113"/>
    <w:rsid w:val="00D471B2"/>
    <w:rsid w:val="00D477C8"/>
    <w:rsid w:val="00D5001D"/>
    <w:rsid w:val="00D5080F"/>
    <w:rsid w:val="00D508AA"/>
    <w:rsid w:val="00D50B62"/>
    <w:rsid w:val="00D51168"/>
    <w:rsid w:val="00D514FE"/>
    <w:rsid w:val="00D51857"/>
    <w:rsid w:val="00D5220F"/>
    <w:rsid w:val="00D524F5"/>
    <w:rsid w:val="00D527ED"/>
    <w:rsid w:val="00D52820"/>
    <w:rsid w:val="00D5283B"/>
    <w:rsid w:val="00D52E0C"/>
    <w:rsid w:val="00D52FC7"/>
    <w:rsid w:val="00D53601"/>
    <w:rsid w:val="00D53ABE"/>
    <w:rsid w:val="00D53E4E"/>
    <w:rsid w:val="00D53FA2"/>
    <w:rsid w:val="00D5464C"/>
    <w:rsid w:val="00D54CDA"/>
    <w:rsid w:val="00D54D1E"/>
    <w:rsid w:val="00D54DD8"/>
    <w:rsid w:val="00D54EC5"/>
    <w:rsid w:val="00D54FAD"/>
    <w:rsid w:val="00D5529F"/>
    <w:rsid w:val="00D555B7"/>
    <w:rsid w:val="00D556E6"/>
    <w:rsid w:val="00D55933"/>
    <w:rsid w:val="00D559D9"/>
    <w:rsid w:val="00D55B99"/>
    <w:rsid w:val="00D55BC2"/>
    <w:rsid w:val="00D55C61"/>
    <w:rsid w:val="00D55EDA"/>
    <w:rsid w:val="00D56068"/>
    <w:rsid w:val="00D569A9"/>
    <w:rsid w:val="00D56C01"/>
    <w:rsid w:val="00D56CD3"/>
    <w:rsid w:val="00D56DDF"/>
    <w:rsid w:val="00D57106"/>
    <w:rsid w:val="00D5779B"/>
    <w:rsid w:val="00D577D8"/>
    <w:rsid w:val="00D5789C"/>
    <w:rsid w:val="00D57961"/>
    <w:rsid w:val="00D57A5D"/>
    <w:rsid w:val="00D57B21"/>
    <w:rsid w:val="00D57EA4"/>
    <w:rsid w:val="00D6043F"/>
    <w:rsid w:val="00D605F1"/>
    <w:rsid w:val="00D609E5"/>
    <w:rsid w:val="00D60A9C"/>
    <w:rsid w:val="00D6110A"/>
    <w:rsid w:val="00D61701"/>
    <w:rsid w:val="00D61B91"/>
    <w:rsid w:val="00D61E75"/>
    <w:rsid w:val="00D61F43"/>
    <w:rsid w:val="00D62030"/>
    <w:rsid w:val="00D62859"/>
    <w:rsid w:val="00D62DC3"/>
    <w:rsid w:val="00D62F10"/>
    <w:rsid w:val="00D62FA6"/>
    <w:rsid w:val="00D63659"/>
    <w:rsid w:val="00D63865"/>
    <w:rsid w:val="00D63A49"/>
    <w:rsid w:val="00D640B1"/>
    <w:rsid w:val="00D641B7"/>
    <w:rsid w:val="00D644D7"/>
    <w:rsid w:val="00D64936"/>
    <w:rsid w:val="00D64E1A"/>
    <w:rsid w:val="00D650CC"/>
    <w:rsid w:val="00D650EE"/>
    <w:rsid w:val="00D6513A"/>
    <w:rsid w:val="00D6532B"/>
    <w:rsid w:val="00D65379"/>
    <w:rsid w:val="00D653FC"/>
    <w:rsid w:val="00D65592"/>
    <w:rsid w:val="00D657CA"/>
    <w:rsid w:val="00D65B3E"/>
    <w:rsid w:val="00D65DEB"/>
    <w:rsid w:val="00D661C0"/>
    <w:rsid w:val="00D664DC"/>
    <w:rsid w:val="00D6657D"/>
    <w:rsid w:val="00D665ED"/>
    <w:rsid w:val="00D667B8"/>
    <w:rsid w:val="00D66889"/>
    <w:rsid w:val="00D66DF9"/>
    <w:rsid w:val="00D6742A"/>
    <w:rsid w:val="00D67517"/>
    <w:rsid w:val="00D675D7"/>
    <w:rsid w:val="00D67960"/>
    <w:rsid w:val="00D67AEA"/>
    <w:rsid w:val="00D67DC8"/>
    <w:rsid w:val="00D67EB2"/>
    <w:rsid w:val="00D67F4C"/>
    <w:rsid w:val="00D70798"/>
    <w:rsid w:val="00D70841"/>
    <w:rsid w:val="00D70C38"/>
    <w:rsid w:val="00D711B9"/>
    <w:rsid w:val="00D71267"/>
    <w:rsid w:val="00D715A2"/>
    <w:rsid w:val="00D71C58"/>
    <w:rsid w:val="00D71DA0"/>
    <w:rsid w:val="00D71E7A"/>
    <w:rsid w:val="00D71EE0"/>
    <w:rsid w:val="00D71FEF"/>
    <w:rsid w:val="00D72961"/>
    <w:rsid w:val="00D72E55"/>
    <w:rsid w:val="00D72EBD"/>
    <w:rsid w:val="00D73CBA"/>
    <w:rsid w:val="00D73FF9"/>
    <w:rsid w:val="00D74148"/>
    <w:rsid w:val="00D74228"/>
    <w:rsid w:val="00D74327"/>
    <w:rsid w:val="00D74568"/>
    <w:rsid w:val="00D749F8"/>
    <w:rsid w:val="00D74CEF"/>
    <w:rsid w:val="00D7514B"/>
    <w:rsid w:val="00D758B8"/>
    <w:rsid w:val="00D75912"/>
    <w:rsid w:val="00D75EDB"/>
    <w:rsid w:val="00D760BE"/>
    <w:rsid w:val="00D762CE"/>
    <w:rsid w:val="00D76706"/>
    <w:rsid w:val="00D76730"/>
    <w:rsid w:val="00D769CF"/>
    <w:rsid w:val="00D76DCE"/>
    <w:rsid w:val="00D770F9"/>
    <w:rsid w:val="00D77A29"/>
    <w:rsid w:val="00D77AE7"/>
    <w:rsid w:val="00D77DDC"/>
    <w:rsid w:val="00D77F9B"/>
    <w:rsid w:val="00D80374"/>
    <w:rsid w:val="00D80442"/>
    <w:rsid w:val="00D80B0B"/>
    <w:rsid w:val="00D80E12"/>
    <w:rsid w:val="00D80E85"/>
    <w:rsid w:val="00D810D7"/>
    <w:rsid w:val="00D813AA"/>
    <w:rsid w:val="00D81ABE"/>
    <w:rsid w:val="00D81D03"/>
    <w:rsid w:val="00D81DF6"/>
    <w:rsid w:val="00D823E3"/>
    <w:rsid w:val="00D828FA"/>
    <w:rsid w:val="00D831D1"/>
    <w:rsid w:val="00D83310"/>
    <w:rsid w:val="00D834D1"/>
    <w:rsid w:val="00D83620"/>
    <w:rsid w:val="00D837E5"/>
    <w:rsid w:val="00D83C62"/>
    <w:rsid w:val="00D83C72"/>
    <w:rsid w:val="00D83EA7"/>
    <w:rsid w:val="00D840ED"/>
    <w:rsid w:val="00D844AA"/>
    <w:rsid w:val="00D84AAC"/>
    <w:rsid w:val="00D84EC0"/>
    <w:rsid w:val="00D85010"/>
    <w:rsid w:val="00D8505A"/>
    <w:rsid w:val="00D858E6"/>
    <w:rsid w:val="00D85B7F"/>
    <w:rsid w:val="00D85C45"/>
    <w:rsid w:val="00D86212"/>
    <w:rsid w:val="00D86550"/>
    <w:rsid w:val="00D86A9F"/>
    <w:rsid w:val="00D86D87"/>
    <w:rsid w:val="00D86E66"/>
    <w:rsid w:val="00D870B7"/>
    <w:rsid w:val="00D870E0"/>
    <w:rsid w:val="00D87217"/>
    <w:rsid w:val="00D87704"/>
    <w:rsid w:val="00D90424"/>
    <w:rsid w:val="00D90C24"/>
    <w:rsid w:val="00D90D75"/>
    <w:rsid w:val="00D90F01"/>
    <w:rsid w:val="00D91055"/>
    <w:rsid w:val="00D91189"/>
    <w:rsid w:val="00D91436"/>
    <w:rsid w:val="00D91A97"/>
    <w:rsid w:val="00D91DBF"/>
    <w:rsid w:val="00D91DC8"/>
    <w:rsid w:val="00D91EF8"/>
    <w:rsid w:val="00D922DA"/>
    <w:rsid w:val="00D92772"/>
    <w:rsid w:val="00D92A5A"/>
    <w:rsid w:val="00D92E61"/>
    <w:rsid w:val="00D93274"/>
    <w:rsid w:val="00D9338B"/>
    <w:rsid w:val="00D93448"/>
    <w:rsid w:val="00D934F1"/>
    <w:rsid w:val="00D9355B"/>
    <w:rsid w:val="00D935E9"/>
    <w:rsid w:val="00D93874"/>
    <w:rsid w:val="00D93929"/>
    <w:rsid w:val="00D93B37"/>
    <w:rsid w:val="00D93F3E"/>
    <w:rsid w:val="00D944F5"/>
    <w:rsid w:val="00D9497B"/>
    <w:rsid w:val="00D950ED"/>
    <w:rsid w:val="00D952AA"/>
    <w:rsid w:val="00D95900"/>
    <w:rsid w:val="00D95BC0"/>
    <w:rsid w:val="00D95FE7"/>
    <w:rsid w:val="00D96030"/>
    <w:rsid w:val="00D966CF"/>
    <w:rsid w:val="00D97493"/>
    <w:rsid w:val="00D974B2"/>
    <w:rsid w:val="00D97A75"/>
    <w:rsid w:val="00D97C64"/>
    <w:rsid w:val="00DA0273"/>
    <w:rsid w:val="00DA0667"/>
    <w:rsid w:val="00DA0E35"/>
    <w:rsid w:val="00DA1576"/>
    <w:rsid w:val="00DA216C"/>
    <w:rsid w:val="00DA2322"/>
    <w:rsid w:val="00DA23F5"/>
    <w:rsid w:val="00DA268E"/>
    <w:rsid w:val="00DA2B21"/>
    <w:rsid w:val="00DA2BE0"/>
    <w:rsid w:val="00DA2C1E"/>
    <w:rsid w:val="00DA328A"/>
    <w:rsid w:val="00DA3AFC"/>
    <w:rsid w:val="00DA3C32"/>
    <w:rsid w:val="00DA3D39"/>
    <w:rsid w:val="00DA3E79"/>
    <w:rsid w:val="00DA3F57"/>
    <w:rsid w:val="00DA4367"/>
    <w:rsid w:val="00DA4954"/>
    <w:rsid w:val="00DA51AC"/>
    <w:rsid w:val="00DA5B29"/>
    <w:rsid w:val="00DA5B68"/>
    <w:rsid w:val="00DA658E"/>
    <w:rsid w:val="00DA6774"/>
    <w:rsid w:val="00DA68F6"/>
    <w:rsid w:val="00DA6C82"/>
    <w:rsid w:val="00DA6D0C"/>
    <w:rsid w:val="00DA6DC2"/>
    <w:rsid w:val="00DA78E1"/>
    <w:rsid w:val="00DA797D"/>
    <w:rsid w:val="00DA7D93"/>
    <w:rsid w:val="00DB06FF"/>
    <w:rsid w:val="00DB078B"/>
    <w:rsid w:val="00DB13D9"/>
    <w:rsid w:val="00DB19C5"/>
    <w:rsid w:val="00DB19FC"/>
    <w:rsid w:val="00DB1A20"/>
    <w:rsid w:val="00DB21DD"/>
    <w:rsid w:val="00DB21F3"/>
    <w:rsid w:val="00DB288B"/>
    <w:rsid w:val="00DB2F83"/>
    <w:rsid w:val="00DB3314"/>
    <w:rsid w:val="00DB3B28"/>
    <w:rsid w:val="00DB3F00"/>
    <w:rsid w:val="00DB419E"/>
    <w:rsid w:val="00DB41E6"/>
    <w:rsid w:val="00DB42FD"/>
    <w:rsid w:val="00DB438A"/>
    <w:rsid w:val="00DB4AA2"/>
    <w:rsid w:val="00DB4ADC"/>
    <w:rsid w:val="00DB4B1F"/>
    <w:rsid w:val="00DB4CF0"/>
    <w:rsid w:val="00DB50AF"/>
    <w:rsid w:val="00DB516E"/>
    <w:rsid w:val="00DB5177"/>
    <w:rsid w:val="00DB575B"/>
    <w:rsid w:val="00DB5B6F"/>
    <w:rsid w:val="00DB5BDD"/>
    <w:rsid w:val="00DB5C05"/>
    <w:rsid w:val="00DB5EDC"/>
    <w:rsid w:val="00DB68AA"/>
    <w:rsid w:val="00DB6BDE"/>
    <w:rsid w:val="00DB6E17"/>
    <w:rsid w:val="00DB6E96"/>
    <w:rsid w:val="00DB718D"/>
    <w:rsid w:val="00DB731B"/>
    <w:rsid w:val="00DB76A2"/>
    <w:rsid w:val="00DB7895"/>
    <w:rsid w:val="00DB7A04"/>
    <w:rsid w:val="00DB7AE1"/>
    <w:rsid w:val="00DB7FD6"/>
    <w:rsid w:val="00DC032E"/>
    <w:rsid w:val="00DC034D"/>
    <w:rsid w:val="00DC0700"/>
    <w:rsid w:val="00DC0881"/>
    <w:rsid w:val="00DC0E1E"/>
    <w:rsid w:val="00DC0FD0"/>
    <w:rsid w:val="00DC104B"/>
    <w:rsid w:val="00DC1211"/>
    <w:rsid w:val="00DC1545"/>
    <w:rsid w:val="00DC159D"/>
    <w:rsid w:val="00DC1A6B"/>
    <w:rsid w:val="00DC1BCA"/>
    <w:rsid w:val="00DC21F7"/>
    <w:rsid w:val="00DC22DA"/>
    <w:rsid w:val="00DC2922"/>
    <w:rsid w:val="00DC2952"/>
    <w:rsid w:val="00DC2C5A"/>
    <w:rsid w:val="00DC2C97"/>
    <w:rsid w:val="00DC2CC7"/>
    <w:rsid w:val="00DC2CDA"/>
    <w:rsid w:val="00DC2EE4"/>
    <w:rsid w:val="00DC37AD"/>
    <w:rsid w:val="00DC3C21"/>
    <w:rsid w:val="00DC3FF3"/>
    <w:rsid w:val="00DC40C0"/>
    <w:rsid w:val="00DC4236"/>
    <w:rsid w:val="00DC4267"/>
    <w:rsid w:val="00DC441A"/>
    <w:rsid w:val="00DC461C"/>
    <w:rsid w:val="00DC47A2"/>
    <w:rsid w:val="00DC47C3"/>
    <w:rsid w:val="00DC4860"/>
    <w:rsid w:val="00DC4988"/>
    <w:rsid w:val="00DC50C6"/>
    <w:rsid w:val="00DC5315"/>
    <w:rsid w:val="00DC5368"/>
    <w:rsid w:val="00DC5600"/>
    <w:rsid w:val="00DC56DA"/>
    <w:rsid w:val="00DC5CD8"/>
    <w:rsid w:val="00DC5D0F"/>
    <w:rsid w:val="00DC5D9B"/>
    <w:rsid w:val="00DC61FB"/>
    <w:rsid w:val="00DC671D"/>
    <w:rsid w:val="00DC6772"/>
    <w:rsid w:val="00DC6B86"/>
    <w:rsid w:val="00DC6C20"/>
    <w:rsid w:val="00DC6D42"/>
    <w:rsid w:val="00DC6F9C"/>
    <w:rsid w:val="00DC75E8"/>
    <w:rsid w:val="00DC78FE"/>
    <w:rsid w:val="00DD01CE"/>
    <w:rsid w:val="00DD0503"/>
    <w:rsid w:val="00DD05A1"/>
    <w:rsid w:val="00DD068E"/>
    <w:rsid w:val="00DD06BE"/>
    <w:rsid w:val="00DD0A6B"/>
    <w:rsid w:val="00DD0AB3"/>
    <w:rsid w:val="00DD0EF2"/>
    <w:rsid w:val="00DD1231"/>
    <w:rsid w:val="00DD153A"/>
    <w:rsid w:val="00DD17D0"/>
    <w:rsid w:val="00DD1BBB"/>
    <w:rsid w:val="00DD1D13"/>
    <w:rsid w:val="00DD1D18"/>
    <w:rsid w:val="00DD216F"/>
    <w:rsid w:val="00DD2D10"/>
    <w:rsid w:val="00DD2F31"/>
    <w:rsid w:val="00DD2F3F"/>
    <w:rsid w:val="00DD3094"/>
    <w:rsid w:val="00DD31A6"/>
    <w:rsid w:val="00DD36FA"/>
    <w:rsid w:val="00DD3838"/>
    <w:rsid w:val="00DD3F65"/>
    <w:rsid w:val="00DD42E9"/>
    <w:rsid w:val="00DD591A"/>
    <w:rsid w:val="00DD5A46"/>
    <w:rsid w:val="00DD5D1F"/>
    <w:rsid w:val="00DD5EA8"/>
    <w:rsid w:val="00DD611F"/>
    <w:rsid w:val="00DD6511"/>
    <w:rsid w:val="00DD6A66"/>
    <w:rsid w:val="00DD6AAD"/>
    <w:rsid w:val="00DD6EA2"/>
    <w:rsid w:val="00DD76DA"/>
    <w:rsid w:val="00DD77D9"/>
    <w:rsid w:val="00DD7B72"/>
    <w:rsid w:val="00DD7D84"/>
    <w:rsid w:val="00DD7EEC"/>
    <w:rsid w:val="00DE01EE"/>
    <w:rsid w:val="00DE01FE"/>
    <w:rsid w:val="00DE030E"/>
    <w:rsid w:val="00DE0624"/>
    <w:rsid w:val="00DE1938"/>
    <w:rsid w:val="00DE1D57"/>
    <w:rsid w:val="00DE22C9"/>
    <w:rsid w:val="00DE258E"/>
    <w:rsid w:val="00DE2833"/>
    <w:rsid w:val="00DE2B1A"/>
    <w:rsid w:val="00DE2F83"/>
    <w:rsid w:val="00DE3262"/>
    <w:rsid w:val="00DE352A"/>
    <w:rsid w:val="00DE358E"/>
    <w:rsid w:val="00DE375A"/>
    <w:rsid w:val="00DE378A"/>
    <w:rsid w:val="00DE3F33"/>
    <w:rsid w:val="00DE4029"/>
    <w:rsid w:val="00DE4479"/>
    <w:rsid w:val="00DE49A9"/>
    <w:rsid w:val="00DE4A0D"/>
    <w:rsid w:val="00DE4A19"/>
    <w:rsid w:val="00DE4BCC"/>
    <w:rsid w:val="00DE57FD"/>
    <w:rsid w:val="00DE58B3"/>
    <w:rsid w:val="00DE5A21"/>
    <w:rsid w:val="00DE5A7B"/>
    <w:rsid w:val="00DE5B1E"/>
    <w:rsid w:val="00DE6231"/>
    <w:rsid w:val="00DE64FB"/>
    <w:rsid w:val="00DE6954"/>
    <w:rsid w:val="00DE6BD9"/>
    <w:rsid w:val="00DE6C87"/>
    <w:rsid w:val="00DE772A"/>
    <w:rsid w:val="00DE772D"/>
    <w:rsid w:val="00DE7779"/>
    <w:rsid w:val="00DE7978"/>
    <w:rsid w:val="00DE7AFB"/>
    <w:rsid w:val="00DE7C69"/>
    <w:rsid w:val="00DE7F36"/>
    <w:rsid w:val="00DF01A7"/>
    <w:rsid w:val="00DF0726"/>
    <w:rsid w:val="00DF0BBE"/>
    <w:rsid w:val="00DF0D54"/>
    <w:rsid w:val="00DF17A4"/>
    <w:rsid w:val="00DF1B21"/>
    <w:rsid w:val="00DF1BFB"/>
    <w:rsid w:val="00DF1C36"/>
    <w:rsid w:val="00DF22F2"/>
    <w:rsid w:val="00DF2449"/>
    <w:rsid w:val="00DF26F0"/>
    <w:rsid w:val="00DF31C8"/>
    <w:rsid w:val="00DF357E"/>
    <w:rsid w:val="00DF376F"/>
    <w:rsid w:val="00DF3C2C"/>
    <w:rsid w:val="00DF3DFC"/>
    <w:rsid w:val="00DF423E"/>
    <w:rsid w:val="00DF4415"/>
    <w:rsid w:val="00DF46C0"/>
    <w:rsid w:val="00DF4719"/>
    <w:rsid w:val="00DF5445"/>
    <w:rsid w:val="00DF588C"/>
    <w:rsid w:val="00DF58DC"/>
    <w:rsid w:val="00DF5C7A"/>
    <w:rsid w:val="00DF6308"/>
    <w:rsid w:val="00DF6936"/>
    <w:rsid w:val="00DF6E9F"/>
    <w:rsid w:val="00DF70F6"/>
    <w:rsid w:val="00DF7485"/>
    <w:rsid w:val="00DF74A3"/>
    <w:rsid w:val="00DF7589"/>
    <w:rsid w:val="00DF77A9"/>
    <w:rsid w:val="00DF7864"/>
    <w:rsid w:val="00DF7869"/>
    <w:rsid w:val="00DF7918"/>
    <w:rsid w:val="00DF7A1D"/>
    <w:rsid w:val="00DF7AB2"/>
    <w:rsid w:val="00DF7BB8"/>
    <w:rsid w:val="00DF7DB0"/>
    <w:rsid w:val="00DF7F80"/>
    <w:rsid w:val="00E0063A"/>
    <w:rsid w:val="00E00D66"/>
    <w:rsid w:val="00E01371"/>
    <w:rsid w:val="00E01846"/>
    <w:rsid w:val="00E02017"/>
    <w:rsid w:val="00E02353"/>
    <w:rsid w:val="00E023EE"/>
    <w:rsid w:val="00E02501"/>
    <w:rsid w:val="00E02741"/>
    <w:rsid w:val="00E02AC9"/>
    <w:rsid w:val="00E02F34"/>
    <w:rsid w:val="00E03125"/>
    <w:rsid w:val="00E03666"/>
    <w:rsid w:val="00E03721"/>
    <w:rsid w:val="00E03944"/>
    <w:rsid w:val="00E03A8B"/>
    <w:rsid w:val="00E03B4C"/>
    <w:rsid w:val="00E04529"/>
    <w:rsid w:val="00E045D6"/>
    <w:rsid w:val="00E04AC8"/>
    <w:rsid w:val="00E04F07"/>
    <w:rsid w:val="00E057D5"/>
    <w:rsid w:val="00E05875"/>
    <w:rsid w:val="00E05B12"/>
    <w:rsid w:val="00E06010"/>
    <w:rsid w:val="00E06997"/>
    <w:rsid w:val="00E06A1F"/>
    <w:rsid w:val="00E06B5F"/>
    <w:rsid w:val="00E06F03"/>
    <w:rsid w:val="00E071FC"/>
    <w:rsid w:val="00E07324"/>
    <w:rsid w:val="00E07371"/>
    <w:rsid w:val="00E0755B"/>
    <w:rsid w:val="00E07FE8"/>
    <w:rsid w:val="00E1089B"/>
    <w:rsid w:val="00E1092B"/>
    <w:rsid w:val="00E10A48"/>
    <w:rsid w:val="00E10E5B"/>
    <w:rsid w:val="00E10F1B"/>
    <w:rsid w:val="00E11129"/>
    <w:rsid w:val="00E11664"/>
    <w:rsid w:val="00E11B2F"/>
    <w:rsid w:val="00E11BB1"/>
    <w:rsid w:val="00E11C67"/>
    <w:rsid w:val="00E11C93"/>
    <w:rsid w:val="00E11F55"/>
    <w:rsid w:val="00E1213B"/>
    <w:rsid w:val="00E12203"/>
    <w:rsid w:val="00E12584"/>
    <w:rsid w:val="00E12647"/>
    <w:rsid w:val="00E12682"/>
    <w:rsid w:val="00E127B4"/>
    <w:rsid w:val="00E12B6D"/>
    <w:rsid w:val="00E12B71"/>
    <w:rsid w:val="00E12C31"/>
    <w:rsid w:val="00E12CE0"/>
    <w:rsid w:val="00E12F67"/>
    <w:rsid w:val="00E13294"/>
    <w:rsid w:val="00E1363A"/>
    <w:rsid w:val="00E136D5"/>
    <w:rsid w:val="00E137D1"/>
    <w:rsid w:val="00E14423"/>
    <w:rsid w:val="00E15DB0"/>
    <w:rsid w:val="00E15DD0"/>
    <w:rsid w:val="00E16376"/>
    <w:rsid w:val="00E16BE9"/>
    <w:rsid w:val="00E16C37"/>
    <w:rsid w:val="00E16C70"/>
    <w:rsid w:val="00E17766"/>
    <w:rsid w:val="00E17FAA"/>
    <w:rsid w:val="00E20C29"/>
    <w:rsid w:val="00E21109"/>
    <w:rsid w:val="00E213B2"/>
    <w:rsid w:val="00E21970"/>
    <w:rsid w:val="00E21CAA"/>
    <w:rsid w:val="00E21E38"/>
    <w:rsid w:val="00E21F28"/>
    <w:rsid w:val="00E22068"/>
    <w:rsid w:val="00E22190"/>
    <w:rsid w:val="00E225C4"/>
    <w:rsid w:val="00E226A5"/>
    <w:rsid w:val="00E22A4B"/>
    <w:rsid w:val="00E22C4C"/>
    <w:rsid w:val="00E22F45"/>
    <w:rsid w:val="00E23128"/>
    <w:rsid w:val="00E2325D"/>
    <w:rsid w:val="00E232C4"/>
    <w:rsid w:val="00E23A3E"/>
    <w:rsid w:val="00E24665"/>
    <w:rsid w:val="00E246ED"/>
    <w:rsid w:val="00E24894"/>
    <w:rsid w:val="00E24FA4"/>
    <w:rsid w:val="00E255B1"/>
    <w:rsid w:val="00E2575F"/>
    <w:rsid w:val="00E257BB"/>
    <w:rsid w:val="00E25864"/>
    <w:rsid w:val="00E259A7"/>
    <w:rsid w:val="00E25B76"/>
    <w:rsid w:val="00E25D98"/>
    <w:rsid w:val="00E261CD"/>
    <w:rsid w:val="00E261ED"/>
    <w:rsid w:val="00E26735"/>
    <w:rsid w:val="00E26A70"/>
    <w:rsid w:val="00E26BD1"/>
    <w:rsid w:val="00E26D5C"/>
    <w:rsid w:val="00E27025"/>
    <w:rsid w:val="00E2763A"/>
    <w:rsid w:val="00E2786A"/>
    <w:rsid w:val="00E27EA9"/>
    <w:rsid w:val="00E300BB"/>
    <w:rsid w:val="00E30606"/>
    <w:rsid w:val="00E30C8A"/>
    <w:rsid w:val="00E30FF5"/>
    <w:rsid w:val="00E31171"/>
    <w:rsid w:val="00E31287"/>
    <w:rsid w:val="00E3159C"/>
    <w:rsid w:val="00E316DE"/>
    <w:rsid w:val="00E31934"/>
    <w:rsid w:val="00E3197F"/>
    <w:rsid w:val="00E31B01"/>
    <w:rsid w:val="00E3235F"/>
    <w:rsid w:val="00E3287C"/>
    <w:rsid w:val="00E33079"/>
    <w:rsid w:val="00E33249"/>
    <w:rsid w:val="00E338B1"/>
    <w:rsid w:val="00E338CD"/>
    <w:rsid w:val="00E33B01"/>
    <w:rsid w:val="00E33CDA"/>
    <w:rsid w:val="00E347F0"/>
    <w:rsid w:val="00E34A08"/>
    <w:rsid w:val="00E34C6C"/>
    <w:rsid w:val="00E34DDA"/>
    <w:rsid w:val="00E34F82"/>
    <w:rsid w:val="00E3565D"/>
    <w:rsid w:val="00E35A5C"/>
    <w:rsid w:val="00E3603F"/>
    <w:rsid w:val="00E36085"/>
    <w:rsid w:val="00E36538"/>
    <w:rsid w:val="00E36556"/>
    <w:rsid w:val="00E3662D"/>
    <w:rsid w:val="00E36E92"/>
    <w:rsid w:val="00E3780D"/>
    <w:rsid w:val="00E37863"/>
    <w:rsid w:val="00E37C9A"/>
    <w:rsid w:val="00E37D20"/>
    <w:rsid w:val="00E37E21"/>
    <w:rsid w:val="00E402CA"/>
    <w:rsid w:val="00E404B3"/>
    <w:rsid w:val="00E40573"/>
    <w:rsid w:val="00E40B49"/>
    <w:rsid w:val="00E40F81"/>
    <w:rsid w:val="00E40F9E"/>
    <w:rsid w:val="00E41093"/>
    <w:rsid w:val="00E41130"/>
    <w:rsid w:val="00E417C1"/>
    <w:rsid w:val="00E41B88"/>
    <w:rsid w:val="00E41D70"/>
    <w:rsid w:val="00E41E05"/>
    <w:rsid w:val="00E41EAC"/>
    <w:rsid w:val="00E420FC"/>
    <w:rsid w:val="00E4211A"/>
    <w:rsid w:val="00E4222D"/>
    <w:rsid w:val="00E42347"/>
    <w:rsid w:val="00E4271B"/>
    <w:rsid w:val="00E427DA"/>
    <w:rsid w:val="00E42D73"/>
    <w:rsid w:val="00E43401"/>
    <w:rsid w:val="00E435BD"/>
    <w:rsid w:val="00E435CD"/>
    <w:rsid w:val="00E43777"/>
    <w:rsid w:val="00E438C9"/>
    <w:rsid w:val="00E440DA"/>
    <w:rsid w:val="00E445AF"/>
    <w:rsid w:val="00E44B43"/>
    <w:rsid w:val="00E44ED2"/>
    <w:rsid w:val="00E45079"/>
    <w:rsid w:val="00E45199"/>
    <w:rsid w:val="00E4549D"/>
    <w:rsid w:val="00E455D0"/>
    <w:rsid w:val="00E45773"/>
    <w:rsid w:val="00E45FD1"/>
    <w:rsid w:val="00E461CD"/>
    <w:rsid w:val="00E46643"/>
    <w:rsid w:val="00E46781"/>
    <w:rsid w:val="00E47083"/>
    <w:rsid w:val="00E4734F"/>
    <w:rsid w:val="00E47AFD"/>
    <w:rsid w:val="00E47B6C"/>
    <w:rsid w:val="00E50026"/>
    <w:rsid w:val="00E50A55"/>
    <w:rsid w:val="00E50C4E"/>
    <w:rsid w:val="00E50E0D"/>
    <w:rsid w:val="00E50EC0"/>
    <w:rsid w:val="00E5186C"/>
    <w:rsid w:val="00E5195D"/>
    <w:rsid w:val="00E5198F"/>
    <w:rsid w:val="00E51B0A"/>
    <w:rsid w:val="00E51D7B"/>
    <w:rsid w:val="00E52197"/>
    <w:rsid w:val="00E522D6"/>
    <w:rsid w:val="00E52390"/>
    <w:rsid w:val="00E52426"/>
    <w:rsid w:val="00E52683"/>
    <w:rsid w:val="00E52795"/>
    <w:rsid w:val="00E528EA"/>
    <w:rsid w:val="00E529C1"/>
    <w:rsid w:val="00E52BC9"/>
    <w:rsid w:val="00E52DAA"/>
    <w:rsid w:val="00E53447"/>
    <w:rsid w:val="00E53708"/>
    <w:rsid w:val="00E53896"/>
    <w:rsid w:val="00E54177"/>
    <w:rsid w:val="00E54797"/>
    <w:rsid w:val="00E549E3"/>
    <w:rsid w:val="00E55013"/>
    <w:rsid w:val="00E55198"/>
    <w:rsid w:val="00E553FD"/>
    <w:rsid w:val="00E55913"/>
    <w:rsid w:val="00E55A47"/>
    <w:rsid w:val="00E55B18"/>
    <w:rsid w:val="00E55B5B"/>
    <w:rsid w:val="00E55CB3"/>
    <w:rsid w:val="00E56183"/>
    <w:rsid w:val="00E5682C"/>
    <w:rsid w:val="00E56EBE"/>
    <w:rsid w:val="00E571FD"/>
    <w:rsid w:val="00E575C1"/>
    <w:rsid w:val="00E576F0"/>
    <w:rsid w:val="00E57CF7"/>
    <w:rsid w:val="00E6048E"/>
    <w:rsid w:val="00E604B2"/>
    <w:rsid w:val="00E60514"/>
    <w:rsid w:val="00E608A3"/>
    <w:rsid w:val="00E608AB"/>
    <w:rsid w:val="00E61B50"/>
    <w:rsid w:val="00E61E5D"/>
    <w:rsid w:val="00E61F6D"/>
    <w:rsid w:val="00E62A07"/>
    <w:rsid w:val="00E62C71"/>
    <w:rsid w:val="00E62E04"/>
    <w:rsid w:val="00E62ED3"/>
    <w:rsid w:val="00E6305D"/>
    <w:rsid w:val="00E63808"/>
    <w:rsid w:val="00E63C83"/>
    <w:rsid w:val="00E63E5B"/>
    <w:rsid w:val="00E64174"/>
    <w:rsid w:val="00E64AC9"/>
    <w:rsid w:val="00E6594A"/>
    <w:rsid w:val="00E65983"/>
    <w:rsid w:val="00E65D72"/>
    <w:rsid w:val="00E65EFB"/>
    <w:rsid w:val="00E6610C"/>
    <w:rsid w:val="00E66136"/>
    <w:rsid w:val="00E66270"/>
    <w:rsid w:val="00E66406"/>
    <w:rsid w:val="00E6686A"/>
    <w:rsid w:val="00E670BA"/>
    <w:rsid w:val="00E676EE"/>
    <w:rsid w:val="00E67BF7"/>
    <w:rsid w:val="00E67D1D"/>
    <w:rsid w:val="00E705F7"/>
    <w:rsid w:val="00E706C7"/>
    <w:rsid w:val="00E709A1"/>
    <w:rsid w:val="00E709C4"/>
    <w:rsid w:val="00E70A28"/>
    <w:rsid w:val="00E70C84"/>
    <w:rsid w:val="00E70D96"/>
    <w:rsid w:val="00E70FAA"/>
    <w:rsid w:val="00E710F5"/>
    <w:rsid w:val="00E71694"/>
    <w:rsid w:val="00E7178B"/>
    <w:rsid w:val="00E7190A"/>
    <w:rsid w:val="00E71BEB"/>
    <w:rsid w:val="00E71C0C"/>
    <w:rsid w:val="00E71CE0"/>
    <w:rsid w:val="00E7204B"/>
    <w:rsid w:val="00E72244"/>
    <w:rsid w:val="00E72367"/>
    <w:rsid w:val="00E729CB"/>
    <w:rsid w:val="00E72D0F"/>
    <w:rsid w:val="00E72D7D"/>
    <w:rsid w:val="00E7314F"/>
    <w:rsid w:val="00E7388C"/>
    <w:rsid w:val="00E73ED5"/>
    <w:rsid w:val="00E750AC"/>
    <w:rsid w:val="00E75259"/>
    <w:rsid w:val="00E7533E"/>
    <w:rsid w:val="00E755BB"/>
    <w:rsid w:val="00E756FC"/>
    <w:rsid w:val="00E75888"/>
    <w:rsid w:val="00E75D56"/>
    <w:rsid w:val="00E75F1A"/>
    <w:rsid w:val="00E761C6"/>
    <w:rsid w:val="00E76987"/>
    <w:rsid w:val="00E76ADC"/>
    <w:rsid w:val="00E76AFC"/>
    <w:rsid w:val="00E76F44"/>
    <w:rsid w:val="00E7728F"/>
    <w:rsid w:val="00E775B7"/>
    <w:rsid w:val="00E77778"/>
    <w:rsid w:val="00E778F8"/>
    <w:rsid w:val="00E77FCD"/>
    <w:rsid w:val="00E8063F"/>
    <w:rsid w:val="00E80F58"/>
    <w:rsid w:val="00E81495"/>
    <w:rsid w:val="00E815BC"/>
    <w:rsid w:val="00E8199C"/>
    <w:rsid w:val="00E81BE3"/>
    <w:rsid w:val="00E81C69"/>
    <w:rsid w:val="00E81CF5"/>
    <w:rsid w:val="00E81E5A"/>
    <w:rsid w:val="00E821CC"/>
    <w:rsid w:val="00E82802"/>
    <w:rsid w:val="00E82828"/>
    <w:rsid w:val="00E82AB8"/>
    <w:rsid w:val="00E82C42"/>
    <w:rsid w:val="00E82C70"/>
    <w:rsid w:val="00E82ECF"/>
    <w:rsid w:val="00E83048"/>
    <w:rsid w:val="00E831A7"/>
    <w:rsid w:val="00E840E5"/>
    <w:rsid w:val="00E84485"/>
    <w:rsid w:val="00E84CAF"/>
    <w:rsid w:val="00E84FBE"/>
    <w:rsid w:val="00E85081"/>
    <w:rsid w:val="00E8558B"/>
    <w:rsid w:val="00E85CD9"/>
    <w:rsid w:val="00E85F89"/>
    <w:rsid w:val="00E86001"/>
    <w:rsid w:val="00E86429"/>
    <w:rsid w:val="00E86EE4"/>
    <w:rsid w:val="00E86FB4"/>
    <w:rsid w:val="00E872F1"/>
    <w:rsid w:val="00E87594"/>
    <w:rsid w:val="00E875B1"/>
    <w:rsid w:val="00E877E2"/>
    <w:rsid w:val="00E906D7"/>
    <w:rsid w:val="00E906FB"/>
    <w:rsid w:val="00E9087E"/>
    <w:rsid w:val="00E90F48"/>
    <w:rsid w:val="00E91933"/>
    <w:rsid w:val="00E9193F"/>
    <w:rsid w:val="00E91ACD"/>
    <w:rsid w:val="00E91C97"/>
    <w:rsid w:val="00E920A4"/>
    <w:rsid w:val="00E92418"/>
    <w:rsid w:val="00E924C7"/>
    <w:rsid w:val="00E9278D"/>
    <w:rsid w:val="00E92845"/>
    <w:rsid w:val="00E92C0D"/>
    <w:rsid w:val="00E93062"/>
    <w:rsid w:val="00E93160"/>
    <w:rsid w:val="00E932A6"/>
    <w:rsid w:val="00E93392"/>
    <w:rsid w:val="00E933AB"/>
    <w:rsid w:val="00E93606"/>
    <w:rsid w:val="00E93780"/>
    <w:rsid w:val="00E93972"/>
    <w:rsid w:val="00E93A8F"/>
    <w:rsid w:val="00E93BDF"/>
    <w:rsid w:val="00E93C48"/>
    <w:rsid w:val="00E94114"/>
    <w:rsid w:val="00E9453E"/>
    <w:rsid w:val="00E94639"/>
    <w:rsid w:val="00E94AFA"/>
    <w:rsid w:val="00E94CE6"/>
    <w:rsid w:val="00E94E51"/>
    <w:rsid w:val="00E95131"/>
    <w:rsid w:val="00E9531D"/>
    <w:rsid w:val="00E9554C"/>
    <w:rsid w:val="00E955B9"/>
    <w:rsid w:val="00E956FE"/>
    <w:rsid w:val="00E95713"/>
    <w:rsid w:val="00E95AED"/>
    <w:rsid w:val="00E95C43"/>
    <w:rsid w:val="00E95F03"/>
    <w:rsid w:val="00E960A3"/>
    <w:rsid w:val="00E961F0"/>
    <w:rsid w:val="00E96377"/>
    <w:rsid w:val="00E964E7"/>
    <w:rsid w:val="00E96B3A"/>
    <w:rsid w:val="00E96FDF"/>
    <w:rsid w:val="00E970B5"/>
    <w:rsid w:val="00E972D1"/>
    <w:rsid w:val="00E9737A"/>
    <w:rsid w:val="00E97516"/>
    <w:rsid w:val="00E978D8"/>
    <w:rsid w:val="00E97B18"/>
    <w:rsid w:val="00E97C44"/>
    <w:rsid w:val="00EA0003"/>
    <w:rsid w:val="00EA0330"/>
    <w:rsid w:val="00EA0457"/>
    <w:rsid w:val="00EA04A5"/>
    <w:rsid w:val="00EA06D7"/>
    <w:rsid w:val="00EA0807"/>
    <w:rsid w:val="00EA0822"/>
    <w:rsid w:val="00EA0FE3"/>
    <w:rsid w:val="00EA1075"/>
    <w:rsid w:val="00EA13B2"/>
    <w:rsid w:val="00EA1B0C"/>
    <w:rsid w:val="00EA1C9A"/>
    <w:rsid w:val="00EA1D12"/>
    <w:rsid w:val="00EA1D7E"/>
    <w:rsid w:val="00EA1FB6"/>
    <w:rsid w:val="00EA20FA"/>
    <w:rsid w:val="00EA2651"/>
    <w:rsid w:val="00EA2D51"/>
    <w:rsid w:val="00EA2DA0"/>
    <w:rsid w:val="00EA2F6D"/>
    <w:rsid w:val="00EA32D8"/>
    <w:rsid w:val="00EA33E5"/>
    <w:rsid w:val="00EA3525"/>
    <w:rsid w:val="00EA35AD"/>
    <w:rsid w:val="00EA3653"/>
    <w:rsid w:val="00EA3727"/>
    <w:rsid w:val="00EA3754"/>
    <w:rsid w:val="00EA3A96"/>
    <w:rsid w:val="00EA3D44"/>
    <w:rsid w:val="00EA3F4A"/>
    <w:rsid w:val="00EA4274"/>
    <w:rsid w:val="00EA4702"/>
    <w:rsid w:val="00EA4C27"/>
    <w:rsid w:val="00EA4C48"/>
    <w:rsid w:val="00EA4CC9"/>
    <w:rsid w:val="00EA4D2E"/>
    <w:rsid w:val="00EA5245"/>
    <w:rsid w:val="00EA54F3"/>
    <w:rsid w:val="00EA5658"/>
    <w:rsid w:val="00EA5B83"/>
    <w:rsid w:val="00EA5C0F"/>
    <w:rsid w:val="00EA61D4"/>
    <w:rsid w:val="00EA63A0"/>
    <w:rsid w:val="00EA6619"/>
    <w:rsid w:val="00EA6864"/>
    <w:rsid w:val="00EA70F6"/>
    <w:rsid w:val="00EA725E"/>
    <w:rsid w:val="00EA7B02"/>
    <w:rsid w:val="00EA7D59"/>
    <w:rsid w:val="00EA7FB6"/>
    <w:rsid w:val="00EB00D6"/>
    <w:rsid w:val="00EB022B"/>
    <w:rsid w:val="00EB0685"/>
    <w:rsid w:val="00EB0ACF"/>
    <w:rsid w:val="00EB11B9"/>
    <w:rsid w:val="00EB1283"/>
    <w:rsid w:val="00EB1649"/>
    <w:rsid w:val="00EB173D"/>
    <w:rsid w:val="00EB181B"/>
    <w:rsid w:val="00EB1A67"/>
    <w:rsid w:val="00EB28C4"/>
    <w:rsid w:val="00EB2D09"/>
    <w:rsid w:val="00EB3000"/>
    <w:rsid w:val="00EB32B0"/>
    <w:rsid w:val="00EB3652"/>
    <w:rsid w:val="00EB39A0"/>
    <w:rsid w:val="00EB423C"/>
    <w:rsid w:val="00EB47A4"/>
    <w:rsid w:val="00EB48D1"/>
    <w:rsid w:val="00EB4A9D"/>
    <w:rsid w:val="00EB4BAD"/>
    <w:rsid w:val="00EB4BE9"/>
    <w:rsid w:val="00EB4CF0"/>
    <w:rsid w:val="00EB513A"/>
    <w:rsid w:val="00EB51D5"/>
    <w:rsid w:val="00EB5243"/>
    <w:rsid w:val="00EB56C9"/>
    <w:rsid w:val="00EB5B46"/>
    <w:rsid w:val="00EB5CAA"/>
    <w:rsid w:val="00EB6011"/>
    <w:rsid w:val="00EB6249"/>
    <w:rsid w:val="00EB64CF"/>
    <w:rsid w:val="00EB68F2"/>
    <w:rsid w:val="00EB696E"/>
    <w:rsid w:val="00EB6E6B"/>
    <w:rsid w:val="00EB72F1"/>
    <w:rsid w:val="00EB77C9"/>
    <w:rsid w:val="00EB7802"/>
    <w:rsid w:val="00EB78E4"/>
    <w:rsid w:val="00EB7ACF"/>
    <w:rsid w:val="00EB7BB1"/>
    <w:rsid w:val="00EB7D96"/>
    <w:rsid w:val="00EB7F87"/>
    <w:rsid w:val="00EC0173"/>
    <w:rsid w:val="00EC0296"/>
    <w:rsid w:val="00EC070B"/>
    <w:rsid w:val="00EC08B5"/>
    <w:rsid w:val="00EC08EE"/>
    <w:rsid w:val="00EC0AA7"/>
    <w:rsid w:val="00EC0AFD"/>
    <w:rsid w:val="00EC0F7D"/>
    <w:rsid w:val="00EC119F"/>
    <w:rsid w:val="00EC121C"/>
    <w:rsid w:val="00EC1414"/>
    <w:rsid w:val="00EC2052"/>
    <w:rsid w:val="00EC2059"/>
    <w:rsid w:val="00EC206C"/>
    <w:rsid w:val="00EC2352"/>
    <w:rsid w:val="00EC23C6"/>
    <w:rsid w:val="00EC27BA"/>
    <w:rsid w:val="00EC2A93"/>
    <w:rsid w:val="00EC2AD3"/>
    <w:rsid w:val="00EC2C9A"/>
    <w:rsid w:val="00EC2D26"/>
    <w:rsid w:val="00EC3063"/>
    <w:rsid w:val="00EC33A9"/>
    <w:rsid w:val="00EC3679"/>
    <w:rsid w:val="00EC3872"/>
    <w:rsid w:val="00EC3AB7"/>
    <w:rsid w:val="00EC3CE7"/>
    <w:rsid w:val="00EC4113"/>
    <w:rsid w:val="00EC411A"/>
    <w:rsid w:val="00EC4202"/>
    <w:rsid w:val="00EC472C"/>
    <w:rsid w:val="00EC483C"/>
    <w:rsid w:val="00EC4B3E"/>
    <w:rsid w:val="00EC507E"/>
    <w:rsid w:val="00EC5B9F"/>
    <w:rsid w:val="00EC5BD5"/>
    <w:rsid w:val="00EC5C3E"/>
    <w:rsid w:val="00EC5D96"/>
    <w:rsid w:val="00EC5E9E"/>
    <w:rsid w:val="00EC6200"/>
    <w:rsid w:val="00EC62C0"/>
    <w:rsid w:val="00EC6BA9"/>
    <w:rsid w:val="00EC6FF7"/>
    <w:rsid w:val="00EC78D3"/>
    <w:rsid w:val="00EC78EE"/>
    <w:rsid w:val="00EC7A51"/>
    <w:rsid w:val="00EC7C18"/>
    <w:rsid w:val="00ED0644"/>
    <w:rsid w:val="00ED08C3"/>
    <w:rsid w:val="00ED0F77"/>
    <w:rsid w:val="00ED11AA"/>
    <w:rsid w:val="00ED1472"/>
    <w:rsid w:val="00ED1777"/>
    <w:rsid w:val="00ED1BD7"/>
    <w:rsid w:val="00ED23F7"/>
    <w:rsid w:val="00ED2590"/>
    <w:rsid w:val="00ED2885"/>
    <w:rsid w:val="00ED2CBD"/>
    <w:rsid w:val="00ED2D08"/>
    <w:rsid w:val="00ED2F3C"/>
    <w:rsid w:val="00ED3047"/>
    <w:rsid w:val="00ED30DE"/>
    <w:rsid w:val="00ED30E6"/>
    <w:rsid w:val="00ED3117"/>
    <w:rsid w:val="00ED3D43"/>
    <w:rsid w:val="00ED4056"/>
    <w:rsid w:val="00ED498A"/>
    <w:rsid w:val="00ED4C27"/>
    <w:rsid w:val="00ED4FFA"/>
    <w:rsid w:val="00ED5177"/>
    <w:rsid w:val="00ED5219"/>
    <w:rsid w:val="00ED5288"/>
    <w:rsid w:val="00ED5526"/>
    <w:rsid w:val="00ED58A9"/>
    <w:rsid w:val="00ED5F35"/>
    <w:rsid w:val="00ED6084"/>
    <w:rsid w:val="00ED62DB"/>
    <w:rsid w:val="00ED65E1"/>
    <w:rsid w:val="00ED6912"/>
    <w:rsid w:val="00ED7705"/>
    <w:rsid w:val="00ED7D24"/>
    <w:rsid w:val="00ED7FE2"/>
    <w:rsid w:val="00ED7FE5"/>
    <w:rsid w:val="00EE01FA"/>
    <w:rsid w:val="00EE0240"/>
    <w:rsid w:val="00EE0322"/>
    <w:rsid w:val="00EE03AA"/>
    <w:rsid w:val="00EE06F3"/>
    <w:rsid w:val="00EE0999"/>
    <w:rsid w:val="00EE0C83"/>
    <w:rsid w:val="00EE0FC2"/>
    <w:rsid w:val="00EE1097"/>
    <w:rsid w:val="00EE11AD"/>
    <w:rsid w:val="00EE12B3"/>
    <w:rsid w:val="00EE197A"/>
    <w:rsid w:val="00EE1A69"/>
    <w:rsid w:val="00EE1A6D"/>
    <w:rsid w:val="00EE2200"/>
    <w:rsid w:val="00EE2304"/>
    <w:rsid w:val="00EE2A64"/>
    <w:rsid w:val="00EE2AB1"/>
    <w:rsid w:val="00EE2B65"/>
    <w:rsid w:val="00EE2BB4"/>
    <w:rsid w:val="00EE3566"/>
    <w:rsid w:val="00EE3948"/>
    <w:rsid w:val="00EE3BCC"/>
    <w:rsid w:val="00EE3E69"/>
    <w:rsid w:val="00EE4334"/>
    <w:rsid w:val="00EE47DF"/>
    <w:rsid w:val="00EE4F8B"/>
    <w:rsid w:val="00EE5098"/>
    <w:rsid w:val="00EE5349"/>
    <w:rsid w:val="00EE55ED"/>
    <w:rsid w:val="00EE5615"/>
    <w:rsid w:val="00EE588A"/>
    <w:rsid w:val="00EE5A9B"/>
    <w:rsid w:val="00EE5FF1"/>
    <w:rsid w:val="00EE62C7"/>
    <w:rsid w:val="00EE6520"/>
    <w:rsid w:val="00EE717D"/>
    <w:rsid w:val="00EE7438"/>
    <w:rsid w:val="00EE76AF"/>
    <w:rsid w:val="00EE79D4"/>
    <w:rsid w:val="00EE7BAD"/>
    <w:rsid w:val="00EE7C04"/>
    <w:rsid w:val="00EE7FD6"/>
    <w:rsid w:val="00EF01A0"/>
    <w:rsid w:val="00EF0226"/>
    <w:rsid w:val="00EF0627"/>
    <w:rsid w:val="00EF0632"/>
    <w:rsid w:val="00EF096A"/>
    <w:rsid w:val="00EF0AEC"/>
    <w:rsid w:val="00EF0BDF"/>
    <w:rsid w:val="00EF0D4B"/>
    <w:rsid w:val="00EF1113"/>
    <w:rsid w:val="00EF1832"/>
    <w:rsid w:val="00EF1C22"/>
    <w:rsid w:val="00EF1D10"/>
    <w:rsid w:val="00EF1FCA"/>
    <w:rsid w:val="00EF25E2"/>
    <w:rsid w:val="00EF27D4"/>
    <w:rsid w:val="00EF2C8C"/>
    <w:rsid w:val="00EF31AA"/>
    <w:rsid w:val="00EF32C1"/>
    <w:rsid w:val="00EF37D4"/>
    <w:rsid w:val="00EF3BEF"/>
    <w:rsid w:val="00EF3CD6"/>
    <w:rsid w:val="00EF3E9E"/>
    <w:rsid w:val="00EF3EF8"/>
    <w:rsid w:val="00EF43EF"/>
    <w:rsid w:val="00EF441F"/>
    <w:rsid w:val="00EF5DB9"/>
    <w:rsid w:val="00EF5F88"/>
    <w:rsid w:val="00EF600F"/>
    <w:rsid w:val="00EF67B5"/>
    <w:rsid w:val="00EF6848"/>
    <w:rsid w:val="00EF6D68"/>
    <w:rsid w:val="00EF7188"/>
    <w:rsid w:val="00EF71A1"/>
    <w:rsid w:val="00EF79BD"/>
    <w:rsid w:val="00EF7B40"/>
    <w:rsid w:val="00EF7D2E"/>
    <w:rsid w:val="00EF7EC2"/>
    <w:rsid w:val="00F004BA"/>
    <w:rsid w:val="00F004C3"/>
    <w:rsid w:val="00F00900"/>
    <w:rsid w:val="00F00AE7"/>
    <w:rsid w:val="00F01295"/>
    <w:rsid w:val="00F01498"/>
    <w:rsid w:val="00F01608"/>
    <w:rsid w:val="00F01CA3"/>
    <w:rsid w:val="00F01F0E"/>
    <w:rsid w:val="00F02AF7"/>
    <w:rsid w:val="00F02C0B"/>
    <w:rsid w:val="00F02DB4"/>
    <w:rsid w:val="00F02E56"/>
    <w:rsid w:val="00F02ECF"/>
    <w:rsid w:val="00F02F0D"/>
    <w:rsid w:val="00F0305D"/>
    <w:rsid w:val="00F031F4"/>
    <w:rsid w:val="00F0323F"/>
    <w:rsid w:val="00F038FB"/>
    <w:rsid w:val="00F039CB"/>
    <w:rsid w:val="00F04753"/>
    <w:rsid w:val="00F04F37"/>
    <w:rsid w:val="00F05217"/>
    <w:rsid w:val="00F0548A"/>
    <w:rsid w:val="00F05C86"/>
    <w:rsid w:val="00F062A3"/>
    <w:rsid w:val="00F06364"/>
    <w:rsid w:val="00F066B4"/>
    <w:rsid w:val="00F06A28"/>
    <w:rsid w:val="00F06CA2"/>
    <w:rsid w:val="00F073E2"/>
    <w:rsid w:val="00F07471"/>
    <w:rsid w:val="00F0756B"/>
    <w:rsid w:val="00F07B1A"/>
    <w:rsid w:val="00F07B9B"/>
    <w:rsid w:val="00F07BFA"/>
    <w:rsid w:val="00F07E1B"/>
    <w:rsid w:val="00F07E98"/>
    <w:rsid w:val="00F102AD"/>
    <w:rsid w:val="00F102CA"/>
    <w:rsid w:val="00F10307"/>
    <w:rsid w:val="00F10318"/>
    <w:rsid w:val="00F1035E"/>
    <w:rsid w:val="00F10522"/>
    <w:rsid w:val="00F1062E"/>
    <w:rsid w:val="00F108B6"/>
    <w:rsid w:val="00F109BC"/>
    <w:rsid w:val="00F10B62"/>
    <w:rsid w:val="00F10DBF"/>
    <w:rsid w:val="00F10EB1"/>
    <w:rsid w:val="00F11439"/>
    <w:rsid w:val="00F11664"/>
    <w:rsid w:val="00F11916"/>
    <w:rsid w:val="00F11B99"/>
    <w:rsid w:val="00F11DA1"/>
    <w:rsid w:val="00F11FDE"/>
    <w:rsid w:val="00F1221E"/>
    <w:rsid w:val="00F124EE"/>
    <w:rsid w:val="00F1269E"/>
    <w:rsid w:val="00F12B55"/>
    <w:rsid w:val="00F12FD5"/>
    <w:rsid w:val="00F13123"/>
    <w:rsid w:val="00F13B56"/>
    <w:rsid w:val="00F13C1D"/>
    <w:rsid w:val="00F13C42"/>
    <w:rsid w:val="00F13DDB"/>
    <w:rsid w:val="00F141AF"/>
    <w:rsid w:val="00F14501"/>
    <w:rsid w:val="00F145B5"/>
    <w:rsid w:val="00F14629"/>
    <w:rsid w:val="00F14814"/>
    <w:rsid w:val="00F14945"/>
    <w:rsid w:val="00F14985"/>
    <w:rsid w:val="00F14B0B"/>
    <w:rsid w:val="00F14FC4"/>
    <w:rsid w:val="00F15546"/>
    <w:rsid w:val="00F1580D"/>
    <w:rsid w:val="00F15AB8"/>
    <w:rsid w:val="00F15B4C"/>
    <w:rsid w:val="00F15B5A"/>
    <w:rsid w:val="00F15C8B"/>
    <w:rsid w:val="00F15ED9"/>
    <w:rsid w:val="00F15F87"/>
    <w:rsid w:val="00F16219"/>
    <w:rsid w:val="00F16E88"/>
    <w:rsid w:val="00F16F3B"/>
    <w:rsid w:val="00F17798"/>
    <w:rsid w:val="00F17FB9"/>
    <w:rsid w:val="00F2001B"/>
    <w:rsid w:val="00F202C2"/>
    <w:rsid w:val="00F203BD"/>
    <w:rsid w:val="00F2053B"/>
    <w:rsid w:val="00F2070B"/>
    <w:rsid w:val="00F2085B"/>
    <w:rsid w:val="00F20912"/>
    <w:rsid w:val="00F20A2B"/>
    <w:rsid w:val="00F20BF8"/>
    <w:rsid w:val="00F20CC4"/>
    <w:rsid w:val="00F20D82"/>
    <w:rsid w:val="00F20DD1"/>
    <w:rsid w:val="00F21352"/>
    <w:rsid w:val="00F216E6"/>
    <w:rsid w:val="00F21C29"/>
    <w:rsid w:val="00F21D2F"/>
    <w:rsid w:val="00F21E69"/>
    <w:rsid w:val="00F223AA"/>
    <w:rsid w:val="00F22542"/>
    <w:rsid w:val="00F226CE"/>
    <w:rsid w:val="00F229F5"/>
    <w:rsid w:val="00F22A16"/>
    <w:rsid w:val="00F22DE6"/>
    <w:rsid w:val="00F232B8"/>
    <w:rsid w:val="00F232BB"/>
    <w:rsid w:val="00F2382C"/>
    <w:rsid w:val="00F23CD0"/>
    <w:rsid w:val="00F23E18"/>
    <w:rsid w:val="00F23EA8"/>
    <w:rsid w:val="00F23EC5"/>
    <w:rsid w:val="00F23FD9"/>
    <w:rsid w:val="00F247F9"/>
    <w:rsid w:val="00F2495C"/>
    <w:rsid w:val="00F24AA2"/>
    <w:rsid w:val="00F24E47"/>
    <w:rsid w:val="00F255D6"/>
    <w:rsid w:val="00F25991"/>
    <w:rsid w:val="00F259AE"/>
    <w:rsid w:val="00F26296"/>
    <w:rsid w:val="00F26CEF"/>
    <w:rsid w:val="00F26E5B"/>
    <w:rsid w:val="00F2702B"/>
    <w:rsid w:val="00F27906"/>
    <w:rsid w:val="00F27972"/>
    <w:rsid w:val="00F27B65"/>
    <w:rsid w:val="00F30171"/>
    <w:rsid w:val="00F30469"/>
    <w:rsid w:val="00F305CE"/>
    <w:rsid w:val="00F3070D"/>
    <w:rsid w:val="00F309E9"/>
    <w:rsid w:val="00F30FDC"/>
    <w:rsid w:val="00F31D28"/>
    <w:rsid w:val="00F31FC2"/>
    <w:rsid w:val="00F320E2"/>
    <w:rsid w:val="00F32163"/>
    <w:rsid w:val="00F3216C"/>
    <w:rsid w:val="00F326FF"/>
    <w:rsid w:val="00F327DA"/>
    <w:rsid w:val="00F32D04"/>
    <w:rsid w:val="00F32E2B"/>
    <w:rsid w:val="00F331A9"/>
    <w:rsid w:val="00F334D9"/>
    <w:rsid w:val="00F3361F"/>
    <w:rsid w:val="00F33B83"/>
    <w:rsid w:val="00F34285"/>
    <w:rsid w:val="00F343E1"/>
    <w:rsid w:val="00F3448B"/>
    <w:rsid w:val="00F34563"/>
    <w:rsid w:val="00F347B5"/>
    <w:rsid w:val="00F34B6F"/>
    <w:rsid w:val="00F34E2E"/>
    <w:rsid w:val="00F34EC7"/>
    <w:rsid w:val="00F35068"/>
    <w:rsid w:val="00F35433"/>
    <w:rsid w:val="00F355AE"/>
    <w:rsid w:val="00F3572C"/>
    <w:rsid w:val="00F35814"/>
    <w:rsid w:val="00F3638F"/>
    <w:rsid w:val="00F368D8"/>
    <w:rsid w:val="00F36A08"/>
    <w:rsid w:val="00F36A0F"/>
    <w:rsid w:val="00F36BAA"/>
    <w:rsid w:val="00F375D2"/>
    <w:rsid w:val="00F3776F"/>
    <w:rsid w:val="00F37A8A"/>
    <w:rsid w:val="00F40144"/>
    <w:rsid w:val="00F402AF"/>
    <w:rsid w:val="00F40A72"/>
    <w:rsid w:val="00F40DB3"/>
    <w:rsid w:val="00F40E88"/>
    <w:rsid w:val="00F413A7"/>
    <w:rsid w:val="00F413EB"/>
    <w:rsid w:val="00F414EA"/>
    <w:rsid w:val="00F41508"/>
    <w:rsid w:val="00F41559"/>
    <w:rsid w:val="00F41774"/>
    <w:rsid w:val="00F41F7C"/>
    <w:rsid w:val="00F420B1"/>
    <w:rsid w:val="00F42122"/>
    <w:rsid w:val="00F42202"/>
    <w:rsid w:val="00F4237F"/>
    <w:rsid w:val="00F426A2"/>
    <w:rsid w:val="00F42CC3"/>
    <w:rsid w:val="00F434DA"/>
    <w:rsid w:val="00F43683"/>
    <w:rsid w:val="00F43862"/>
    <w:rsid w:val="00F43CB6"/>
    <w:rsid w:val="00F43EBA"/>
    <w:rsid w:val="00F44318"/>
    <w:rsid w:val="00F4456B"/>
    <w:rsid w:val="00F44808"/>
    <w:rsid w:val="00F44D2A"/>
    <w:rsid w:val="00F44D34"/>
    <w:rsid w:val="00F4515F"/>
    <w:rsid w:val="00F4523C"/>
    <w:rsid w:val="00F452B7"/>
    <w:rsid w:val="00F45309"/>
    <w:rsid w:val="00F45D5B"/>
    <w:rsid w:val="00F45DDA"/>
    <w:rsid w:val="00F45F5E"/>
    <w:rsid w:val="00F462BC"/>
    <w:rsid w:val="00F46567"/>
    <w:rsid w:val="00F469E1"/>
    <w:rsid w:val="00F46A33"/>
    <w:rsid w:val="00F46B85"/>
    <w:rsid w:val="00F47005"/>
    <w:rsid w:val="00F47055"/>
    <w:rsid w:val="00F477D3"/>
    <w:rsid w:val="00F478A3"/>
    <w:rsid w:val="00F47DBE"/>
    <w:rsid w:val="00F47E1B"/>
    <w:rsid w:val="00F50A51"/>
    <w:rsid w:val="00F50C9B"/>
    <w:rsid w:val="00F50F03"/>
    <w:rsid w:val="00F50FDA"/>
    <w:rsid w:val="00F51186"/>
    <w:rsid w:val="00F5140E"/>
    <w:rsid w:val="00F5174A"/>
    <w:rsid w:val="00F51C6F"/>
    <w:rsid w:val="00F51E1A"/>
    <w:rsid w:val="00F522F8"/>
    <w:rsid w:val="00F52383"/>
    <w:rsid w:val="00F523B1"/>
    <w:rsid w:val="00F523E6"/>
    <w:rsid w:val="00F5240A"/>
    <w:rsid w:val="00F524A6"/>
    <w:rsid w:val="00F52677"/>
    <w:rsid w:val="00F5278D"/>
    <w:rsid w:val="00F530AC"/>
    <w:rsid w:val="00F532E4"/>
    <w:rsid w:val="00F533AA"/>
    <w:rsid w:val="00F535E8"/>
    <w:rsid w:val="00F53F28"/>
    <w:rsid w:val="00F53F5D"/>
    <w:rsid w:val="00F5439B"/>
    <w:rsid w:val="00F543B5"/>
    <w:rsid w:val="00F543FC"/>
    <w:rsid w:val="00F545DC"/>
    <w:rsid w:val="00F54A0A"/>
    <w:rsid w:val="00F54C17"/>
    <w:rsid w:val="00F54D9F"/>
    <w:rsid w:val="00F54EC3"/>
    <w:rsid w:val="00F54F58"/>
    <w:rsid w:val="00F55090"/>
    <w:rsid w:val="00F55310"/>
    <w:rsid w:val="00F55745"/>
    <w:rsid w:val="00F55792"/>
    <w:rsid w:val="00F55799"/>
    <w:rsid w:val="00F559C1"/>
    <w:rsid w:val="00F55A42"/>
    <w:rsid w:val="00F55A89"/>
    <w:rsid w:val="00F55B18"/>
    <w:rsid w:val="00F55E75"/>
    <w:rsid w:val="00F55FEA"/>
    <w:rsid w:val="00F560C8"/>
    <w:rsid w:val="00F5621C"/>
    <w:rsid w:val="00F563FD"/>
    <w:rsid w:val="00F56818"/>
    <w:rsid w:val="00F56B43"/>
    <w:rsid w:val="00F56D71"/>
    <w:rsid w:val="00F56EFF"/>
    <w:rsid w:val="00F5791F"/>
    <w:rsid w:val="00F57EB4"/>
    <w:rsid w:val="00F57FA1"/>
    <w:rsid w:val="00F6009B"/>
    <w:rsid w:val="00F600EF"/>
    <w:rsid w:val="00F60725"/>
    <w:rsid w:val="00F6084D"/>
    <w:rsid w:val="00F60892"/>
    <w:rsid w:val="00F60947"/>
    <w:rsid w:val="00F60A2A"/>
    <w:rsid w:val="00F60B53"/>
    <w:rsid w:val="00F60C40"/>
    <w:rsid w:val="00F60C7B"/>
    <w:rsid w:val="00F60D41"/>
    <w:rsid w:val="00F60DDE"/>
    <w:rsid w:val="00F60E31"/>
    <w:rsid w:val="00F60E3A"/>
    <w:rsid w:val="00F615A3"/>
    <w:rsid w:val="00F61A11"/>
    <w:rsid w:val="00F61B51"/>
    <w:rsid w:val="00F61B91"/>
    <w:rsid w:val="00F61D2C"/>
    <w:rsid w:val="00F62082"/>
    <w:rsid w:val="00F624E2"/>
    <w:rsid w:val="00F627B8"/>
    <w:rsid w:val="00F62942"/>
    <w:rsid w:val="00F6296B"/>
    <w:rsid w:val="00F62B41"/>
    <w:rsid w:val="00F62D8B"/>
    <w:rsid w:val="00F62E02"/>
    <w:rsid w:val="00F62EF4"/>
    <w:rsid w:val="00F63240"/>
    <w:rsid w:val="00F6376C"/>
    <w:rsid w:val="00F63F54"/>
    <w:rsid w:val="00F642F6"/>
    <w:rsid w:val="00F64384"/>
    <w:rsid w:val="00F64AFE"/>
    <w:rsid w:val="00F65003"/>
    <w:rsid w:val="00F653EE"/>
    <w:rsid w:val="00F655F2"/>
    <w:rsid w:val="00F656C1"/>
    <w:rsid w:val="00F65F1E"/>
    <w:rsid w:val="00F65F65"/>
    <w:rsid w:val="00F65FD2"/>
    <w:rsid w:val="00F66572"/>
    <w:rsid w:val="00F66626"/>
    <w:rsid w:val="00F66910"/>
    <w:rsid w:val="00F6695A"/>
    <w:rsid w:val="00F66AF6"/>
    <w:rsid w:val="00F6713F"/>
    <w:rsid w:val="00F677A5"/>
    <w:rsid w:val="00F678F1"/>
    <w:rsid w:val="00F6790B"/>
    <w:rsid w:val="00F67D94"/>
    <w:rsid w:val="00F705C1"/>
    <w:rsid w:val="00F7065F"/>
    <w:rsid w:val="00F70A02"/>
    <w:rsid w:val="00F71309"/>
    <w:rsid w:val="00F71344"/>
    <w:rsid w:val="00F71736"/>
    <w:rsid w:val="00F72008"/>
    <w:rsid w:val="00F72520"/>
    <w:rsid w:val="00F729C4"/>
    <w:rsid w:val="00F72EEB"/>
    <w:rsid w:val="00F73465"/>
    <w:rsid w:val="00F735E4"/>
    <w:rsid w:val="00F73798"/>
    <w:rsid w:val="00F73A0D"/>
    <w:rsid w:val="00F74003"/>
    <w:rsid w:val="00F74176"/>
    <w:rsid w:val="00F74643"/>
    <w:rsid w:val="00F74B74"/>
    <w:rsid w:val="00F75047"/>
    <w:rsid w:val="00F75962"/>
    <w:rsid w:val="00F7596B"/>
    <w:rsid w:val="00F75973"/>
    <w:rsid w:val="00F76152"/>
    <w:rsid w:val="00F762DD"/>
    <w:rsid w:val="00F768B9"/>
    <w:rsid w:val="00F76981"/>
    <w:rsid w:val="00F76B7E"/>
    <w:rsid w:val="00F77127"/>
    <w:rsid w:val="00F771DF"/>
    <w:rsid w:val="00F77306"/>
    <w:rsid w:val="00F776D4"/>
    <w:rsid w:val="00F779F6"/>
    <w:rsid w:val="00F77C55"/>
    <w:rsid w:val="00F77C82"/>
    <w:rsid w:val="00F77F8D"/>
    <w:rsid w:val="00F77FDA"/>
    <w:rsid w:val="00F807AB"/>
    <w:rsid w:val="00F80D17"/>
    <w:rsid w:val="00F80D90"/>
    <w:rsid w:val="00F80DA6"/>
    <w:rsid w:val="00F81095"/>
    <w:rsid w:val="00F81263"/>
    <w:rsid w:val="00F81352"/>
    <w:rsid w:val="00F81A03"/>
    <w:rsid w:val="00F81CD5"/>
    <w:rsid w:val="00F81DEF"/>
    <w:rsid w:val="00F82217"/>
    <w:rsid w:val="00F822EA"/>
    <w:rsid w:val="00F827D3"/>
    <w:rsid w:val="00F82C01"/>
    <w:rsid w:val="00F83320"/>
    <w:rsid w:val="00F833E6"/>
    <w:rsid w:val="00F83968"/>
    <w:rsid w:val="00F83E85"/>
    <w:rsid w:val="00F8425F"/>
    <w:rsid w:val="00F8432B"/>
    <w:rsid w:val="00F84357"/>
    <w:rsid w:val="00F844D3"/>
    <w:rsid w:val="00F845F7"/>
    <w:rsid w:val="00F8473A"/>
    <w:rsid w:val="00F84798"/>
    <w:rsid w:val="00F84935"/>
    <w:rsid w:val="00F84ADC"/>
    <w:rsid w:val="00F84C0E"/>
    <w:rsid w:val="00F84DC2"/>
    <w:rsid w:val="00F84F70"/>
    <w:rsid w:val="00F85567"/>
    <w:rsid w:val="00F858D4"/>
    <w:rsid w:val="00F859B9"/>
    <w:rsid w:val="00F85E5E"/>
    <w:rsid w:val="00F86558"/>
    <w:rsid w:val="00F866FC"/>
    <w:rsid w:val="00F86898"/>
    <w:rsid w:val="00F86B88"/>
    <w:rsid w:val="00F86F43"/>
    <w:rsid w:val="00F87252"/>
    <w:rsid w:val="00F8744E"/>
    <w:rsid w:val="00F878C2"/>
    <w:rsid w:val="00F878FC"/>
    <w:rsid w:val="00F90083"/>
    <w:rsid w:val="00F902B3"/>
    <w:rsid w:val="00F908BD"/>
    <w:rsid w:val="00F90936"/>
    <w:rsid w:val="00F90991"/>
    <w:rsid w:val="00F90E03"/>
    <w:rsid w:val="00F91016"/>
    <w:rsid w:val="00F911BA"/>
    <w:rsid w:val="00F91D0B"/>
    <w:rsid w:val="00F921F9"/>
    <w:rsid w:val="00F92250"/>
    <w:rsid w:val="00F9297D"/>
    <w:rsid w:val="00F92B40"/>
    <w:rsid w:val="00F92C02"/>
    <w:rsid w:val="00F92F6B"/>
    <w:rsid w:val="00F93170"/>
    <w:rsid w:val="00F931A6"/>
    <w:rsid w:val="00F936E4"/>
    <w:rsid w:val="00F941D8"/>
    <w:rsid w:val="00F942BC"/>
    <w:rsid w:val="00F94F0F"/>
    <w:rsid w:val="00F9506B"/>
    <w:rsid w:val="00F95119"/>
    <w:rsid w:val="00F95568"/>
    <w:rsid w:val="00F9556A"/>
    <w:rsid w:val="00F9585F"/>
    <w:rsid w:val="00F95A1B"/>
    <w:rsid w:val="00F95C7D"/>
    <w:rsid w:val="00F96072"/>
    <w:rsid w:val="00F9698F"/>
    <w:rsid w:val="00F97231"/>
    <w:rsid w:val="00F97296"/>
    <w:rsid w:val="00F973E3"/>
    <w:rsid w:val="00F97810"/>
    <w:rsid w:val="00F97825"/>
    <w:rsid w:val="00F979BC"/>
    <w:rsid w:val="00F97E3C"/>
    <w:rsid w:val="00FA0275"/>
    <w:rsid w:val="00FA06FD"/>
    <w:rsid w:val="00FA0844"/>
    <w:rsid w:val="00FA12C0"/>
    <w:rsid w:val="00FA1872"/>
    <w:rsid w:val="00FA1ADE"/>
    <w:rsid w:val="00FA1CFA"/>
    <w:rsid w:val="00FA1D7F"/>
    <w:rsid w:val="00FA1E12"/>
    <w:rsid w:val="00FA1E79"/>
    <w:rsid w:val="00FA1EBC"/>
    <w:rsid w:val="00FA2125"/>
    <w:rsid w:val="00FA2194"/>
    <w:rsid w:val="00FA21C7"/>
    <w:rsid w:val="00FA21E4"/>
    <w:rsid w:val="00FA2700"/>
    <w:rsid w:val="00FA2FDD"/>
    <w:rsid w:val="00FA32C3"/>
    <w:rsid w:val="00FA32EB"/>
    <w:rsid w:val="00FA3402"/>
    <w:rsid w:val="00FA34EE"/>
    <w:rsid w:val="00FA354C"/>
    <w:rsid w:val="00FA363E"/>
    <w:rsid w:val="00FA37DA"/>
    <w:rsid w:val="00FA38C2"/>
    <w:rsid w:val="00FA39AE"/>
    <w:rsid w:val="00FA3AEE"/>
    <w:rsid w:val="00FA45FF"/>
    <w:rsid w:val="00FA474B"/>
    <w:rsid w:val="00FA48BF"/>
    <w:rsid w:val="00FA4B44"/>
    <w:rsid w:val="00FA4BF9"/>
    <w:rsid w:val="00FA4EFF"/>
    <w:rsid w:val="00FA4F36"/>
    <w:rsid w:val="00FA5529"/>
    <w:rsid w:val="00FA5A50"/>
    <w:rsid w:val="00FA5B00"/>
    <w:rsid w:val="00FA5C3E"/>
    <w:rsid w:val="00FA5E1A"/>
    <w:rsid w:val="00FA6136"/>
    <w:rsid w:val="00FA64A7"/>
    <w:rsid w:val="00FA6690"/>
    <w:rsid w:val="00FA6F62"/>
    <w:rsid w:val="00FA7224"/>
    <w:rsid w:val="00FA72FD"/>
    <w:rsid w:val="00FA73E3"/>
    <w:rsid w:val="00FA76D1"/>
    <w:rsid w:val="00FA7A28"/>
    <w:rsid w:val="00FA7A6A"/>
    <w:rsid w:val="00FA7CDF"/>
    <w:rsid w:val="00FB0028"/>
    <w:rsid w:val="00FB00F6"/>
    <w:rsid w:val="00FB03F5"/>
    <w:rsid w:val="00FB0500"/>
    <w:rsid w:val="00FB05FE"/>
    <w:rsid w:val="00FB0A8E"/>
    <w:rsid w:val="00FB0BB2"/>
    <w:rsid w:val="00FB0C42"/>
    <w:rsid w:val="00FB0E0C"/>
    <w:rsid w:val="00FB0E7C"/>
    <w:rsid w:val="00FB111C"/>
    <w:rsid w:val="00FB1720"/>
    <w:rsid w:val="00FB19BB"/>
    <w:rsid w:val="00FB1B7E"/>
    <w:rsid w:val="00FB1F11"/>
    <w:rsid w:val="00FB2942"/>
    <w:rsid w:val="00FB2C4C"/>
    <w:rsid w:val="00FB2D77"/>
    <w:rsid w:val="00FB33D0"/>
    <w:rsid w:val="00FB3450"/>
    <w:rsid w:val="00FB3512"/>
    <w:rsid w:val="00FB362E"/>
    <w:rsid w:val="00FB408D"/>
    <w:rsid w:val="00FB40B0"/>
    <w:rsid w:val="00FB412E"/>
    <w:rsid w:val="00FB4533"/>
    <w:rsid w:val="00FB4764"/>
    <w:rsid w:val="00FB4876"/>
    <w:rsid w:val="00FB4D0F"/>
    <w:rsid w:val="00FB4FED"/>
    <w:rsid w:val="00FB5800"/>
    <w:rsid w:val="00FB598F"/>
    <w:rsid w:val="00FB5E23"/>
    <w:rsid w:val="00FB65B3"/>
    <w:rsid w:val="00FB6671"/>
    <w:rsid w:val="00FB6AF3"/>
    <w:rsid w:val="00FB7093"/>
    <w:rsid w:val="00FB7952"/>
    <w:rsid w:val="00FB7D1F"/>
    <w:rsid w:val="00FB7FA4"/>
    <w:rsid w:val="00FB7FFD"/>
    <w:rsid w:val="00FC0434"/>
    <w:rsid w:val="00FC0494"/>
    <w:rsid w:val="00FC0C4C"/>
    <w:rsid w:val="00FC0E5A"/>
    <w:rsid w:val="00FC0F47"/>
    <w:rsid w:val="00FC1032"/>
    <w:rsid w:val="00FC10E3"/>
    <w:rsid w:val="00FC11B9"/>
    <w:rsid w:val="00FC132C"/>
    <w:rsid w:val="00FC14E9"/>
    <w:rsid w:val="00FC169E"/>
    <w:rsid w:val="00FC170A"/>
    <w:rsid w:val="00FC1802"/>
    <w:rsid w:val="00FC1F47"/>
    <w:rsid w:val="00FC20B0"/>
    <w:rsid w:val="00FC24B8"/>
    <w:rsid w:val="00FC28F5"/>
    <w:rsid w:val="00FC2D75"/>
    <w:rsid w:val="00FC2EB0"/>
    <w:rsid w:val="00FC308E"/>
    <w:rsid w:val="00FC3687"/>
    <w:rsid w:val="00FC397C"/>
    <w:rsid w:val="00FC3C22"/>
    <w:rsid w:val="00FC4056"/>
    <w:rsid w:val="00FC4068"/>
    <w:rsid w:val="00FC4161"/>
    <w:rsid w:val="00FC42A7"/>
    <w:rsid w:val="00FC4723"/>
    <w:rsid w:val="00FC4B4C"/>
    <w:rsid w:val="00FC4BF4"/>
    <w:rsid w:val="00FC4EF1"/>
    <w:rsid w:val="00FC58E1"/>
    <w:rsid w:val="00FC5EA8"/>
    <w:rsid w:val="00FC639D"/>
    <w:rsid w:val="00FC63D4"/>
    <w:rsid w:val="00FC6B76"/>
    <w:rsid w:val="00FC6D5A"/>
    <w:rsid w:val="00FC70CA"/>
    <w:rsid w:val="00FC75C5"/>
    <w:rsid w:val="00FC7823"/>
    <w:rsid w:val="00FC7852"/>
    <w:rsid w:val="00FC795B"/>
    <w:rsid w:val="00FC7CF0"/>
    <w:rsid w:val="00FC7E6B"/>
    <w:rsid w:val="00FD0513"/>
    <w:rsid w:val="00FD09AD"/>
    <w:rsid w:val="00FD0B66"/>
    <w:rsid w:val="00FD0C4B"/>
    <w:rsid w:val="00FD0CB2"/>
    <w:rsid w:val="00FD1064"/>
    <w:rsid w:val="00FD183F"/>
    <w:rsid w:val="00FD192D"/>
    <w:rsid w:val="00FD1B84"/>
    <w:rsid w:val="00FD2363"/>
    <w:rsid w:val="00FD2493"/>
    <w:rsid w:val="00FD26C7"/>
    <w:rsid w:val="00FD27CB"/>
    <w:rsid w:val="00FD2908"/>
    <w:rsid w:val="00FD2A99"/>
    <w:rsid w:val="00FD2FF3"/>
    <w:rsid w:val="00FD38D2"/>
    <w:rsid w:val="00FD3B20"/>
    <w:rsid w:val="00FD3DAA"/>
    <w:rsid w:val="00FD4690"/>
    <w:rsid w:val="00FD48F6"/>
    <w:rsid w:val="00FD5332"/>
    <w:rsid w:val="00FD54B0"/>
    <w:rsid w:val="00FD556D"/>
    <w:rsid w:val="00FD58E5"/>
    <w:rsid w:val="00FD5C59"/>
    <w:rsid w:val="00FD5CF8"/>
    <w:rsid w:val="00FD6138"/>
    <w:rsid w:val="00FD64F8"/>
    <w:rsid w:val="00FD6C2B"/>
    <w:rsid w:val="00FD7A96"/>
    <w:rsid w:val="00FD7C05"/>
    <w:rsid w:val="00FD7D71"/>
    <w:rsid w:val="00FD7F9A"/>
    <w:rsid w:val="00FE0566"/>
    <w:rsid w:val="00FE05C1"/>
    <w:rsid w:val="00FE0618"/>
    <w:rsid w:val="00FE065B"/>
    <w:rsid w:val="00FE0940"/>
    <w:rsid w:val="00FE10BD"/>
    <w:rsid w:val="00FE15E6"/>
    <w:rsid w:val="00FE1A2F"/>
    <w:rsid w:val="00FE2147"/>
    <w:rsid w:val="00FE2288"/>
    <w:rsid w:val="00FE2AFD"/>
    <w:rsid w:val="00FE2B1E"/>
    <w:rsid w:val="00FE2ECA"/>
    <w:rsid w:val="00FE333C"/>
    <w:rsid w:val="00FE344E"/>
    <w:rsid w:val="00FE35E6"/>
    <w:rsid w:val="00FE3702"/>
    <w:rsid w:val="00FE38CD"/>
    <w:rsid w:val="00FE3BE4"/>
    <w:rsid w:val="00FE3FE8"/>
    <w:rsid w:val="00FE549E"/>
    <w:rsid w:val="00FE5D49"/>
    <w:rsid w:val="00FE606D"/>
    <w:rsid w:val="00FE65E0"/>
    <w:rsid w:val="00FE680E"/>
    <w:rsid w:val="00FE6846"/>
    <w:rsid w:val="00FE6A7B"/>
    <w:rsid w:val="00FE6D74"/>
    <w:rsid w:val="00FE6E7B"/>
    <w:rsid w:val="00FE7D0D"/>
    <w:rsid w:val="00FF099E"/>
    <w:rsid w:val="00FF0EAC"/>
    <w:rsid w:val="00FF1387"/>
    <w:rsid w:val="00FF1727"/>
    <w:rsid w:val="00FF2270"/>
    <w:rsid w:val="00FF24C2"/>
    <w:rsid w:val="00FF258A"/>
    <w:rsid w:val="00FF30A8"/>
    <w:rsid w:val="00FF32A0"/>
    <w:rsid w:val="00FF33D0"/>
    <w:rsid w:val="00FF36DD"/>
    <w:rsid w:val="00FF3850"/>
    <w:rsid w:val="00FF38BA"/>
    <w:rsid w:val="00FF3BC2"/>
    <w:rsid w:val="00FF3F70"/>
    <w:rsid w:val="00FF43D3"/>
    <w:rsid w:val="00FF4857"/>
    <w:rsid w:val="00FF486D"/>
    <w:rsid w:val="00FF4E8D"/>
    <w:rsid w:val="00FF4F77"/>
    <w:rsid w:val="00FF508E"/>
    <w:rsid w:val="00FF5611"/>
    <w:rsid w:val="00FF5707"/>
    <w:rsid w:val="00FF5AC8"/>
    <w:rsid w:val="00FF5C33"/>
    <w:rsid w:val="00FF5EF0"/>
    <w:rsid w:val="00FF5F5D"/>
    <w:rsid w:val="00FF604D"/>
    <w:rsid w:val="00FF65B5"/>
    <w:rsid w:val="00FF6620"/>
    <w:rsid w:val="00FF6ADE"/>
    <w:rsid w:val="00FF6DF3"/>
    <w:rsid w:val="00FF7407"/>
    <w:rsid w:val="00FF7677"/>
    <w:rsid w:val="00FF792D"/>
    <w:rsid w:val="00FF7BC9"/>
    <w:rsid w:val="00FF7F9B"/>
    <w:rsid w:val="03A3F9CE"/>
    <w:rsid w:val="03B22A5A"/>
    <w:rsid w:val="03CD22AB"/>
    <w:rsid w:val="05E7E696"/>
    <w:rsid w:val="066D9CF9"/>
    <w:rsid w:val="07999F02"/>
    <w:rsid w:val="084EFFFB"/>
    <w:rsid w:val="0866F968"/>
    <w:rsid w:val="095F0712"/>
    <w:rsid w:val="0A852C45"/>
    <w:rsid w:val="0BFB104C"/>
    <w:rsid w:val="0C27F090"/>
    <w:rsid w:val="0C4F5864"/>
    <w:rsid w:val="0FF515B6"/>
    <w:rsid w:val="157CB8F6"/>
    <w:rsid w:val="15ED808E"/>
    <w:rsid w:val="15F8C6FF"/>
    <w:rsid w:val="16D1B369"/>
    <w:rsid w:val="17A80618"/>
    <w:rsid w:val="188C929C"/>
    <w:rsid w:val="18AC2738"/>
    <w:rsid w:val="193D48CD"/>
    <w:rsid w:val="198FF951"/>
    <w:rsid w:val="1B498819"/>
    <w:rsid w:val="1BCFE4D0"/>
    <w:rsid w:val="1C6B44AD"/>
    <w:rsid w:val="1D0CD1B7"/>
    <w:rsid w:val="1D68C607"/>
    <w:rsid w:val="1D74C6B5"/>
    <w:rsid w:val="1F1AE577"/>
    <w:rsid w:val="1FA569BE"/>
    <w:rsid w:val="1FC137D0"/>
    <w:rsid w:val="2078A1D6"/>
    <w:rsid w:val="2112886C"/>
    <w:rsid w:val="212078CE"/>
    <w:rsid w:val="22226BE1"/>
    <w:rsid w:val="2256B067"/>
    <w:rsid w:val="229DE16F"/>
    <w:rsid w:val="22C46D2B"/>
    <w:rsid w:val="22EFFEBE"/>
    <w:rsid w:val="23CE3CC2"/>
    <w:rsid w:val="23DEAE4B"/>
    <w:rsid w:val="251EBD40"/>
    <w:rsid w:val="25361F35"/>
    <w:rsid w:val="25814051"/>
    <w:rsid w:val="2599290E"/>
    <w:rsid w:val="25EE61D2"/>
    <w:rsid w:val="26496379"/>
    <w:rsid w:val="2649FAF1"/>
    <w:rsid w:val="26ED2630"/>
    <w:rsid w:val="277E047A"/>
    <w:rsid w:val="27A903E4"/>
    <w:rsid w:val="2A62CD75"/>
    <w:rsid w:val="2ACBD841"/>
    <w:rsid w:val="2CD3441F"/>
    <w:rsid w:val="2D1FF5C3"/>
    <w:rsid w:val="2D7D7135"/>
    <w:rsid w:val="2D98A7CF"/>
    <w:rsid w:val="2E8FEB30"/>
    <w:rsid w:val="2EBB4303"/>
    <w:rsid w:val="2FE6F773"/>
    <w:rsid w:val="306283C9"/>
    <w:rsid w:val="31C0CE57"/>
    <w:rsid w:val="33155508"/>
    <w:rsid w:val="339F4178"/>
    <w:rsid w:val="34A23D53"/>
    <w:rsid w:val="351EAB66"/>
    <w:rsid w:val="3705EA57"/>
    <w:rsid w:val="378E08C1"/>
    <w:rsid w:val="37B62B30"/>
    <w:rsid w:val="383B83EA"/>
    <w:rsid w:val="3945C385"/>
    <w:rsid w:val="3A98327A"/>
    <w:rsid w:val="3AB5EF41"/>
    <w:rsid w:val="3BC9BB65"/>
    <w:rsid w:val="3C3E2747"/>
    <w:rsid w:val="3C6B3AC7"/>
    <w:rsid w:val="3CF845DB"/>
    <w:rsid w:val="3D380664"/>
    <w:rsid w:val="3E03A2B8"/>
    <w:rsid w:val="3F608F43"/>
    <w:rsid w:val="3FCB3B8C"/>
    <w:rsid w:val="40407411"/>
    <w:rsid w:val="41887FB0"/>
    <w:rsid w:val="42DEA3D8"/>
    <w:rsid w:val="431DF5CC"/>
    <w:rsid w:val="44EF01BC"/>
    <w:rsid w:val="45750634"/>
    <w:rsid w:val="4719284D"/>
    <w:rsid w:val="4812A04F"/>
    <w:rsid w:val="4818A3BC"/>
    <w:rsid w:val="4860FD91"/>
    <w:rsid w:val="487662ED"/>
    <w:rsid w:val="49193BD3"/>
    <w:rsid w:val="4954ED01"/>
    <w:rsid w:val="4A366341"/>
    <w:rsid w:val="4DCDC31D"/>
    <w:rsid w:val="4F36FB2C"/>
    <w:rsid w:val="4FDB3933"/>
    <w:rsid w:val="500C4747"/>
    <w:rsid w:val="511AE5EC"/>
    <w:rsid w:val="5120FE3D"/>
    <w:rsid w:val="528EAD93"/>
    <w:rsid w:val="52CCA8AF"/>
    <w:rsid w:val="590D31B0"/>
    <w:rsid w:val="59411EC1"/>
    <w:rsid w:val="59A66227"/>
    <w:rsid w:val="5A923794"/>
    <w:rsid w:val="5AD57D7A"/>
    <w:rsid w:val="5D771A8E"/>
    <w:rsid w:val="5E0F0216"/>
    <w:rsid w:val="5E490617"/>
    <w:rsid w:val="5EAF1697"/>
    <w:rsid w:val="5F897C8F"/>
    <w:rsid w:val="5FED6B86"/>
    <w:rsid w:val="60E9B27C"/>
    <w:rsid w:val="614C60D6"/>
    <w:rsid w:val="6191F2BB"/>
    <w:rsid w:val="62145896"/>
    <w:rsid w:val="628D0AC1"/>
    <w:rsid w:val="63670FA3"/>
    <w:rsid w:val="63696BBF"/>
    <w:rsid w:val="63FA1738"/>
    <w:rsid w:val="66E0CD0A"/>
    <w:rsid w:val="670C1A8A"/>
    <w:rsid w:val="673319BB"/>
    <w:rsid w:val="6990AAA0"/>
    <w:rsid w:val="6A104E70"/>
    <w:rsid w:val="6B015A43"/>
    <w:rsid w:val="6BAA31FA"/>
    <w:rsid w:val="6CAF7C94"/>
    <w:rsid w:val="6D284772"/>
    <w:rsid w:val="6D53D7CC"/>
    <w:rsid w:val="6D8E6722"/>
    <w:rsid w:val="6D95384E"/>
    <w:rsid w:val="713AE771"/>
    <w:rsid w:val="7142A226"/>
    <w:rsid w:val="716B4A53"/>
    <w:rsid w:val="71AFAA67"/>
    <w:rsid w:val="7232B914"/>
    <w:rsid w:val="730B8F4C"/>
    <w:rsid w:val="733A33F3"/>
    <w:rsid w:val="752BF7E2"/>
    <w:rsid w:val="752FF4EE"/>
    <w:rsid w:val="76AF7787"/>
    <w:rsid w:val="7701E8B6"/>
    <w:rsid w:val="7750F83A"/>
    <w:rsid w:val="780EBB34"/>
    <w:rsid w:val="79095494"/>
    <w:rsid w:val="7A71F4EE"/>
    <w:rsid w:val="7B83D880"/>
    <w:rsid w:val="7CCC3893"/>
    <w:rsid w:val="7D21C488"/>
    <w:rsid w:val="7D246F74"/>
    <w:rsid w:val="7E1D357B"/>
    <w:rsid w:val="7E3715F8"/>
    <w:rsid w:val="7E95777F"/>
    <w:rsid w:val="7FC5DF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9C4DB"/>
  <w15:docId w15:val="{CCB1B895-6BC8-43B3-A61D-DD0184D8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163"/>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D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3E377A"/>
    <w:pPr>
      <w:tabs>
        <w:tab w:val="right" w:leader="dot" w:pos="10773"/>
      </w:tabs>
      <w:spacing w:before="240"/>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4047D9"/>
    <w:pPr>
      <w:tabs>
        <w:tab w:val="right" w:leader="dot" w:pos="10773"/>
      </w:tabs>
      <w:spacing w:after="100"/>
      <w:ind w:left="220"/>
    </w:pPr>
  </w:style>
  <w:style w:type="character" w:customStyle="1" w:styleId="Mencinsinresolver1">
    <w:name w:val="Mención sin resolver1"/>
    <w:basedOn w:val="Fuentedeprrafopredeter"/>
    <w:uiPriority w:val="99"/>
    <w:semiHidden/>
    <w:unhideWhenUsed/>
    <w:rsid w:val="00204ED0"/>
    <w:rPr>
      <w:color w:val="605E5C"/>
      <w:shd w:val="clear" w:color="auto" w:fill="E1DFDD"/>
    </w:rPr>
  </w:style>
  <w:style w:type="paragraph" w:customStyle="1" w:styleId="msonormal0">
    <w:name w:val="msonormal"/>
    <w:basedOn w:val="Normal"/>
    <w:rsid w:val="004B76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4B76C5"/>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xl65">
    <w:name w:val="xl6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6">
    <w:name w:val="xl6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7">
    <w:name w:val="xl6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8">
    <w:name w:val="xl6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9">
    <w:name w:val="xl69"/>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0">
    <w:name w:val="xl7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1">
    <w:name w:val="xl71"/>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2">
    <w:name w:val="xl7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3">
    <w:name w:val="xl73"/>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4">
    <w:name w:val="xl7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5">
    <w:name w:val="xl7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6">
    <w:name w:val="xl76"/>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7">
    <w:name w:val="xl7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8">
    <w:name w:val="xl78"/>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9">
    <w:name w:val="xl79"/>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0">
    <w:name w:val="xl80"/>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1">
    <w:name w:val="xl8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2">
    <w:name w:val="xl8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3">
    <w:name w:val="xl83"/>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4">
    <w:name w:val="xl84"/>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5">
    <w:name w:val="xl8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6">
    <w:name w:val="xl8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7">
    <w:name w:val="xl8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8">
    <w:name w:val="xl88"/>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9">
    <w:name w:val="xl8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0">
    <w:name w:val="xl90"/>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1">
    <w:name w:val="xl91"/>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2">
    <w:name w:val="xl92"/>
    <w:basedOn w:val="Normal"/>
    <w:rsid w:val="004B76C5"/>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3">
    <w:name w:val="xl93"/>
    <w:basedOn w:val="Normal"/>
    <w:rsid w:val="004B76C5"/>
    <w:pP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4">
    <w:name w:val="xl94"/>
    <w:basedOn w:val="Normal"/>
    <w:rsid w:val="004B76C5"/>
    <w:pPr>
      <w:pBdr>
        <w:lef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5">
    <w:name w:val="xl95"/>
    <w:basedOn w:val="Normal"/>
    <w:rsid w:val="004B76C5"/>
    <w:pPr>
      <w:pBdr>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6">
    <w:name w:val="xl96"/>
    <w:basedOn w:val="Normal"/>
    <w:rsid w:val="004B76C5"/>
    <w:pPr>
      <w:pBdr>
        <w:left w:val="single" w:sz="8" w:space="0" w:color="BFBFBF"/>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7">
    <w:name w:val="xl9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8">
    <w:name w:val="xl9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9">
    <w:name w:val="xl9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00">
    <w:name w:val="xl100"/>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1">
    <w:name w:val="xl101"/>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2">
    <w:name w:val="xl10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3">
    <w:name w:val="xl10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4">
    <w:name w:val="xl104"/>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5">
    <w:name w:val="xl10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6">
    <w:name w:val="xl10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7">
    <w:name w:val="xl10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8">
    <w:name w:val="xl1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9">
    <w:name w:val="xl10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0">
    <w:name w:val="xl1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1">
    <w:name w:val="xl11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2">
    <w:name w:val="xl112"/>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3">
    <w:name w:val="xl113"/>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4">
    <w:name w:val="xl11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5">
    <w:name w:val="xl11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6">
    <w:name w:val="xl116"/>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7">
    <w:name w:val="xl117"/>
    <w:basedOn w:val="Normal"/>
    <w:rsid w:val="004B76C5"/>
    <w:pPr>
      <w:pBdr>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8">
    <w:name w:val="xl11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9">
    <w:name w:val="xl119"/>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0">
    <w:name w:val="xl120"/>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1">
    <w:name w:val="xl121"/>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2">
    <w:name w:val="xl12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3">
    <w:name w:val="xl12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4">
    <w:name w:val="xl124"/>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5">
    <w:name w:val="xl12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6">
    <w:name w:val="xl126"/>
    <w:basedOn w:val="Normal"/>
    <w:rsid w:val="004B76C5"/>
    <w:pPr>
      <w:pBdr>
        <w:top w:val="single" w:sz="4"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7">
    <w:name w:val="xl127"/>
    <w:basedOn w:val="Normal"/>
    <w:rsid w:val="004B76C5"/>
    <w:pPr>
      <w:pBdr>
        <w:top w:val="single" w:sz="8" w:space="0" w:color="BFBFBF"/>
        <w:left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8">
    <w:name w:val="xl128"/>
    <w:basedOn w:val="Normal"/>
    <w:rsid w:val="004B76C5"/>
    <w:pPr>
      <w:pBdr>
        <w:top w:val="single" w:sz="8"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9">
    <w:name w:val="xl129"/>
    <w:basedOn w:val="Normal"/>
    <w:rsid w:val="004B76C5"/>
    <w:pPr>
      <w:pBdr>
        <w:top w:val="single" w:sz="8"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0">
    <w:name w:val="xl130"/>
    <w:basedOn w:val="Normal"/>
    <w:rsid w:val="004B76C5"/>
    <w:pPr>
      <w:pBdr>
        <w:top w:val="single" w:sz="4"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1">
    <w:name w:val="xl131"/>
    <w:basedOn w:val="Normal"/>
    <w:rsid w:val="004B76C5"/>
    <w:pPr>
      <w:pBdr>
        <w:top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2">
    <w:name w:val="xl132"/>
    <w:basedOn w:val="Normal"/>
    <w:rsid w:val="004B76C5"/>
    <w:pPr>
      <w:pBdr>
        <w:top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3">
    <w:name w:val="xl133"/>
    <w:basedOn w:val="Normal"/>
    <w:rsid w:val="004B76C5"/>
    <w:pPr>
      <w:pBdr>
        <w:top w:val="single" w:sz="8"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4">
    <w:name w:val="xl134"/>
    <w:basedOn w:val="Normal"/>
    <w:rsid w:val="004B76C5"/>
    <w:pPr>
      <w:pBdr>
        <w:top w:val="single" w:sz="4"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5">
    <w:name w:val="xl135"/>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36">
    <w:name w:val="xl136"/>
    <w:basedOn w:val="Normal"/>
    <w:rsid w:val="004B76C5"/>
    <w:pPr>
      <w:pBdr>
        <w:top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7">
    <w:name w:val="xl137"/>
    <w:basedOn w:val="Normal"/>
    <w:rsid w:val="004B76C5"/>
    <w:pPr>
      <w:pBdr>
        <w:top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8">
    <w:name w:val="xl138"/>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39">
    <w:name w:val="xl13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0">
    <w:name w:val="xl140"/>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1">
    <w:name w:val="xl141"/>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2">
    <w:name w:val="xl14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3">
    <w:name w:val="xl143"/>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4">
    <w:name w:val="xl144"/>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5">
    <w:name w:val="xl145"/>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6">
    <w:name w:val="xl146"/>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7">
    <w:name w:val="xl147"/>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8">
    <w:name w:val="xl148"/>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9">
    <w:name w:val="xl149"/>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50">
    <w:name w:val="xl150"/>
    <w:basedOn w:val="Normal"/>
    <w:rsid w:val="004B76C5"/>
    <w:pPr>
      <w:pBdr>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1">
    <w:name w:val="xl15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2">
    <w:name w:val="xl152"/>
    <w:basedOn w:val="Normal"/>
    <w:rsid w:val="004B76C5"/>
    <w:pPr>
      <w:pBdr>
        <w:top w:val="single" w:sz="8" w:space="0" w:color="BFBFBF"/>
        <w:left w:val="single" w:sz="8"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3">
    <w:name w:val="xl153"/>
    <w:basedOn w:val="Normal"/>
    <w:rsid w:val="004B76C5"/>
    <w:pPr>
      <w:pBdr>
        <w:top w:val="single" w:sz="8" w:space="0" w:color="BFBFBF"/>
        <w:left w:val="single" w:sz="4"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4">
    <w:name w:val="xl154"/>
    <w:basedOn w:val="Normal"/>
    <w:rsid w:val="004B76C5"/>
    <w:pPr>
      <w:pBdr>
        <w:top w:val="single" w:sz="8" w:space="0" w:color="BFBFBF"/>
        <w:left w:val="single" w:sz="4" w:space="0" w:color="BFBFBF"/>
        <w:bottom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5">
    <w:name w:val="xl155"/>
    <w:basedOn w:val="Normal"/>
    <w:rsid w:val="004B76C5"/>
    <w:pPr>
      <w:pBdr>
        <w:top w:val="single" w:sz="4" w:space="0" w:color="BFBFBF"/>
        <w:left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6">
    <w:name w:val="xl156"/>
    <w:basedOn w:val="Normal"/>
    <w:rsid w:val="004B76C5"/>
    <w:pPr>
      <w:pBdr>
        <w:top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7">
    <w:name w:val="xl157"/>
    <w:basedOn w:val="Normal"/>
    <w:rsid w:val="004B76C5"/>
    <w:pPr>
      <w:pBdr>
        <w:top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8">
    <w:name w:val="xl158"/>
    <w:basedOn w:val="Normal"/>
    <w:rsid w:val="004B76C5"/>
    <w:pPr>
      <w:pBdr>
        <w:top w:val="single" w:sz="4" w:space="0" w:color="BFBFBF"/>
        <w:left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9">
    <w:name w:val="xl159"/>
    <w:basedOn w:val="Normal"/>
    <w:rsid w:val="004B76C5"/>
    <w:pPr>
      <w:pBdr>
        <w:top w:val="single" w:sz="4" w:space="0" w:color="BFBFBF"/>
        <w:left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0">
    <w:name w:val="xl160"/>
    <w:basedOn w:val="Normal"/>
    <w:rsid w:val="004B76C5"/>
    <w:pPr>
      <w:pBdr>
        <w:top w:val="single" w:sz="4" w:space="0" w:color="BFBFBF"/>
        <w:left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1">
    <w:name w:val="xl161"/>
    <w:basedOn w:val="Normal"/>
    <w:rsid w:val="004B76C5"/>
    <w:pPr>
      <w:pBdr>
        <w:top w:val="single" w:sz="8" w:space="0" w:color="BFBFBF"/>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2">
    <w:name w:val="xl162"/>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63">
    <w:name w:val="xl163"/>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64">
    <w:name w:val="xl164"/>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5">
    <w:name w:val="xl165"/>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6">
    <w:name w:val="xl166"/>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7">
    <w:name w:val="xl167"/>
    <w:basedOn w:val="Normal"/>
    <w:rsid w:val="004B76C5"/>
    <w:pPr>
      <w:pBdr>
        <w:top w:val="single" w:sz="8" w:space="0" w:color="BFBFBF"/>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8">
    <w:name w:val="xl168"/>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9">
    <w:name w:val="xl169"/>
    <w:basedOn w:val="Normal"/>
    <w:rsid w:val="004B76C5"/>
    <w:pPr>
      <w:pBdr>
        <w:top w:val="single" w:sz="8" w:space="0" w:color="BFBFBF"/>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0">
    <w:name w:val="xl170"/>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1">
    <w:name w:val="xl171"/>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72">
    <w:name w:val="xl17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3">
    <w:name w:val="xl17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4">
    <w:name w:val="xl174"/>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5">
    <w:name w:val="xl175"/>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6">
    <w:name w:val="xl176"/>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7">
    <w:name w:val="xl177"/>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8">
    <w:name w:val="xl178"/>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9">
    <w:name w:val="xl17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0">
    <w:name w:val="xl180"/>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1">
    <w:name w:val="xl181"/>
    <w:basedOn w:val="Normal"/>
    <w:rsid w:val="004B76C5"/>
    <w:pPr>
      <w:pBdr>
        <w:top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82">
    <w:name w:val="xl182"/>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3">
    <w:name w:val="xl18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4">
    <w:name w:val="xl184"/>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5">
    <w:name w:val="xl18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6">
    <w:name w:val="xl186"/>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7">
    <w:name w:val="xl187"/>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8">
    <w:name w:val="xl188"/>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9">
    <w:name w:val="xl18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0">
    <w:name w:val="xl190"/>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1">
    <w:name w:val="xl191"/>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2">
    <w:name w:val="xl19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3">
    <w:name w:val="xl193"/>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4">
    <w:name w:val="xl194"/>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5">
    <w:name w:val="xl195"/>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6">
    <w:name w:val="xl196"/>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7">
    <w:name w:val="xl197"/>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8">
    <w:name w:val="xl19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9">
    <w:name w:val="xl19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0">
    <w:name w:val="xl200"/>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1">
    <w:name w:val="xl20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2">
    <w:name w:val="xl20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3">
    <w:name w:val="xl20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4">
    <w:name w:val="xl204"/>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5">
    <w:name w:val="xl205"/>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6">
    <w:name w:val="xl20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7">
    <w:name w:val="xl20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8">
    <w:name w:val="xl2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09">
    <w:name w:val="xl20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0">
    <w:name w:val="xl2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1">
    <w:name w:val="xl211"/>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2">
    <w:name w:val="xl212"/>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3">
    <w:name w:val="xl213"/>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4">
    <w:name w:val="xl214"/>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5">
    <w:name w:val="xl21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6">
    <w:name w:val="xl21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7">
    <w:name w:val="xl217"/>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8">
    <w:name w:val="xl21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9">
    <w:name w:val="xl21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0">
    <w:name w:val="xl22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1">
    <w:name w:val="xl22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2">
    <w:name w:val="xl222"/>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3">
    <w:name w:val="xl22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4">
    <w:name w:val="xl22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5">
    <w:name w:val="xl22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6">
    <w:name w:val="xl22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7">
    <w:name w:val="xl227"/>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8">
    <w:name w:val="xl228"/>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29">
    <w:name w:val="xl229"/>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0">
    <w:name w:val="xl230"/>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1">
    <w:name w:val="xl23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2">
    <w:name w:val="xl232"/>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3">
    <w:name w:val="xl233"/>
    <w:basedOn w:val="Normal"/>
    <w:rsid w:val="004B76C5"/>
    <w:pPr>
      <w:pBdr>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34">
    <w:name w:val="xl23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5">
    <w:name w:val="xl23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sz w:val="17"/>
      <w:szCs w:val="17"/>
      <w:lang w:eastAsia="es-MX"/>
    </w:rPr>
  </w:style>
  <w:style w:type="paragraph" w:customStyle="1" w:styleId="xl236">
    <w:name w:val="xl23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37">
    <w:name w:val="xl23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8">
    <w:name w:val="xl23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9">
    <w:name w:val="xl239"/>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0">
    <w:name w:val="xl240"/>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41">
    <w:name w:val="xl241"/>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42">
    <w:name w:val="xl242"/>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3">
    <w:name w:val="xl243"/>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4">
    <w:name w:val="xl244"/>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5">
    <w:name w:val="xl245"/>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6">
    <w:name w:val="xl24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7">
    <w:name w:val="xl247"/>
    <w:basedOn w:val="Normal"/>
    <w:rsid w:val="004B76C5"/>
    <w:pPr>
      <w:pBdr>
        <w:lef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8">
    <w:name w:val="xl248"/>
    <w:basedOn w:val="Normal"/>
    <w:rsid w:val="004B76C5"/>
    <w:pP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9">
    <w:name w:val="xl249"/>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0">
    <w:name w:val="xl250"/>
    <w:basedOn w:val="Normal"/>
    <w:rsid w:val="004B76C5"/>
    <w:pPr>
      <w:pBdr>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1">
    <w:name w:val="xl251"/>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2">
    <w:name w:val="xl252"/>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b/>
      <w:bCs/>
      <w:color w:val="BF8F00"/>
      <w:sz w:val="17"/>
      <w:szCs w:val="17"/>
      <w:lang w:eastAsia="es-MX"/>
    </w:rPr>
  </w:style>
  <w:style w:type="paragraph" w:customStyle="1" w:styleId="xl253">
    <w:name w:val="xl253"/>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4">
    <w:name w:val="xl25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5">
    <w:name w:val="xl255"/>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6">
    <w:name w:val="xl25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7">
    <w:name w:val="xl25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8">
    <w:name w:val="xl258"/>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9">
    <w:name w:val="xl259"/>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60">
    <w:name w:val="xl260"/>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1">
    <w:name w:val="xl261"/>
    <w:basedOn w:val="Normal"/>
    <w:rsid w:val="004B76C5"/>
    <w:pPr>
      <w:pBdr>
        <w:top w:val="single" w:sz="8" w:space="0" w:color="BFBFBF"/>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2">
    <w:name w:val="xl262"/>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3">
    <w:name w:val="xl263"/>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264">
    <w:name w:val="xl264"/>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5">
    <w:name w:val="xl265"/>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6">
    <w:name w:val="xl266"/>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7">
    <w:name w:val="xl267"/>
    <w:basedOn w:val="Normal"/>
    <w:rsid w:val="004B76C5"/>
    <w:pPr>
      <w:pBdr>
        <w:top w:val="single" w:sz="8" w:space="0" w:color="BFBFBF"/>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8">
    <w:name w:val="xl268"/>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Hipervnculovisitado">
    <w:name w:val="FollowedHyperlink"/>
    <w:basedOn w:val="Fuentedeprrafopredeter"/>
    <w:uiPriority w:val="99"/>
    <w:semiHidden/>
    <w:unhideWhenUsed/>
    <w:rsid w:val="00E10E5B"/>
    <w:rPr>
      <w:color w:val="954F72"/>
      <w:u w:val="single"/>
    </w:rPr>
  </w:style>
  <w:style w:type="paragraph" w:customStyle="1" w:styleId="xl63">
    <w:name w:val="xl6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4">
    <w:name w:val="xl64"/>
    <w:basedOn w:val="Normal"/>
    <w:rsid w:val="00E10E5B"/>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9">
    <w:name w:val="xl269"/>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0">
    <w:name w:val="xl270"/>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1">
    <w:name w:val="xl271"/>
    <w:basedOn w:val="Normal"/>
    <w:rsid w:val="00E10E5B"/>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2">
    <w:name w:val="xl272"/>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3">
    <w:name w:val="xl273"/>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4">
    <w:name w:val="xl274"/>
    <w:basedOn w:val="Normal"/>
    <w:rsid w:val="00E10E5B"/>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5">
    <w:name w:val="xl275"/>
    <w:basedOn w:val="Normal"/>
    <w:rsid w:val="00E10E5B"/>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6">
    <w:name w:val="xl276"/>
    <w:basedOn w:val="Normal"/>
    <w:rsid w:val="00E10E5B"/>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7">
    <w:name w:val="xl277"/>
    <w:basedOn w:val="Normal"/>
    <w:rsid w:val="00E10E5B"/>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8">
    <w:name w:val="xl278"/>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79">
    <w:name w:val="xl279"/>
    <w:basedOn w:val="Normal"/>
    <w:rsid w:val="00E10E5B"/>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80">
    <w:name w:val="xl280"/>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81">
    <w:name w:val="xl281"/>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2">
    <w:name w:val="xl282"/>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3">
    <w:name w:val="xl28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4">
    <w:name w:val="xl284"/>
    <w:basedOn w:val="Normal"/>
    <w:rsid w:val="00E10E5B"/>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table" w:styleId="Tablaconcuadrcula4-nfasis3">
    <w:name w:val="Grid Table 4 Accent 3"/>
    <w:basedOn w:val="Tablanormal"/>
    <w:uiPriority w:val="49"/>
    <w:rsid w:val="000F482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3Car">
    <w:name w:val="Título 3 Car"/>
    <w:basedOn w:val="Fuentedeprrafopredeter"/>
    <w:link w:val="Ttulo3"/>
    <w:uiPriority w:val="9"/>
    <w:semiHidden/>
    <w:rsid w:val="002D3AEC"/>
    <w:rPr>
      <w:rFonts w:asciiTheme="majorHAnsi" w:eastAsiaTheme="majorEastAsia" w:hAnsiTheme="majorHAnsi" w:cstheme="majorBidi"/>
      <w:color w:val="1F4D78" w:themeColor="accent1" w:themeShade="7F"/>
      <w:sz w:val="24"/>
      <w:szCs w:val="24"/>
      <w:lang w:val="es-MX"/>
    </w:rPr>
  </w:style>
  <w:style w:type="character" w:styleId="Mencinsinresolver">
    <w:name w:val="Unresolved Mention"/>
    <w:basedOn w:val="Fuentedeprrafopredeter"/>
    <w:uiPriority w:val="99"/>
    <w:semiHidden/>
    <w:unhideWhenUsed/>
    <w:rsid w:val="00931152"/>
    <w:rPr>
      <w:color w:val="605E5C"/>
      <w:shd w:val="clear" w:color="auto" w:fill="E1DFDD"/>
    </w:rPr>
  </w:style>
  <w:style w:type="paragraph" w:customStyle="1" w:styleId="font6">
    <w:name w:val="font6"/>
    <w:basedOn w:val="Normal"/>
    <w:rsid w:val="00931152"/>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font7">
    <w:name w:val="font7"/>
    <w:basedOn w:val="Normal"/>
    <w:rsid w:val="00931152"/>
    <w:pPr>
      <w:spacing w:before="100" w:beforeAutospacing="1" w:after="100" w:afterAutospacing="1" w:line="240" w:lineRule="auto"/>
    </w:pPr>
    <w:rPr>
      <w:rFonts w:ascii="Century Gothic" w:eastAsia="Times New Roman" w:hAnsi="Century Gothic" w:cs="Times New Roman"/>
      <w:i/>
      <w:iCs/>
      <w:color w:val="FFFFFF"/>
      <w:sz w:val="17"/>
      <w:szCs w:val="17"/>
      <w:lang w:eastAsia="es-MX"/>
    </w:rPr>
  </w:style>
  <w:style w:type="paragraph" w:styleId="Sinespaciado">
    <w:name w:val="No Spacing"/>
    <w:link w:val="SinespaciadoCar"/>
    <w:uiPriority w:val="1"/>
    <w:qFormat/>
    <w:rsid w:val="00555CB3"/>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555CB3"/>
    <w:rPr>
      <w:rFonts w:eastAsiaTheme="minorEastAsia"/>
      <w:lang w:val="es-MX" w:eastAsia="es-MX"/>
    </w:rPr>
  </w:style>
  <w:style w:type="paragraph" w:styleId="TDC3">
    <w:name w:val="toc 3"/>
    <w:basedOn w:val="Normal"/>
    <w:next w:val="Normal"/>
    <w:autoRedefine/>
    <w:uiPriority w:val="39"/>
    <w:unhideWhenUsed/>
    <w:rsid w:val="00D56CD3"/>
    <w:pPr>
      <w:spacing w:after="100"/>
      <w:ind w:left="440"/>
    </w:pPr>
  </w:style>
  <w:style w:type="character" w:customStyle="1" w:styleId="normaltextrun">
    <w:name w:val="normaltextrun"/>
    <w:basedOn w:val="Fuentedeprrafopredeter"/>
    <w:rsid w:val="00594D79"/>
  </w:style>
  <w:style w:type="character" w:customStyle="1" w:styleId="eop">
    <w:name w:val="eop"/>
    <w:basedOn w:val="Fuentedeprrafopredeter"/>
    <w:rsid w:val="00594D79"/>
  </w:style>
  <w:style w:type="paragraph" w:styleId="Textonotaalfinal">
    <w:name w:val="endnote text"/>
    <w:basedOn w:val="Normal"/>
    <w:link w:val="TextonotaalfinalCar"/>
    <w:uiPriority w:val="99"/>
    <w:semiHidden/>
    <w:unhideWhenUsed/>
    <w:rsid w:val="00A0636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6363"/>
    <w:rPr>
      <w:sz w:val="20"/>
      <w:szCs w:val="20"/>
      <w:lang w:val="es-MX"/>
    </w:rPr>
  </w:style>
  <w:style w:type="character" w:styleId="Refdenotaalfinal">
    <w:name w:val="endnote reference"/>
    <w:basedOn w:val="Fuentedeprrafopredeter"/>
    <w:uiPriority w:val="99"/>
    <w:semiHidden/>
    <w:unhideWhenUsed/>
    <w:rsid w:val="00A06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16128596">
      <w:bodyDiv w:val="1"/>
      <w:marLeft w:val="0"/>
      <w:marRight w:val="0"/>
      <w:marTop w:val="0"/>
      <w:marBottom w:val="0"/>
      <w:divBdr>
        <w:top w:val="none" w:sz="0" w:space="0" w:color="auto"/>
        <w:left w:val="none" w:sz="0" w:space="0" w:color="auto"/>
        <w:bottom w:val="none" w:sz="0" w:space="0" w:color="auto"/>
        <w:right w:val="none" w:sz="0" w:space="0" w:color="auto"/>
      </w:divBdr>
    </w:div>
    <w:div w:id="18820805">
      <w:bodyDiv w:val="1"/>
      <w:marLeft w:val="0"/>
      <w:marRight w:val="0"/>
      <w:marTop w:val="0"/>
      <w:marBottom w:val="0"/>
      <w:divBdr>
        <w:top w:val="none" w:sz="0" w:space="0" w:color="auto"/>
        <w:left w:val="none" w:sz="0" w:space="0" w:color="auto"/>
        <w:bottom w:val="none" w:sz="0" w:space="0" w:color="auto"/>
        <w:right w:val="none" w:sz="0" w:space="0" w:color="auto"/>
      </w:divBdr>
    </w:div>
    <w:div w:id="34039339">
      <w:bodyDiv w:val="1"/>
      <w:marLeft w:val="0"/>
      <w:marRight w:val="0"/>
      <w:marTop w:val="0"/>
      <w:marBottom w:val="0"/>
      <w:divBdr>
        <w:top w:val="none" w:sz="0" w:space="0" w:color="auto"/>
        <w:left w:val="none" w:sz="0" w:space="0" w:color="auto"/>
        <w:bottom w:val="none" w:sz="0" w:space="0" w:color="auto"/>
        <w:right w:val="none" w:sz="0" w:space="0" w:color="auto"/>
      </w:divBdr>
    </w:div>
    <w:div w:id="37903150">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65492393">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 w:id="1224095731">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16531508">
      <w:bodyDiv w:val="1"/>
      <w:marLeft w:val="0"/>
      <w:marRight w:val="0"/>
      <w:marTop w:val="0"/>
      <w:marBottom w:val="0"/>
      <w:divBdr>
        <w:top w:val="none" w:sz="0" w:space="0" w:color="auto"/>
        <w:left w:val="none" w:sz="0" w:space="0" w:color="auto"/>
        <w:bottom w:val="none" w:sz="0" w:space="0" w:color="auto"/>
        <w:right w:val="none" w:sz="0" w:space="0" w:color="auto"/>
      </w:divBdr>
      <w:divsChild>
        <w:div w:id="319503698">
          <w:marLeft w:val="274"/>
          <w:marRight w:val="0"/>
          <w:marTop w:val="0"/>
          <w:marBottom w:val="0"/>
          <w:divBdr>
            <w:top w:val="none" w:sz="0" w:space="0" w:color="auto"/>
            <w:left w:val="none" w:sz="0" w:space="0" w:color="auto"/>
            <w:bottom w:val="none" w:sz="0" w:space="0" w:color="auto"/>
            <w:right w:val="none" w:sz="0" w:space="0" w:color="auto"/>
          </w:divBdr>
        </w:div>
        <w:div w:id="1389186864">
          <w:marLeft w:val="274"/>
          <w:marRight w:val="0"/>
          <w:marTop w:val="0"/>
          <w:marBottom w:val="0"/>
          <w:divBdr>
            <w:top w:val="none" w:sz="0" w:space="0" w:color="auto"/>
            <w:left w:val="none" w:sz="0" w:space="0" w:color="auto"/>
            <w:bottom w:val="none" w:sz="0" w:space="0" w:color="auto"/>
            <w:right w:val="none" w:sz="0" w:space="0" w:color="auto"/>
          </w:divBdr>
        </w:div>
      </w:divsChild>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32841489">
      <w:bodyDiv w:val="1"/>
      <w:marLeft w:val="0"/>
      <w:marRight w:val="0"/>
      <w:marTop w:val="0"/>
      <w:marBottom w:val="0"/>
      <w:divBdr>
        <w:top w:val="none" w:sz="0" w:space="0" w:color="auto"/>
        <w:left w:val="none" w:sz="0" w:space="0" w:color="auto"/>
        <w:bottom w:val="none" w:sz="0" w:space="0" w:color="auto"/>
        <w:right w:val="none" w:sz="0" w:space="0" w:color="auto"/>
      </w:divBdr>
    </w:div>
    <w:div w:id="135883024">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2858016">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72695026">
      <w:bodyDiv w:val="1"/>
      <w:marLeft w:val="0"/>
      <w:marRight w:val="0"/>
      <w:marTop w:val="0"/>
      <w:marBottom w:val="0"/>
      <w:divBdr>
        <w:top w:val="none" w:sz="0" w:space="0" w:color="auto"/>
        <w:left w:val="none" w:sz="0" w:space="0" w:color="auto"/>
        <w:bottom w:val="none" w:sz="0" w:space="0" w:color="auto"/>
        <w:right w:val="none" w:sz="0" w:space="0" w:color="auto"/>
      </w:divBdr>
    </w:div>
    <w:div w:id="180316119">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213663296">
      <w:bodyDiv w:val="1"/>
      <w:marLeft w:val="0"/>
      <w:marRight w:val="0"/>
      <w:marTop w:val="0"/>
      <w:marBottom w:val="0"/>
      <w:divBdr>
        <w:top w:val="none" w:sz="0" w:space="0" w:color="auto"/>
        <w:left w:val="none" w:sz="0" w:space="0" w:color="auto"/>
        <w:bottom w:val="none" w:sz="0" w:space="0" w:color="auto"/>
        <w:right w:val="none" w:sz="0" w:space="0" w:color="auto"/>
      </w:divBdr>
    </w:div>
    <w:div w:id="218588550">
      <w:bodyDiv w:val="1"/>
      <w:marLeft w:val="0"/>
      <w:marRight w:val="0"/>
      <w:marTop w:val="0"/>
      <w:marBottom w:val="0"/>
      <w:divBdr>
        <w:top w:val="none" w:sz="0" w:space="0" w:color="auto"/>
        <w:left w:val="none" w:sz="0" w:space="0" w:color="auto"/>
        <w:bottom w:val="none" w:sz="0" w:space="0" w:color="auto"/>
        <w:right w:val="none" w:sz="0" w:space="0" w:color="auto"/>
      </w:divBdr>
    </w:div>
    <w:div w:id="219368166">
      <w:bodyDiv w:val="1"/>
      <w:marLeft w:val="0"/>
      <w:marRight w:val="0"/>
      <w:marTop w:val="0"/>
      <w:marBottom w:val="0"/>
      <w:divBdr>
        <w:top w:val="none" w:sz="0" w:space="0" w:color="auto"/>
        <w:left w:val="none" w:sz="0" w:space="0" w:color="auto"/>
        <w:bottom w:val="none" w:sz="0" w:space="0" w:color="auto"/>
        <w:right w:val="none" w:sz="0" w:space="0" w:color="auto"/>
      </w:divBdr>
    </w:div>
    <w:div w:id="254898868">
      <w:bodyDiv w:val="1"/>
      <w:marLeft w:val="0"/>
      <w:marRight w:val="0"/>
      <w:marTop w:val="0"/>
      <w:marBottom w:val="0"/>
      <w:divBdr>
        <w:top w:val="none" w:sz="0" w:space="0" w:color="auto"/>
        <w:left w:val="none" w:sz="0" w:space="0" w:color="auto"/>
        <w:bottom w:val="none" w:sz="0" w:space="0" w:color="auto"/>
        <w:right w:val="none" w:sz="0" w:space="0" w:color="auto"/>
      </w:divBdr>
    </w:div>
    <w:div w:id="264076057">
      <w:bodyDiv w:val="1"/>
      <w:marLeft w:val="0"/>
      <w:marRight w:val="0"/>
      <w:marTop w:val="0"/>
      <w:marBottom w:val="0"/>
      <w:divBdr>
        <w:top w:val="none" w:sz="0" w:space="0" w:color="auto"/>
        <w:left w:val="none" w:sz="0" w:space="0" w:color="auto"/>
        <w:bottom w:val="none" w:sz="0" w:space="0" w:color="auto"/>
        <w:right w:val="none" w:sz="0" w:space="0" w:color="auto"/>
      </w:divBdr>
    </w:div>
    <w:div w:id="288823389">
      <w:bodyDiv w:val="1"/>
      <w:marLeft w:val="0"/>
      <w:marRight w:val="0"/>
      <w:marTop w:val="0"/>
      <w:marBottom w:val="0"/>
      <w:divBdr>
        <w:top w:val="none" w:sz="0" w:space="0" w:color="auto"/>
        <w:left w:val="none" w:sz="0" w:space="0" w:color="auto"/>
        <w:bottom w:val="none" w:sz="0" w:space="0" w:color="auto"/>
        <w:right w:val="none" w:sz="0" w:space="0" w:color="auto"/>
      </w:divBdr>
    </w:div>
    <w:div w:id="304894440">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26639768">
      <w:bodyDiv w:val="1"/>
      <w:marLeft w:val="0"/>
      <w:marRight w:val="0"/>
      <w:marTop w:val="0"/>
      <w:marBottom w:val="0"/>
      <w:divBdr>
        <w:top w:val="none" w:sz="0" w:space="0" w:color="auto"/>
        <w:left w:val="none" w:sz="0" w:space="0" w:color="auto"/>
        <w:bottom w:val="none" w:sz="0" w:space="0" w:color="auto"/>
        <w:right w:val="none" w:sz="0" w:space="0" w:color="auto"/>
      </w:divBdr>
    </w:div>
    <w:div w:id="329069204">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21952140">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39033268">
      <w:bodyDiv w:val="1"/>
      <w:marLeft w:val="0"/>
      <w:marRight w:val="0"/>
      <w:marTop w:val="0"/>
      <w:marBottom w:val="0"/>
      <w:divBdr>
        <w:top w:val="none" w:sz="0" w:space="0" w:color="auto"/>
        <w:left w:val="none" w:sz="0" w:space="0" w:color="auto"/>
        <w:bottom w:val="none" w:sz="0" w:space="0" w:color="auto"/>
        <w:right w:val="none" w:sz="0" w:space="0" w:color="auto"/>
      </w:divBdr>
    </w:div>
    <w:div w:id="445546157">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78618562">
      <w:bodyDiv w:val="1"/>
      <w:marLeft w:val="0"/>
      <w:marRight w:val="0"/>
      <w:marTop w:val="0"/>
      <w:marBottom w:val="0"/>
      <w:divBdr>
        <w:top w:val="none" w:sz="0" w:space="0" w:color="auto"/>
        <w:left w:val="none" w:sz="0" w:space="0" w:color="auto"/>
        <w:bottom w:val="none" w:sz="0" w:space="0" w:color="auto"/>
        <w:right w:val="none" w:sz="0" w:space="0" w:color="auto"/>
      </w:divBdr>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16819239">
      <w:bodyDiv w:val="1"/>
      <w:marLeft w:val="0"/>
      <w:marRight w:val="0"/>
      <w:marTop w:val="0"/>
      <w:marBottom w:val="0"/>
      <w:divBdr>
        <w:top w:val="none" w:sz="0" w:space="0" w:color="auto"/>
        <w:left w:val="none" w:sz="0" w:space="0" w:color="auto"/>
        <w:bottom w:val="none" w:sz="0" w:space="0" w:color="auto"/>
        <w:right w:val="none" w:sz="0" w:space="0" w:color="auto"/>
      </w:divBdr>
    </w:div>
    <w:div w:id="527644009">
      <w:bodyDiv w:val="1"/>
      <w:marLeft w:val="0"/>
      <w:marRight w:val="0"/>
      <w:marTop w:val="0"/>
      <w:marBottom w:val="0"/>
      <w:divBdr>
        <w:top w:val="none" w:sz="0" w:space="0" w:color="auto"/>
        <w:left w:val="none" w:sz="0" w:space="0" w:color="auto"/>
        <w:bottom w:val="none" w:sz="0" w:space="0" w:color="auto"/>
        <w:right w:val="none" w:sz="0" w:space="0" w:color="auto"/>
      </w:divBdr>
    </w:div>
    <w:div w:id="530462018">
      <w:bodyDiv w:val="1"/>
      <w:marLeft w:val="0"/>
      <w:marRight w:val="0"/>
      <w:marTop w:val="0"/>
      <w:marBottom w:val="0"/>
      <w:divBdr>
        <w:top w:val="none" w:sz="0" w:space="0" w:color="auto"/>
        <w:left w:val="none" w:sz="0" w:space="0" w:color="auto"/>
        <w:bottom w:val="none" w:sz="0" w:space="0" w:color="auto"/>
        <w:right w:val="none" w:sz="0" w:space="0" w:color="auto"/>
      </w:divBdr>
    </w:div>
    <w:div w:id="532039270">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39368187">
      <w:bodyDiv w:val="1"/>
      <w:marLeft w:val="0"/>
      <w:marRight w:val="0"/>
      <w:marTop w:val="0"/>
      <w:marBottom w:val="0"/>
      <w:divBdr>
        <w:top w:val="none" w:sz="0" w:space="0" w:color="auto"/>
        <w:left w:val="none" w:sz="0" w:space="0" w:color="auto"/>
        <w:bottom w:val="none" w:sz="0" w:space="0" w:color="auto"/>
        <w:right w:val="none" w:sz="0" w:space="0" w:color="auto"/>
      </w:divBdr>
    </w:div>
    <w:div w:id="543294136">
      <w:bodyDiv w:val="1"/>
      <w:marLeft w:val="0"/>
      <w:marRight w:val="0"/>
      <w:marTop w:val="0"/>
      <w:marBottom w:val="0"/>
      <w:divBdr>
        <w:top w:val="none" w:sz="0" w:space="0" w:color="auto"/>
        <w:left w:val="none" w:sz="0" w:space="0" w:color="auto"/>
        <w:bottom w:val="none" w:sz="0" w:space="0" w:color="auto"/>
        <w:right w:val="none" w:sz="0" w:space="0" w:color="auto"/>
      </w:divBdr>
    </w:div>
    <w:div w:id="567038126">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79545827">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696465312">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1979751">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09375921">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16778589">
      <w:bodyDiv w:val="1"/>
      <w:marLeft w:val="0"/>
      <w:marRight w:val="0"/>
      <w:marTop w:val="0"/>
      <w:marBottom w:val="0"/>
      <w:divBdr>
        <w:top w:val="none" w:sz="0" w:space="0" w:color="auto"/>
        <w:left w:val="none" w:sz="0" w:space="0" w:color="auto"/>
        <w:bottom w:val="none" w:sz="0" w:space="0" w:color="auto"/>
        <w:right w:val="none" w:sz="0" w:space="0" w:color="auto"/>
      </w:divBdr>
    </w:div>
    <w:div w:id="722288865">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277623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39403251">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54404913">
      <w:bodyDiv w:val="1"/>
      <w:marLeft w:val="0"/>
      <w:marRight w:val="0"/>
      <w:marTop w:val="0"/>
      <w:marBottom w:val="0"/>
      <w:divBdr>
        <w:top w:val="none" w:sz="0" w:space="0" w:color="auto"/>
        <w:left w:val="none" w:sz="0" w:space="0" w:color="auto"/>
        <w:bottom w:val="none" w:sz="0" w:space="0" w:color="auto"/>
        <w:right w:val="none" w:sz="0" w:space="0" w:color="auto"/>
      </w:divBdr>
    </w:div>
    <w:div w:id="75605159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0581616">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13858804">
      <w:bodyDiv w:val="1"/>
      <w:marLeft w:val="0"/>
      <w:marRight w:val="0"/>
      <w:marTop w:val="0"/>
      <w:marBottom w:val="0"/>
      <w:divBdr>
        <w:top w:val="none" w:sz="0" w:space="0" w:color="auto"/>
        <w:left w:val="none" w:sz="0" w:space="0" w:color="auto"/>
        <w:bottom w:val="none" w:sz="0" w:space="0" w:color="auto"/>
        <w:right w:val="none" w:sz="0" w:space="0" w:color="auto"/>
      </w:divBdr>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47851185">
      <w:bodyDiv w:val="1"/>
      <w:marLeft w:val="0"/>
      <w:marRight w:val="0"/>
      <w:marTop w:val="0"/>
      <w:marBottom w:val="0"/>
      <w:divBdr>
        <w:top w:val="none" w:sz="0" w:space="0" w:color="auto"/>
        <w:left w:val="none" w:sz="0" w:space="0" w:color="auto"/>
        <w:bottom w:val="none" w:sz="0" w:space="0" w:color="auto"/>
        <w:right w:val="none" w:sz="0" w:space="0" w:color="auto"/>
      </w:divBdr>
    </w:div>
    <w:div w:id="95174090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78533273">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994720786">
      <w:bodyDiv w:val="1"/>
      <w:marLeft w:val="0"/>
      <w:marRight w:val="0"/>
      <w:marTop w:val="0"/>
      <w:marBottom w:val="0"/>
      <w:divBdr>
        <w:top w:val="none" w:sz="0" w:space="0" w:color="auto"/>
        <w:left w:val="none" w:sz="0" w:space="0" w:color="auto"/>
        <w:bottom w:val="none" w:sz="0" w:space="0" w:color="auto"/>
        <w:right w:val="none" w:sz="0" w:space="0" w:color="auto"/>
      </w:divBdr>
    </w:div>
    <w:div w:id="995301858">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42941903">
      <w:bodyDiv w:val="1"/>
      <w:marLeft w:val="0"/>
      <w:marRight w:val="0"/>
      <w:marTop w:val="0"/>
      <w:marBottom w:val="0"/>
      <w:divBdr>
        <w:top w:val="none" w:sz="0" w:space="0" w:color="auto"/>
        <w:left w:val="none" w:sz="0" w:space="0" w:color="auto"/>
        <w:bottom w:val="none" w:sz="0" w:space="0" w:color="auto"/>
        <w:right w:val="none" w:sz="0" w:space="0" w:color="auto"/>
      </w:divBdr>
    </w:div>
    <w:div w:id="1059478040">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063604788">
      <w:bodyDiv w:val="1"/>
      <w:marLeft w:val="0"/>
      <w:marRight w:val="0"/>
      <w:marTop w:val="0"/>
      <w:marBottom w:val="0"/>
      <w:divBdr>
        <w:top w:val="none" w:sz="0" w:space="0" w:color="auto"/>
        <w:left w:val="none" w:sz="0" w:space="0" w:color="auto"/>
        <w:bottom w:val="none" w:sz="0" w:space="0" w:color="auto"/>
        <w:right w:val="none" w:sz="0" w:space="0" w:color="auto"/>
      </w:divBdr>
    </w:div>
    <w:div w:id="1111240570">
      <w:bodyDiv w:val="1"/>
      <w:marLeft w:val="0"/>
      <w:marRight w:val="0"/>
      <w:marTop w:val="0"/>
      <w:marBottom w:val="0"/>
      <w:divBdr>
        <w:top w:val="none" w:sz="0" w:space="0" w:color="auto"/>
        <w:left w:val="none" w:sz="0" w:space="0" w:color="auto"/>
        <w:bottom w:val="none" w:sz="0" w:space="0" w:color="auto"/>
        <w:right w:val="none" w:sz="0" w:space="0" w:color="auto"/>
      </w:divBdr>
    </w:div>
    <w:div w:id="1129274737">
      <w:bodyDiv w:val="1"/>
      <w:marLeft w:val="0"/>
      <w:marRight w:val="0"/>
      <w:marTop w:val="0"/>
      <w:marBottom w:val="0"/>
      <w:divBdr>
        <w:top w:val="none" w:sz="0" w:space="0" w:color="auto"/>
        <w:left w:val="none" w:sz="0" w:space="0" w:color="auto"/>
        <w:bottom w:val="none" w:sz="0" w:space="0" w:color="auto"/>
        <w:right w:val="none" w:sz="0" w:space="0" w:color="auto"/>
      </w:divBdr>
    </w:div>
    <w:div w:id="1129668968">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53645738">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692015">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06328853">
      <w:bodyDiv w:val="1"/>
      <w:marLeft w:val="0"/>
      <w:marRight w:val="0"/>
      <w:marTop w:val="0"/>
      <w:marBottom w:val="0"/>
      <w:divBdr>
        <w:top w:val="none" w:sz="0" w:space="0" w:color="auto"/>
        <w:left w:val="none" w:sz="0" w:space="0" w:color="auto"/>
        <w:bottom w:val="none" w:sz="0" w:space="0" w:color="auto"/>
        <w:right w:val="none" w:sz="0" w:space="0" w:color="auto"/>
      </w:divBdr>
    </w:div>
    <w:div w:id="1240290067">
      <w:bodyDiv w:val="1"/>
      <w:marLeft w:val="0"/>
      <w:marRight w:val="0"/>
      <w:marTop w:val="0"/>
      <w:marBottom w:val="0"/>
      <w:divBdr>
        <w:top w:val="none" w:sz="0" w:space="0" w:color="auto"/>
        <w:left w:val="none" w:sz="0" w:space="0" w:color="auto"/>
        <w:bottom w:val="none" w:sz="0" w:space="0" w:color="auto"/>
        <w:right w:val="none" w:sz="0" w:space="0" w:color="auto"/>
      </w:divBdr>
    </w:div>
    <w:div w:id="1242333093">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79801563">
      <w:bodyDiv w:val="1"/>
      <w:marLeft w:val="0"/>
      <w:marRight w:val="0"/>
      <w:marTop w:val="0"/>
      <w:marBottom w:val="0"/>
      <w:divBdr>
        <w:top w:val="none" w:sz="0" w:space="0" w:color="auto"/>
        <w:left w:val="none" w:sz="0" w:space="0" w:color="auto"/>
        <w:bottom w:val="none" w:sz="0" w:space="0" w:color="auto"/>
        <w:right w:val="none" w:sz="0" w:space="0" w:color="auto"/>
      </w:divBdr>
    </w:div>
    <w:div w:id="1280841489">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286697422">
      <w:bodyDiv w:val="1"/>
      <w:marLeft w:val="0"/>
      <w:marRight w:val="0"/>
      <w:marTop w:val="0"/>
      <w:marBottom w:val="0"/>
      <w:divBdr>
        <w:top w:val="none" w:sz="0" w:space="0" w:color="auto"/>
        <w:left w:val="none" w:sz="0" w:space="0" w:color="auto"/>
        <w:bottom w:val="none" w:sz="0" w:space="0" w:color="auto"/>
        <w:right w:val="none" w:sz="0" w:space="0" w:color="auto"/>
      </w:divBdr>
    </w:div>
    <w:div w:id="1321076213">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48286781">
      <w:bodyDiv w:val="1"/>
      <w:marLeft w:val="0"/>
      <w:marRight w:val="0"/>
      <w:marTop w:val="0"/>
      <w:marBottom w:val="0"/>
      <w:divBdr>
        <w:top w:val="none" w:sz="0" w:space="0" w:color="auto"/>
        <w:left w:val="none" w:sz="0" w:space="0" w:color="auto"/>
        <w:bottom w:val="none" w:sz="0" w:space="0" w:color="auto"/>
        <w:right w:val="none" w:sz="0" w:space="0" w:color="auto"/>
      </w:divBdr>
    </w:div>
    <w:div w:id="1357345607">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79624889">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19668461">
      <w:bodyDiv w:val="1"/>
      <w:marLeft w:val="0"/>
      <w:marRight w:val="0"/>
      <w:marTop w:val="0"/>
      <w:marBottom w:val="0"/>
      <w:divBdr>
        <w:top w:val="none" w:sz="0" w:space="0" w:color="auto"/>
        <w:left w:val="none" w:sz="0" w:space="0" w:color="auto"/>
        <w:bottom w:val="none" w:sz="0" w:space="0" w:color="auto"/>
        <w:right w:val="none" w:sz="0" w:space="0" w:color="auto"/>
      </w:divBdr>
    </w:div>
    <w:div w:id="1454908546">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494495280">
      <w:bodyDiv w:val="1"/>
      <w:marLeft w:val="0"/>
      <w:marRight w:val="0"/>
      <w:marTop w:val="0"/>
      <w:marBottom w:val="0"/>
      <w:divBdr>
        <w:top w:val="none" w:sz="0" w:space="0" w:color="auto"/>
        <w:left w:val="none" w:sz="0" w:space="0" w:color="auto"/>
        <w:bottom w:val="none" w:sz="0" w:space="0" w:color="auto"/>
        <w:right w:val="none" w:sz="0" w:space="0" w:color="auto"/>
      </w:divBdr>
    </w:div>
    <w:div w:id="1508668100">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3841">
          <w:marLeft w:val="1440"/>
          <w:marRight w:val="0"/>
          <w:marTop w:val="240"/>
          <w:marBottom w:val="0"/>
          <w:divBdr>
            <w:top w:val="none" w:sz="0" w:space="0" w:color="auto"/>
            <w:left w:val="none" w:sz="0" w:space="0" w:color="auto"/>
            <w:bottom w:val="none" w:sz="0" w:space="0" w:color="auto"/>
            <w:right w:val="none" w:sz="0" w:space="0" w:color="auto"/>
          </w:divBdr>
        </w:div>
        <w:div w:id="1819027634">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12395374">
      <w:bodyDiv w:val="1"/>
      <w:marLeft w:val="0"/>
      <w:marRight w:val="0"/>
      <w:marTop w:val="0"/>
      <w:marBottom w:val="0"/>
      <w:divBdr>
        <w:top w:val="none" w:sz="0" w:space="0" w:color="auto"/>
        <w:left w:val="none" w:sz="0" w:space="0" w:color="auto"/>
        <w:bottom w:val="none" w:sz="0" w:space="0" w:color="auto"/>
        <w:right w:val="none" w:sz="0" w:space="0" w:color="auto"/>
      </w:divBdr>
    </w:div>
    <w:div w:id="1614510459">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68827930">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4698777">
      <w:bodyDiv w:val="1"/>
      <w:marLeft w:val="0"/>
      <w:marRight w:val="0"/>
      <w:marTop w:val="0"/>
      <w:marBottom w:val="0"/>
      <w:divBdr>
        <w:top w:val="none" w:sz="0" w:space="0" w:color="auto"/>
        <w:left w:val="none" w:sz="0" w:space="0" w:color="auto"/>
        <w:bottom w:val="none" w:sz="0" w:space="0" w:color="auto"/>
        <w:right w:val="none" w:sz="0" w:space="0" w:color="auto"/>
      </w:divBdr>
    </w:div>
    <w:div w:id="1687903332">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21830772">
      <w:bodyDiv w:val="1"/>
      <w:marLeft w:val="0"/>
      <w:marRight w:val="0"/>
      <w:marTop w:val="0"/>
      <w:marBottom w:val="0"/>
      <w:divBdr>
        <w:top w:val="none" w:sz="0" w:space="0" w:color="auto"/>
        <w:left w:val="none" w:sz="0" w:space="0" w:color="auto"/>
        <w:bottom w:val="none" w:sz="0" w:space="0" w:color="auto"/>
        <w:right w:val="none" w:sz="0" w:space="0" w:color="auto"/>
      </w:divBdr>
    </w:div>
    <w:div w:id="1724139015">
      <w:bodyDiv w:val="1"/>
      <w:marLeft w:val="0"/>
      <w:marRight w:val="0"/>
      <w:marTop w:val="0"/>
      <w:marBottom w:val="0"/>
      <w:divBdr>
        <w:top w:val="none" w:sz="0" w:space="0" w:color="auto"/>
        <w:left w:val="none" w:sz="0" w:space="0" w:color="auto"/>
        <w:bottom w:val="none" w:sz="0" w:space="0" w:color="auto"/>
        <w:right w:val="none" w:sz="0" w:space="0" w:color="auto"/>
      </w:divBdr>
    </w:div>
    <w:div w:id="1746804861">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75587226">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76189920">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891502053">
      <w:bodyDiv w:val="1"/>
      <w:marLeft w:val="0"/>
      <w:marRight w:val="0"/>
      <w:marTop w:val="0"/>
      <w:marBottom w:val="0"/>
      <w:divBdr>
        <w:top w:val="none" w:sz="0" w:space="0" w:color="auto"/>
        <w:left w:val="none" w:sz="0" w:space="0" w:color="auto"/>
        <w:bottom w:val="none" w:sz="0" w:space="0" w:color="auto"/>
        <w:right w:val="none" w:sz="0" w:space="0" w:color="auto"/>
      </w:divBdr>
      <w:divsChild>
        <w:div w:id="390689074">
          <w:marLeft w:val="446"/>
          <w:marRight w:val="0"/>
          <w:marTop w:val="120"/>
          <w:marBottom w:val="0"/>
          <w:divBdr>
            <w:top w:val="none" w:sz="0" w:space="0" w:color="auto"/>
            <w:left w:val="none" w:sz="0" w:space="0" w:color="auto"/>
            <w:bottom w:val="none" w:sz="0" w:space="0" w:color="auto"/>
            <w:right w:val="none" w:sz="0" w:space="0" w:color="auto"/>
          </w:divBdr>
        </w:div>
        <w:div w:id="853805868">
          <w:marLeft w:val="446"/>
          <w:marRight w:val="0"/>
          <w:marTop w:val="120"/>
          <w:marBottom w:val="0"/>
          <w:divBdr>
            <w:top w:val="none" w:sz="0" w:space="0" w:color="auto"/>
            <w:left w:val="none" w:sz="0" w:space="0" w:color="auto"/>
            <w:bottom w:val="none" w:sz="0" w:space="0" w:color="auto"/>
            <w:right w:val="none" w:sz="0" w:space="0" w:color="auto"/>
          </w:divBdr>
        </w:div>
        <w:div w:id="954098217">
          <w:marLeft w:val="446"/>
          <w:marRight w:val="0"/>
          <w:marTop w:val="120"/>
          <w:marBottom w:val="0"/>
          <w:divBdr>
            <w:top w:val="none" w:sz="0" w:space="0" w:color="auto"/>
            <w:left w:val="none" w:sz="0" w:space="0" w:color="auto"/>
            <w:bottom w:val="none" w:sz="0" w:space="0" w:color="auto"/>
            <w:right w:val="none" w:sz="0" w:space="0" w:color="auto"/>
          </w:divBdr>
        </w:div>
      </w:divsChild>
    </w:div>
    <w:div w:id="1898205121">
      <w:bodyDiv w:val="1"/>
      <w:marLeft w:val="0"/>
      <w:marRight w:val="0"/>
      <w:marTop w:val="0"/>
      <w:marBottom w:val="0"/>
      <w:divBdr>
        <w:top w:val="none" w:sz="0" w:space="0" w:color="auto"/>
        <w:left w:val="none" w:sz="0" w:space="0" w:color="auto"/>
        <w:bottom w:val="none" w:sz="0" w:space="0" w:color="auto"/>
        <w:right w:val="none" w:sz="0" w:space="0" w:color="auto"/>
      </w:divBdr>
    </w:div>
    <w:div w:id="1898780812">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0890317">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36151079">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061975729">
      <w:bodyDiv w:val="1"/>
      <w:marLeft w:val="0"/>
      <w:marRight w:val="0"/>
      <w:marTop w:val="0"/>
      <w:marBottom w:val="0"/>
      <w:divBdr>
        <w:top w:val="none" w:sz="0" w:space="0" w:color="auto"/>
        <w:left w:val="none" w:sz="0" w:space="0" w:color="auto"/>
        <w:bottom w:val="none" w:sz="0" w:space="0" w:color="auto"/>
        <w:right w:val="none" w:sz="0" w:space="0" w:color="auto"/>
      </w:divBdr>
    </w:div>
    <w:div w:id="2075543010">
      <w:bodyDiv w:val="1"/>
      <w:marLeft w:val="0"/>
      <w:marRight w:val="0"/>
      <w:marTop w:val="0"/>
      <w:marBottom w:val="0"/>
      <w:divBdr>
        <w:top w:val="none" w:sz="0" w:space="0" w:color="auto"/>
        <w:left w:val="none" w:sz="0" w:space="0" w:color="auto"/>
        <w:bottom w:val="none" w:sz="0" w:space="0" w:color="auto"/>
        <w:right w:val="none" w:sz="0" w:space="0" w:color="auto"/>
      </w:divBdr>
    </w:div>
    <w:div w:id="2077898964">
      <w:bodyDiv w:val="1"/>
      <w:marLeft w:val="0"/>
      <w:marRight w:val="0"/>
      <w:marTop w:val="0"/>
      <w:marBottom w:val="0"/>
      <w:divBdr>
        <w:top w:val="none" w:sz="0" w:space="0" w:color="auto"/>
        <w:left w:val="none" w:sz="0" w:space="0" w:color="auto"/>
        <w:bottom w:val="none" w:sz="0" w:space="0" w:color="auto"/>
        <w:right w:val="none" w:sz="0" w:space="0" w:color="auto"/>
      </w:divBdr>
    </w:div>
    <w:div w:id="2088182384">
      <w:bodyDiv w:val="1"/>
      <w:marLeft w:val="0"/>
      <w:marRight w:val="0"/>
      <w:marTop w:val="0"/>
      <w:marBottom w:val="0"/>
      <w:divBdr>
        <w:top w:val="none" w:sz="0" w:space="0" w:color="auto"/>
        <w:left w:val="none" w:sz="0" w:space="0" w:color="auto"/>
        <w:bottom w:val="none" w:sz="0" w:space="0" w:color="auto"/>
        <w:right w:val="none" w:sz="0" w:space="0" w:color="auto"/>
      </w:divBdr>
    </w:div>
    <w:div w:id="2133011186">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365inegi.sharepoint.com/:x:/s/D.Calidad/EebX3mU0GFxHtIz4-ntRUOAB8ASetLMSt_4OPCFLvM7f1w?e=b60mxq"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inegi.org.mx/app/saladeprensa/calendario/" TargetMode="External"/><Relationship Id="rId1" Type="http://schemas.openxmlformats.org/officeDocument/2006/relationships/hyperlink" Target="https://intranet.inegi.org.mx/calidad/indicadores-de-calidad-y-evalu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75000"/>
              </a:schemeClr>
            </a:solidFill>
            <a:ln w="9525" cap="flat" cmpd="sng" algn="ctr">
              <a:solidFill>
                <a:schemeClr val="lt1">
                  <a:alpha val="50000"/>
                </a:schemeClr>
              </a:solidFill>
              <a:round/>
            </a:ln>
            <a:effectLst/>
          </c:spPr>
          <c:invertIfNegative val="0"/>
          <c:dPt>
            <c:idx val="6"/>
            <c:invertIfNegative val="0"/>
            <c:bubble3D val="0"/>
            <c:spPr>
              <a:solidFill>
                <a:schemeClr val="accent5">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0-A063-43BB-99B3-0C3E87A50531}"/>
              </c:ext>
            </c:extLst>
          </c:dPt>
          <c:dLbls>
            <c:dLbl>
              <c:idx val="6"/>
              <c:tx>
                <c:rich>
                  <a:bodyPr/>
                  <a:lstStyle/>
                  <a:p>
                    <a:r>
                      <a:rPr lang="en-US"/>
                      <a:t>93%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063-43BB-99B3-0C3E87A50531}"/>
                </c:ext>
              </c:extLst>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Garamond" panose="02020404030301010803" pitchFamily="18" charset="0"/>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Hoja2!$B$3:$B$9</c:f>
              <c:numCache>
                <c:formatCode>General</c:formatCode>
                <c:ptCount val="7"/>
                <c:pt idx="0">
                  <c:v>2017</c:v>
                </c:pt>
                <c:pt idx="1">
                  <c:v>2018</c:v>
                </c:pt>
                <c:pt idx="2">
                  <c:v>2019</c:v>
                </c:pt>
                <c:pt idx="3">
                  <c:v>2020</c:v>
                </c:pt>
                <c:pt idx="4">
                  <c:v>2021</c:v>
                </c:pt>
                <c:pt idx="5">
                  <c:v>2022</c:v>
                </c:pt>
                <c:pt idx="6">
                  <c:v>2023</c:v>
                </c:pt>
              </c:numCache>
            </c:numRef>
          </c:cat>
          <c:val>
            <c:numRef>
              <c:f>Hoja2!$C$3:$C$9</c:f>
              <c:numCache>
                <c:formatCode>0%</c:formatCode>
                <c:ptCount val="7"/>
                <c:pt idx="0">
                  <c:v>0.59</c:v>
                </c:pt>
                <c:pt idx="1">
                  <c:v>0.86</c:v>
                </c:pt>
                <c:pt idx="2">
                  <c:v>0.92</c:v>
                </c:pt>
                <c:pt idx="3">
                  <c:v>0.82</c:v>
                </c:pt>
                <c:pt idx="4">
                  <c:v>0.87</c:v>
                </c:pt>
                <c:pt idx="5">
                  <c:v>0.9</c:v>
                </c:pt>
                <c:pt idx="6">
                  <c:v>0.95</c:v>
                </c:pt>
              </c:numCache>
            </c:numRef>
          </c:val>
          <c:extLst>
            <c:ext xmlns:c16="http://schemas.microsoft.com/office/drawing/2014/chart" uri="{C3380CC4-5D6E-409C-BE32-E72D297353CC}">
              <c16:uniqueId val="{00000000-7EDF-421A-9F0C-B5A1A73FC2FD}"/>
            </c:ext>
          </c:extLst>
        </c:ser>
        <c:dLbls>
          <c:dLblPos val="inEnd"/>
          <c:showLegendKey val="0"/>
          <c:showVal val="1"/>
          <c:showCatName val="0"/>
          <c:showSerName val="0"/>
          <c:showPercent val="0"/>
          <c:showBubbleSize val="0"/>
        </c:dLbls>
        <c:gapWidth val="65"/>
        <c:axId val="854758415"/>
        <c:axId val="854759375"/>
      </c:barChart>
      <c:catAx>
        <c:axId val="854758415"/>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Garamond" panose="02020404030301010803" pitchFamily="18" charset="0"/>
                <a:ea typeface="+mn-ea"/>
                <a:cs typeface="+mn-cs"/>
              </a:defRPr>
            </a:pPr>
            <a:endParaRPr lang="es-MX"/>
          </a:p>
        </c:txPr>
        <c:crossAx val="854759375"/>
        <c:crosses val="autoZero"/>
        <c:auto val="1"/>
        <c:lblAlgn val="ctr"/>
        <c:lblOffset val="100"/>
        <c:noMultiLvlLbl val="0"/>
      </c:catAx>
      <c:valAx>
        <c:axId val="854759375"/>
        <c:scaling>
          <c:orientation val="minMax"/>
        </c:scaling>
        <c:delete val="1"/>
        <c:axPos val="l"/>
        <c:numFmt formatCode="0%" sourceLinked="1"/>
        <c:majorTickMark val="none"/>
        <c:minorTickMark val="none"/>
        <c:tickLblPos val="nextTo"/>
        <c:crossAx val="85475841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708333333333335"/>
          <c:y val="0.20833333333333334"/>
          <c:w val="0.47499999999999998"/>
          <c:h val="0.79166666666666663"/>
        </c:manualLayout>
      </c:layout>
      <c:doughnutChart>
        <c:varyColors val="1"/>
        <c:ser>
          <c:idx val="0"/>
          <c:order val="0"/>
          <c:dPt>
            <c:idx val="0"/>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A73-4DAD-A44E-AFB5527C2CBC}"/>
              </c:ext>
            </c:extLst>
          </c:dPt>
          <c:dPt>
            <c:idx val="1"/>
            <c:bubble3D val="0"/>
            <c:spPr>
              <a:solidFill>
                <a:schemeClr val="bg1">
                  <a:lumMod val="8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A73-4DAD-A44E-AFB5527C2CBC}"/>
              </c:ext>
            </c:extLst>
          </c:dPt>
          <c:dPt>
            <c:idx val="2"/>
            <c:bubble3D val="0"/>
            <c:spPr>
              <a:solidFill>
                <a:srgbClr val="4374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A73-4DAD-A44E-AFB5527C2CBC}"/>
              </c:ext>
            </c:extLst>
          </c:dPt>
          <c:dPt>
            <c:idx val="3"/>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A73-4DAD-A44E-AFB5527C2CBC}"/>
              </c:ext>
            </c:extLst>
          </c:dPt>
          <c:dLbls>
            <c:dLbl>
              <c:idx val="0"/>
              <c:layout>
                <c:manualLayout>
                  <c:x val="-0.15538720538720538"/>
                  <c:y val="-0.22543897194581136"/>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fld id="{62CFA3D8-A76E-4718-AF11-D836AD7071A2}" type="CATEGORYNAME">
                      <a:rPr lang="en-US"/>
                      <a:pPr>
                        <a:defRPr sz="900">
                          <a:solidFill>
                            <a:sysClr val="windowText" lastClr="000000"/>
                          </a:solidFill>
                          <a:latin typeface="Garamond" panose="02020404030301010803" pitchFamily="18" charset="0"/>
                        </a:defRPr>
                      </a:pPr>
                      <a:t>[NOMBRE DE CATEGORÍA]</a:t>
                    </a:fld>
                    <a:endParaRPr lang="en-US" baseline="0"/>
                  </a:p>
                  <a:p>
                    <a:pPr>
                      <a:defRPr sz="900">
                        <a:solidFill>
                          <a:sysClr val="windowText" lastClr="000000"/>
                        </a:solidFill>
                        <a:latin typeface="Garamond" panose="02020404030301010803" pitchFamily="18" charset="0"/>
                      </a:defRPr>
                    </a:pPr>
                    <a:r>
                      <a:rPr lang="en-US" baseline="0"/>
                      <a:t> </a:t>
                    </a:r>
                    <a:fld id="{87026C64-5A3C-470E-A786-C3A513819DEF}" type="VALUE">
                      <a:rPr lang="en-US" baseline="0"/>
                      <a:pPr>
                        <a:defRPr sz="900">
                          <a:solidFill>
                            <a:sysClr val="windowText" lastClr="000000"/>
                          </a:solidFill>
                          <a:latin typeface="Garamond" panose="02020404030301010803" pitchFamily="18" charset="0"/>
                        </a:defRPr>
                      </a:pPr>
                      <a:t>[VALOR]</a:t>
                    </a:fld>
                    <a:endParaRPr lang="en-US" baseline="0"/>
                  </a:p>
                </c:rich>
              </c:tx>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3197864471486519"/>
                      <c:h val="0.21516957372930506"/>
                    </c:manualLayout>
                  </c15:layout>
                  <c15:dlblFieldTable/>
                  <c15:showDataLabelsRange val="0"/>
                </c:ext>
                <c:ext xmlns:c16="http://schemas.microsoft.com/office/drawing/2014/chart" uri="{C3380CC4-5D6E-409C-BE32-E72D297353CC}">
                  <c16:uniqueId val="{00000001-4A73-4DAD-A44E-AFB5527C2CBC}"/>
                </c:ext>
              </c:extLst>
            </c:dLbl>
            <c:dLbl>
              <c:idx val="1"/>
              <c:layout>
                <c:manualLayout>
                  <c:x val="0.14739057239057238"/>
                  <c:y val="-0.21296296296296297"/>
                </c:manualLayout>
              </c:layout>
              <c:tx>
                <c:rich>
                  <a:bodyPr/>
                  <a:lstStyle/>
                  <a:p>
                    <a:fld id="{EA76507F-01D8-4CC7-ABE3-DB0F1C4F9E67}" type="CATEGORYNAME">
                      <a:rPr lang="en-US"/>
                      <a:pPr/>
                      <a:t>[NOMBRE DE CATEGORÍA]</a:t>
                    </a:fld>
                    <a:r>
                      <a:rPr lang="en-US" baseline="0"/>
                      <a:t> </a:t>
                    </a:r>
                    <a:fld id="{56FEABA0-5B87-4AF7-9259-725E3E965530}"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1830808080808076"/>
                      <c:h val="0.14956577677709876"/>
                    </c:manualLayout>
                  </c15:layout>
                  <c15:dlblFieldTable/>
                  <c15:showDataLabelsRange val="0"/>
                </c:ext>
                <c:ext xmlns:c16="http://schemas.microsoft.com/office/drawing/2014/chart" uri="{C3380CC4-5D6E-409C-BE32-E72D297353CC}">
                  <c16:uniqueId val="{00000003-4A73-4DAD-A44E-AFB5527C2CBC}"/>
                </c:ext>
              </c:extLst>
            </c:dLbl>
            <c:dLbl>
              <c:idx val="2"/>
              <c:layout>
                <c:manualLayout>
                  <c:x val="0.14200336700336699"/>
                  <c:y val="6.5916326235997483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fld id="{6CC69568-33C0-47E7-A555-6822971768DA}" type="CATEGORYNAME">
                      <a:rPr lang="en-US" sz="900"/>
                      <a:pPr>
                        <a:defRPr sz="900">
                          <a:solidFill>
                            <a:sysClr val="windowText" lastClr="000000"/>
                          </a:solidFill>
                          <a:latin typeface="Garamond" panose="02020404030301010803" pitchFamily="18" charset="0"/>
                        </a:defRPr>
                      </a:pPr>
                      <a:t>[NOMBRE DE CATEGORÍA]</a:t>
                    </a:fld>
                    <a:endParaRPr lang="en-US" sz="900"/>
                  </a:p>
                  <a:p>
                    <a:pPr>
                      <a:defRPr sz="900">
                        <a:solidFill>
                          <a:sysClr val="windowText" lastClr="000000"/>
                        </a:solidFill>
                        <a:latin typeface="Garamond" panose="02020404030301010803" pitchFamily="18" charset="0"/>
                      </a:defRPr>
                    </a:pPr>
                    <a:fld id="{5D8C379A-4C3C-4375-A285-EF4EC78BBC88}" type="VALUE">
                      <a:rPr lang="en-US" sz="900" baseline="0"/>
                      <a:pPr>
                        <a:defRPr sz="900">
                          <a:solidFill>
                            <a:sysClr val="windowText" lastClr="000000"/>
                          </a:solidFill>
                          <a:latin typeface="Garamond" panose="02020404030301010803" pitchFamily="18" charset="0"/>
                        </a:defRPr>
                      </a:pPr>
                      <a:t>[VALOR]</a:t>
                    </a:fld>
                    <a:endParaRPr lang="es-MX"/>
                  </a:p>
                </c:rich>
              </c:tx>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181861263554177"/>
                      <c:h val="0.2152779712442667"/>
                    </c:manualLayout>
                  </c15:layout>
                  <c15:dlblFieldTable/>
                  <c15:showDataLabelsRange val="0"/>
                </c:ext>
                <c:ext xmlns:c16="http://schemas.microsoft.com/office/drawing/2014/chart" uri="{C3380CC4-5D6E-409C-BE32-E72D297353CC}">
                  <c16:uniqueId val="{00000005-4A73-4DAD-A44E-AFB5527C2CBC}"/>
                </c:ext>
              </c:extLst>
            </c:dLbl>
            <c:dLbl>
              <c:idx val="3"/>
              <c:layout>
                <c:manualLayout>
                  <c:x val="-0.10361952861952863"/>
                  <c:y val="0.27096339557748267"/>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aramond" panose="02020404030301010803" pitchFamily="18" charset="0"/>
                        <a:ea typeface="+mn-ea"/>
                        <a:cs typeface="+mn-cs"/>
                      </a:defRPr>
                    </a:pPr>
                    <a:r>
                      <a:rPr lang="en-US"/>
                      <a:t>Personas usuarias</a:t>
                    </a:r>
                  </a:p>
                  <a:p>
                    <a:pPr>
                      <a:defRPr sz="900">
                        <a:solidFill>
                          <a:sysClr val="windowText" lastClr="000000"/>
                        </a:solidFill>
                        <a:latin typeface="Garamond" panose="02020404030301010803" pitchFamily="18" charset="0"/>
                      </a:defRPr>
                    </a:pPr>
                    <a:fld id="{79F1AEB1-7C83-4D4B-A9B5-354A9E32DF68}" type="VALUE">
                      <a:rPr lang="en-US" baseline="0"/>
                      <a:pPr>
                        <a:defRPr sz="900">
                          <a:solidFill>
                            <a:sysClr val="windowText" lastClr="000000"/>
                          </a:solidFill>
                          <a:latin typeface="Garamond" panose="02020404030301010803" pitchFamily="18" charset="0"/>
                        </a:defRPr>
                      </a:pPr>
                      <a:t>[VALOR]</a:t>
                    </a:fld>
                    <a:endParaRPr lang="es-MX"/>
                  </a:p>
                </c:rich>
              </c:tx>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A73-4DAD-A44E-AFB5527C2CBC}"/>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Hoja1!$B$2:$B$5</c:f>
              <c:strCache>
                <c:ptCount val="4"/>
                <c:pt idx="0">
                  <c:v>Organo colegiado del SNIEG</c:v>
                </c:pt>
                <c:pt idx="1">
                  <c:v>Evaluación</c:v>
                </c:pt>
                <c:pt idx="2">
                  <c:v>Personal del INEGI</c:v>
                </c:pt>
                <c:pt idx="3">
                  <c:v>Usuarios externos </c:v>
                </c:pt>
              </c:strCache>
            </c:strRef>
          </c:cat>
          <c:val>
            <c:numRef>
              <c:f>Hoja1!$C$2:$C$5</c:f>
              <c:numCache>
                <c:formatCode>0.0%</c:formatCode>
                <c:ptCount val="4"/>
                <c:pt idx="0">
                  <c:v>3.5999999999999997E-2</c:v>
                </c:pt>
                <c:pt idx="1">
                  <c:v>3.5999999999999997E-2</c:v>
                </c:pt>
                <c:pt idx="2">
                  <c:v>0.5</c:v>
                </c:pt>
                <c:pt idx="3">
                  <c:v>0.42799999999999999</c:v>
                </c:pt>
              </c:numCache>
            </c:numRef>
          </c:val>
          <c:extLst>
            <c:ext xmlns:c16="http://schemas.microsoft.com/office/drawing/2014/chart" uri="{C3380CC4-5D6E-409C-BE32-E72D297353CC}">
              <c16:uniqueId val="{00000008-4A73-4DAD-A44E-AFB5527C2CBC}"/>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8816196187827553"/>
          <c:y val="0.25367038993019753"/>
          <c:w val="0.42307834489269558"/>
          <c:h val="0.69258287733247059"/>
        </c:manualLayout>
      </c:layout>
      <c:doughnutChart>
        <c:varyColors val="1"/>
        <c:ser>
          <c:idx val="0"/>
          <c:order val="0"/>
          <c:dPt>
            <c:idx val="0"/>
            <c:bubble3D val="0"/>
            <c:spPr>
              <a:solidFill>
                <a:schemeClr val="bg1">
                  <a:lumMod val="9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CB0-4214-96D1-7469D10D38B8}"/>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B0-4214-96D1-7469D10D38B8}"/>
              </c:ext>
            </c:extLst>
          </c:dPt>
          <c:dPt>
            <c:idx val="2"/>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CB0-4214-96D1-7469D10D38B8}"/>
              </c:ext>
            </c:extLst>
          </c:dPt>
          <c:dPt>
            <c:idx val="3"/>
            <c:bubble3D val="0"/>
            <c:spPr>
              <a:solidFill>
                <a:schemeClr val="bg1">
                  <a:lumMod val="8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CB0-4214-96D1-7469D10D38B8}"/>
              </c:ext>
            </c:extLst>
          </c:dPt>
          <c:dPt>
            <c:idx val="4"/>
            <c:bubble3D val="0"/>
            <c:spPr>
              <a:solidFill>
                <a:srgbClr val="4374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CB0-4214-96D1-7469D10D38B8}"/>
              </c:ext>
            </c:extLst>
          </c:dPt>
          <c:dLbls>
            <c:dLbl>
              <c:idx val="0"/>
              <c:layout>
                <c:manualLayout>
                  <c:x val="-0.26519006318312949"/>
                  <c:y val="-0.2322432309265052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fld id="{5D7835E0-8743-437A-9C15-AD4C1D696082}" type="CATEGORYNAME">
                      <a:rPr lang="en-US" sz="900"/>
                      <a:pPr>
                        <a:defRPr sz="900">
                          <a:solidFill>
                            <a:sysClr val="windowText" lastClr="000000"/>
                          </a:solidFill>
                          <a:latin typeface="Garamond" panose="02020404030301010803" pitchFamily="18" charset="0"/>
                        </a:defRPr>
                      </a:pPr>
                      <a:t>[NOMBRE DE CATEGORÍA]</a:t>
                    </a:fld>
                    <a:endParaRPr lang="en-US" sz="900" baseline="0"/>
                  </a:p>
                  <a:p>
                    <a:pPr>
                      <a:defRPr sz="900">
                        <a:solidFill>
                          <a:sysClr val="windowText" lastClr="000000"/>
                        </a:solidFill>
                        <a:latin typeface="Garamond" panose="02020404030301010803" pitchFamily="18" charset="0"/>
                      </a:defRPr>
                    </a:pPr>
                    <a:fld id="{12D77ADA-7D2C-4721-83F9-A1D41B304F53}" type="VALUE">
                      <a:rPr lang="en-US" sz="900" baseline="0"/>
                      <a:pPr>
                        <a:defRPr sz="900">
                          <a:solidFill>
                            <a:sysClr val="windowText" lastClr="000000"/>
                          </a:solidFill>
                          <a:latin typeface="Garamond" panose="02020404030301010803" pitchFamily="18" charset="0"/>
                        </a:defRPr>
                      </a:pPr>
                      <a:t>[VALOR]</a:t>
                    </a:fld>
                    <a:endParaRPr lang="es-MX"/>
                  </a:p>
                </c:rich>
              </c:tx>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4816440740140418"/>
                      <c:h val="0.21783721758398292"/>
                    </c:manualLayout>
                  </c15:layout>
                  <c15:dlblFieldTable/>
                  <c15:showDataLabelsRange val="0"/>
                </c:ext>
                <c:ext xmlns:c16="http://schemas.microsoft.com/office/drawing/2014/chart" uri="{C3380CC4-5D6E-409C-BE32-E72D297353CC}">
                  <c16:uniqueId val="{00000001-7CB0-4214-96D1-7469D10D38B8}"/>
                </c:ext>
              </c:extLst>
            </c:dLbl>
            <c:dLbl>
              <c:idx val="1"/>
              <c:layout>
                <c:manualLayout>
                  <c:x val="0.33227310012348493"/>
                  <c:y val="-0.16634144640838303"/>
                </c:manualLayout>
              </c:layout>
              <c:tx>
                <c:rich>
                  <a:bodyPr/>
                  <a:lstStyle/>
                  <a:p>
                    <a:fld id="{B018C8C2-BF7D-4FC1-BBDC-36937E50A71B}" type="CATEGORYNAME">
                      <a:rPr lang="en-US"/>
                      <a:pPr/>
                      <a:t>[NOMBRE DE CATEGORÍA]</a:t>
                    </a:fld>
                    <a:endParaRPr lang="en-US" baseline="0"/>
                  </a:p>
                  <a:p>
                    <a:r>
                      <a:rPr lang="en-US" baseline="0"/>
                      <a:t> </a:t>
                    </a:r>
                    <a:fld id="{CC7ADC28-67D0-4DB0-BA8A-187171BCDACC}"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layout>
                    <c:manualLayout>
                      <c:w val="0.23668687239593358"/>
                      <c:h val="0.21110081828006794"/>
                    </c:manualLayout>
                  </c15:layout>
                  <c15:dlblFieldTable/>
                  <c15:showDataLabelsRange val="0"/>
                </c:ext>
                <c:ext xmlns:c16="http://schemas.microsoft.com/office/drawing/2014/chart" uri="{C3380CC4-5D6E-409C-BE32-E72D297353CC}">
                  <c16:uniqueId val="{00000003-7CB0-4214-96D1-7469D10D38B8}"/>
                </c:ext>
              </c:extLst>
            </c:dLbl>
            <c:dLbl>
              <c:idx val="2"/>
              <c:layout>
                <c:manualLayout>
                  <c:x val="0.27826294889144876"/>
                  <c:y val="-9.5285053315205242E-3"/>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fld id="{32EB4C0C-29B8-4DC9-93C5-6C6AAC1AE8CE}" type="CATEGORYNAME">
                      <a:rPr lang="en-US"/>
                      <a:pPr>
                        <a:defRPr sz="900">
                          <a:solidFill>
                            <a:sysClr val="windowText" lastClr="000000"/>
                          </a:solidFill>
                          <a:latin typeface="Garamond" panose="02020404030301010803" pitchFamily="18" charset="0"/>
                        </a:defRPr>
                      </a:pPr>
                      <a:t>[NOMBRE DE CATEGORÍA]</a:t>
                    </a:fld>
                    <a:endParaRPr lang="en-US" baseline="0"/>
                  </a:p>
                  <a:p>
                    <a:pPr>
                      <a:defRPr sz="900">
                        <a:solidFill>
                          <a:sysClr val="windowText" lastClr="000000"/>
                        </a:solidFill>
                        <a:latin typeface="Garamond" panose="02020404030301010803" pitchFamily="18" charset="0"/>
                      </a:defRPr>
                    </a:pPr>
                    <a:r>
                      <a:rPr lang="en-US" baseline="0"/>
                      <a:t> </a:t>
                    </a:r>
                    <a:fld id="{620186CB-B0B3-48FB-9F75-A801C709F39D}" type="VALUE">
                      <a:rPr lang="en-US" baseline="0"/>
                      <a:pPr>
                        <a:defRPr sz="900">
                          <a:solidFill>
                            <a:sysClr val="windowText" lastClr="000000"/>
                          </a:solidFill>
                          <a:latin typeface="Garamond" panose="02020404030301010803" pitchFamily="18" charset="0"/>
                        </a:defRPr>
                      </a:pPr>
                      <a:t>[VALOR]</a:t>
                    </a:fld>
                    <a:endParaRPr lang="en-US" baseline="0"/>
                  </a:p>
                </c:rich>
              </c:tx>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1138785820256856"/>
                      <c:h val="0.30676786843769766"/>
                    </c:manualLayout>
                  </c15:layout>
                  <c15:dlblFieldTable/>
                  <c15:showDataLabelsRange val="0"/>
                </c:ext>
                <c:ext xmlns:c16="http://schemas.microsoft.com/office/drawing/2014/chart" uri="{C3380CC4-5D6E-409C-BE32-E72D297353CC}">
                  <c16:uniqueId val="{00000005-7CB0-4214-96D1-7469D10D38B8}"/>
                </c:ext>
              </c:extLst>
            </c:dLbl>
            <c:dLbl>
              <c:idx val="3"/>
              <c:layout>
                <c:manualLayout>
                  <c:x val="0.24179728333130979"/>
                  <c:y val="0.2072265634727348"/>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fld id="{99FC6A57-E7D8-455C-96A8-F6ACA0673EB7}" type="CATEGORYNAME">
                      <a:rPr lang="en-US"/>
                      <a:pPr>
                        <a:defRPr sz="900">
                          <a:solidFill>
                            <a:sysClr val="windowText" lastClr="000000"/>
                          </a:solidFill>
                          <a:latin typeface="Garamond" panose="02020404030301010803" pitchFamily="18" charset="0"/>
                        </a:defRPr>
                      </a:pPr>
                      <a:t>[NOMBRE DE CATEGORÍA]</a:t>
                    </a:fld>
                    <a:endParaRPr lang="en-US"/>
                  </a:p>
                  <a:p>
                    <a:pPr>
                      <a:defRPr sz="900">
                        <a:solidFill>
                          <a:sysClr val="windowText" lastClr="000000"/>
                        </a:solidFill>
                        <a:latin typeface="Garamond" panose="02020404030301010803" pitchFamily="18" charset="0"/>
                      </a:defRPr>
                    </a:pPr>
                    <a:r>
                      <a:rPr lang="en-US" baseline="0"/>
                      <a:t> </a:t>
                    </a:r>
                    <a:fld id="{E6DD7C3B-E13D-446F-A9E2-1D533265FA4D}" type="VALUE">
                      <a:rPr lang="en-US" baseline="0"/>
                      <a:pPr>
                        <a:defRPr sz="900">
                          <a:solidFill>
                            <a:sysClr val="windowText" lastClr="000000"/>
                          </a:solidFill>
                          <a:latin typeface="Garamond" panose="02020404030301010803" pitchFamily="18" charset="0"/>
                        </a:defRPr>
                      </a:pPr>
                      <a:t>[VALOR]</a:t>
                    </a:fld>
                    <a:endParaRPr lang="en-US" baseline="0"/>
                  </a:p>
                </c:rich>
              </c:tx>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extLst>
                <c:ext xmlns:c15="http://schemas.microsoft.com/office/drawing/2012/chart" uri="{CE6537A1-D6FC-4f65-9D91-7224C49458BB}">
                  <c15:layout>
                    <c:manualLayout>
                      <c:w val="0.28055660022564871"/>
                      <c:h val="0.27593320284679784"/>
                    </c:manualLayout>
                  </c15:layout>
                  <c15:dlblFieldTable/>
                  <c15:showDataLabelsRange val="0"/>
                </c:ext>
                <c:ext xmlns:c16="http://schemas.microsoft.com/office/drawing/2014/chart" uri="{C3380CC4-5D6E-409C-BE32-E72D297353CC}">
                  <c16:uniqueId val="{00000007-7CB0-4214-96D1-7469D10D38B8}"/>
                </c:ext>
              </c:extLst>
            </c:dLbl>
            <c:dLbl>
              <c:idx val="4"/>
              <c:layout>
                <c:manualLayout>
                  <c:x val="-0.137139058257056"/>
                  <c:y val="2.732099189688575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B0-4214-96D1-7469D10D38B8}"/>
                </c:ext>
              </c:extLst>
            </c:dLbl>
            <c:spPr>
              <a:solidFill>
                <a:schemeClr val="bg1"/>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Garamond" panose="02020404030301010803" pitchFamily="18" charset="0"/>
                    <a:ea typeface="+mn-ea"/>
                    <a:cs typeface="+mn-cs"/>
                  </a:defRPr>
                </a:pPr>
                <a:endParaRPr lang="es-MX"/>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Hoja1!$K$2:$K$6</c:f>
              <c:strCache>
                <c:ptCount val="5"/>
                <c:pt idx="0">
                  <c:v>Diseño de los sistemas de producción y flujos de trabajo</c:v>
                </c:pt>
                <c:pt idx="1">
                  <c:v>Diseño de la captación</c:v>
                </c:pt>
                <c:pt idx="2">
                  <c:v>Diseño del esquema de difusión</c:v>
                </c:pt>
                <c:pt idx="3">
                  <c:v>Diseño del procesamiento y análisis</c:v>
                </c:pt>
                <c:pt idx="4">
                  <c:v>Diseño conceptual</c:v>
                </c:pt>
              </c:strCache>
            </c:strRef>
          </c:cat>
          <c:val>
            <c:numRef>
              <c:f>Hoja1!$L$2:$L$6</c:f>
              <c:numCache>
                <c:formatCode>0.0%</c:formatCode>
                <c:ptCount val="5"/>
                <c:pt idx="0">
                  <c:v>4.4999999999999998E-2</c:v>
                </c:pt>
                <c:pt idx="1">
                  <c:v>9.0999999999999998E-2</c:v>
                </c:pt>
                <c:pt idx="2">
                  <c:v>0.13700000000000001</c:v>
                </c:pt>
                <c:pt idx="3">
                  <c:v>4.4999999999999998E-2</c:v>
                </c:pt>
                <c:pt idx="4">
                  <c:v>0.68200000000000005</c:v>
                </c:pt>
              </c:numCache>
            </c:numRef>
          </c:val>
          <c:extLst>
            <c:ext xmlns:c16="http://schemas.microsoft.com/office/drawing/2014/chart" uri="{C3380CC4-5D6E-409C-BE32-E72D297353CC}">
              <c16:uniqueId val="{0000000A-7CB0-4214-96D1-7469D10D38B8}"/>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7F2935F780B9A4BB3E6220569CBFF89" ma:contentTypeVersion="12" ma:contentTypeDescription="Crear nuevo documento." ma:contentTypeScope="" ma:versionID="9c5c073c807862ffa4a90fc84d1642f6">
  <xsd:schema xmlns:xsd="http://www.w3.org/2001/XMLSchema" xmlns:xs="http://www.w3.org/2001/XMLSchema" xmlns:p="http://schemas.microsoft.com/office/2006/metadata/properties" xmlns:ns2="2eff3ff9-f966-46f1-8b74-8631dc1415b2" xmlns:ns3="7ad73303-ef9a-4d9f-8ddb-18b9a9af1634" targetNamespace="http://schemas.microsoft.com/office/2006/metadata/properties" ma:root="true" ma:fieldsID="a690edd5710c550d197807c5fbdc0843" ns2:_="" ns3:_="">
    <xsd:import namespace="2eff3ff9-f966-46f1-8b74-8631dc1415b2"/>
    <xsd:import namespace="7ad73303-ef9a-4d9f-8ddb-18b9a9af16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f3ff9-f966-46f1-8b74-8631dc1415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63da1ee4-79ed-44ce-b71c-8702bcfbfa5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d73303-ef9a-4d9f-8ddb-18b9a9af163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0d64aa8-7f6f-44dd-bc14-30b4f7656ec5}" ma:internalName="TaxCatchAll" ma:showField="CatchAllData" ma:web="7ad73303-ef9a-4d9f-8ddb-18b9a9af163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eff3ff9-f966-46f1-8b74-8631dc1415b2">
      <Terms xmlns="http://schemas.microsoft.com/office/infopath/2007/PartnerControls"/>
    </lcf76f155ced4ddcb4097134ff3c332f>
    <TaxCatchAll xmlns="7ad73303-ef9a-4d9f-8ddb-18b9a9af1634" xsi:nil="true"/>
    <SharedWithUsers xmlns="7ad73303-ef9a-4d9f-8ddb-18b9a9af1634">
      <UserInfo>
        <DisplayName>GUTIERREZ ROMERO MARCO ANTONIO</DisplayName>
        <AccountId>58</AccountId>
        <AccountType/>
      </UserInfo>
      <UserInfo>
        <DisplayName>CUELLAR RIO MANUEL</DisplayName>
        <AccountId>13</AccountId>
        <AccountType/>
      </UserInfo>
      <UserInfo>
        <DisplayName>LUJAN SALAZAR JOSE DE JESUS</DisplayName>
        <AccountId>23</AccountId>
        <AccountType/>
      </UserInfo>
      <UserInfo>
        <DisplayName>TORROJA MATEU NURIA</DisplayName>
        <AccountId>9</AccountId>
        <AccountType/>
      </UserInfo>
      <UserInfo>
        <DisplayName>TAPIA MENDOZA ALFONSO</DisplayName>
        <AccountId>17</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C6BCA1-9974-45ED-8C3A-702A8B594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f3ff9-f966-46f1-8b74-8631dc1415b2"/>
    <ds:schemaRef ds:uri="7ad73303-ef9a-4d9f-8ddb-18b9a9af1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2EBE8-136D-4C26-B45A-5AA57405AA9B}">
  <ds:schemaRefs>
    <ds:schemaRef ds:uri="http://schemas.microsoft.com/sharepoint/v3/contenttype/forms"/>
  </ds:schemaRefs>
</ds:datastoreItem>
</file>

<file path=customXml/itemProps4.xml><?xml version="1.0" encoding="utf-8"?>
<ds:datastoreItem xmlns:ds="http://schemas.openxmlformats.org/officeDocument/2006/customXml" ds:itemID="{F4D9AE05-1058-41F2-BC24-99BAB2B0A7DE}">
  <ds:schemaRefs>
    <ds:schemaRef ds:uri="http://schemas.openxmlformats.org/officeDocument/2006/bibliography"/>
  </ds:schemaRefs>
</ds:datastoreItem>
</file>

<file path=customXml/itemProps5.xml><?xml version="1.0" encoding="utf-8"?>
<ds:datastoreItem xmlns:ds="http://schemas.openxmlformats.org/officeDocument/2006/customXml" ds:itemID="{FD2711C9-4DC3-4A17-94DE-D4321FE1ED8E}">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 ds:uri="2eff3ff9-f966-46f1-8b74-8631dc1415b2"/>
    <ds:schemaRef ds:uri="7ad73303-ef9a-4d9f-8ddb-18b9a9af163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5748</Words>
  <Characters>31618</Characters>
  <Application>Microsoft Office Word</Application>
  <DocSecurity>0</DocSecurity>
  <Lines>263</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37292</CharactersWithSpaces>
  <SharedDoc>false</SharedDoc>
  <HLinks>
    <vt:vector size="78" baseType="variant">
      <vt:variant>
        <vt:i4>6225968</vt:i4>
      </vt:variant>
      <vt:variant>
        <vt:i4>75</vt:i4>
      </vt:variant>
      <vt:variant>
        <vt:i4>0</vt:i4>
      </vt:variant>
      <vt:variant>
        <vt:i4>5</vt:i4>
      </vt:variant>
      <vt:variant>
        <vt:lpwstr>https://365inegi.sharepoint.com/:x:/s/D.Calidad/EebX3mU0GFxHtIz4-ntRUOAB8ASetLMSt_4OPCFLvM7f1w?e=b60mxq</vt:lpwstr>
      </vt:variant>
      <vt:variant>
        <vt:lpwstr/>
      </vt:variant>
      <vt:variant>
        <vt:i4>1441847</vt:i4>
      </vt:variant>
      <vt:variant>
        <vt:i4>68</vt:i4>
      </vt:variant>
      <vt:variant>
        <vt:i4>0</vt:i4>
      </vt:variant>
      <vt:variant>
        <vt:i4>5</vt:i4>
      </vt:variant>
      <vt:variant>
        <vt:lpwstr/>
      </vt:variant>
      <vt:variant>
        <vt:lpwstr>_Toc163231640</vt:lpwstr>
      </vt:variant>
      <vt:variant>
        <vt:i4>1114167</vt:i4>
      </vt:variant>
      <vt:variant>
        <vt:i4>62</vt:i4>
      </vt:variant>
      <vt:variant>
        <vt:i4>0</vt:i4>
      </vt:variant>
      <vt:variant>
        <vt:i4>5</vt:i4>
      </vt:variant>
      <vt:variant>
        <vt:lpwstr/>
      </vt:variant>
      <vt:variant>
        <vt:lpwstr>_Toc163231639</vt:lpwstr>
      </vt:variant>
      <vt:variant>
        <vt:i4>1114167</vt:i4>
      </vt:variant>
      <vt:variant>
        <vt:i4>56</vt:i4>
      </vt:variant>
      <vt:variant>
        <vt:i4>0</vt:i4>
      </vt:variant>
      <vt:variant>
        <vt:i4>5</vt:i4>
      </vt:variant>
      <vt:variant>
        <vt:lpwstr/>
      </vt:variant>
      <vt:variant>
        <vt:lpwstr>_Toc163231638</vt:lpwstr>
      </vt:variant>
      <vt:variant>
        <vt:i4>1114167</vt:i4>
      </vt:variant>
      <vt:variant>
        <vt:i4>50</vt:i4>
      </vt:variant>
      <vt:variant>
        <vt:i4>0</vt:i4>
      </vt:variant>
      <vt:variant>
        <vt:i4>5</vt:i4>
      </vt:variant>
      <vt:variant>
        <vt:lpwstr/>
      </vt:variant>
      <vt:variant>
        <vt:lpwstr>_Toc163231637</vt:lpwstr>
      </vt:variant>
      <vt:variant>
        <vt:i4>1114167</vt:i4>
      </vt:variant>
      <vt:variant>
        <vt:i4>44</vt:i4>
      </vt:variant>
      <vt:variant>
        <vt:i4>0</vt:i4>
      </vt:variant>
      <vt:variant>
        <vt:i4>5</vt:i4>
      </vt:variant>
      <vt:variant>
        <vt:lpwstr/>
      </vt:variant>
      <vt:variant>
        <vt:lpwstr>_Toc163231636</vt:lpwstr>
      </vt:variant>
      <vt:variant>
        <vt:i4>1114167</vt:i4>
      </vt:variant>
      <vt:variant>
        <vt:i4>38</vt:i4>
      </vt:variant>
      <vt:variant>
        <vt:i4>0</vt:i4>
      </vt:variant>
      <vt:variant>
        <vt:i4>5</vt:i4>
      </vt:variant>
      <vt:variant>
        <vt:lpwstr/>
      </vt:variant>
      <vt:variant>
        <vt:lpwstr>_Toc163231635</vt:lpwstr>
      </vt:variant>
      <vt:variant>
        <vt:i4>1114167</vt:i4>
      </vt:variant>
      <vt:variant>
        <vt:i4>32</vt:i4>
      </vt:variant>
      <vt:variant>
        <vt:i4>0</vt:i4>
      </vt:variant>
      <vt:variant>
        <vt:i4>5</vt:i4>
      </vt:variant>
      <vt:variant>
        <vt:lpwstr/>
      </vt:variant>
      <vt:variant>
        <vt:lpwstr>_Toc163231634</vt:lpwstr>
      </vt:variant>
      <vt:variant>
        <vt:i4>1114167</vt:i4>
      </vt:variant>
      <vt:variant>
        <vt:i4>26</vt:i4>
      </vt:variant>
      <vt:variant>
        <vt:i4>0</vt:i4>
      </vt:variant>
      <vt:variant>
        <vt:i4>5</vt:i4>
      </vt:variant>
      <vt:variant>
        <vt:lpwstr/>
      </vt:variant>
      <vt:variant>
        <vt:lpwstr>_Toc163231633</vt:lpwstr>
      </vt:variant>
      <vt:variant>
        <vt:i4>1114167</vt:i4>
      </vt:variant>
      <vt:variant>
        <vt:i4>20</vt:i4>
      </vt:variant>
      <vt:variant>
        <vt:i4>0</vt:i4>
      </vt:variant>
      <vt:variant>
        <vt:i4>5</vt:i4>
      </vt:variant>
      <vt:variant>
        <vt:lpwstr/>
      </vt:variant>
      <vt:variant>
        <vt:lpwstr>_Toc163231632</vt:lpwstr>
      </vt:variant>
      <vt:variant>
        <vt:i4>1114167</vt:i4>
      </vt:variant>
      <vt:variant>
        <vt:i4>14</vt:i4>
      </vt:variant>
      <vt:variant>
        <vt:i4>0</vt:i4>
      </vt:variant>
      <vt:variant>
        <vt:i4>5</vt:i4>
      </vt:variant>
      <vt:variant>
        <vt:lpwstr/>
      </vt:variant>
      <vt:variant>
        <vt:lpwstr>_Toc163231631</vt:lpwstr>
      </vt:variant>
      <vt:variant>
        <vt:i4>1114167</vt:i4>
      </vt:variant>
      <vt:variant>
        <vt:i4>8</vt:i4>
      </vt:variant>
      <vt:variant>
        <vt:i4>0</vt:i4>
      </vt:variant>
      <vt:variant>
        <vt:i4>5</vt:i4>
      </vt:variant>
      <vt:variant>
        <vt:lpwstr/>
      </vt:variant>
      <vt:variant>
        <vt:lpwstr>_Toc163231630</vt:lpwstr>
      </vt:variant>
      <vt:variant>
        <vt:i4>1048631</vt:i4>
      </vt:variant>
      <vt:variant>
        <vt:i4>2</vt:i4>
      </vt:variant>
      <vt:variant>
        <vt:i4>0</vt:i4>
      </vt:variant>
      <vt:variant>
        <vt:i4>5</vt:i4>
      </vt:variant>
      <vt:variant>
        <vt:lpwstr/>
      </vt:variant>
      <vt:variant>
        <vt:lpwstr>_Toc163231629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TORROJA MATEU NURIA</cp:lastModifiedBy>
  <cp:revision>2</cp:revision>
  <cp:lastPrinted>2023-02-28T20:50:00Z</cp:lastPrinted>
  <dcterms:created xsi:type="dcterms:W3CDTF">2024-04-24T19:28:00Z</dcterms:created>
  <dcterms:modified xsi:type="dcterms:W3CDTF">2024-04-24T19:28:00Z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a664599db613c731f97a50443e8da1587babd54a9db072ad8e8fde3e6656ecf8</vt:lpwstr>
  </property>
  <property fmtid="{D5CDD505-2E9C-101B-9397-08002B2CF9AE}" pid="3" name="ContentTypeId">
    <vt:lpwstr>0x01010087F2935F780B9A4BB3E6220569CBFF89</vt:lpwstr>
  </property>
  <property fmtid="{D5CDD505-2E9C-101B-9397-08002B2CF9AE}" pid="4" name="MediaServiceImageTags">
    <vt:lpwstr/>
  </property>
</Properties>
</file>