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3C3D9" w14:textId="4BE0EEE1" w:rsidR="00840A53" w:rsidRPr="009A501D" w:rsidRDefault="00840A53" w:rsidP="007A4B1D">
      <w:pPr>
        <w:pStyle w:val="Ttulo3"/>
        <w:spacing w:before="240"/>
        <w:rPr>
          <w:rFonts w:ascii="Century Gothic" w:eastAsiaTheme="minorHAnsi" w:hAnsi="Century Gothic" w:cstheme="minorBidi"/>
          <w:bCs/>
          <w:color w:val="0079BF"/>
        </w:rPr>
      </w:pPr>
      <w:bookmarkStart w:id="0" w:name="_Toc131161804"/>
      <w:r w:rsidRPr="009A501D">
        <w:rPr>
          <w:rFonts w:ascii="Century Gothic" w:hAnsi="Century Gothic"/>
          <w:color w:val="0079BF"/>
        </w:rPr>
        <w:t xml:space="preserve">III.5.C. Indicadores de precisión de </w:t>
      </w:r>
      <w:r w:rsidR="00931152" w:rsidRPr="009A501D">
        <w:rPr>
          <w:rFonts w:ascii="Century Gothic" w:hAnsi="Century Gothic"/>
          <w:color w:val="0079BF"/>
        </w:rPr>
        <w:t>encuestas</w:t>
      </w:r>
      <w:bookmarkEnd w:id="0"/>
      <w:r w:rsidRPr="009A501D">
        <w:rPr>
          <w:rFonts w:ascii="Century Gothic" w:eastAsiaTheme="minorHAnsi" w:hAnsi="Century Gothic" w:cstheme="minorBidi"/>
          <w:bCs/>
          <w:color w:val="0079BF"/>
        </w:rPr>
        <w:t xml:space="preserve"> </w:t>
      </w:r>
    </w:p>
    <w:p w14:paraId="4C21B778" w14:textId="33DB8A56" w:rsidR="00077063" w:rsidRPr="009A501D" w:rsidRDefault="00931152"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En 2017 y 2018 el Comité</w:t>
      </w:r>
      <w:r w:rsidR="00DC2952" w:rsidRPr="009A501D">
        <w:rPr>
          <w:rStyle w:val="Refdenotaalpie"/>
          <w:rFonts w:ascii="Century Gothic" w:hAnsi="Century Gothic" w:cstheme="minorHAnsi"/>
          <w:sz w:val="19"/>
          <w:szCs w:val="19"/>
        </w:rPr>
        <w:footnoteReference w:id="2"/>
      </w:r>
      <w:r w:rsidRPr="009A501D">
        <w:rPr>
          <w:rFonts w:ascii="Century Gothic" w:hAnsi="Century Gothic" w:cstheme="minorHAnsi"/>
          <w:sz w:val="19"/>
          <w:szCs w:val="19"/>
        </w:rPr>
        <w:t xml:space="preserve"> aprobó nueve indicadores </w:t>
      </w:r>
      <w:r w:rsidR="00A24966" w:rsidRPr="009A501D">
        <w:rPr>
          <w:rFonts w:ascii="Century Gothic" w:hAnsi="Century Gothic" w:cstheme="minorHAnsi"/>
          <w:sz w:val="19"/>
          <w:szCs w:val="19"/>
        </w:rPr>
        <w:t>de uso externo e interno</w:t>
      </w:r>
      <w:r w:rsidR="00077063" w:rsidRPr="009A501D">
        <w:rPr>
          <w:rFonts w:ascii="Century Gothic" w:hAnsi="Century Gothic" w:cstheme="minorHAnsi"/>
          <w:sz w:val="19"/>
          <w:szCs w:val="19"/>
        </w:rPr>
        <w:t xml:space="preserve"> </w:t>
      </w:r>
      <w:r w:rsidRPr="009A501D">
        <w:rPr>
          <w:rFonts w:ascii="Century Gothic" w:hAnsi="Century Gothic" w:cstheme="minorHAnsi"/>
          <w:sz w:val="19"/>
          <w:szCs w:val="19"/>
        </w:rPr>
        <w:t>para medir la precisión en encuestas</w:t>
      </w:r>
      <w:r w:rsidR="009D67D3" w:rsidRPr="009A501D">
        <w:rPr>
          <w:rFonts w:ascii="Century Gothic" w:hAnsi="Century Gothic" w:cstheme="minorHAnsi"/>
          <w:sz w:val="19"/>
          <w:szCs w:val="19"/>
        </w:rPr>
        <w:t>, a</w:t>
      </w:r>
      <w:r w:rsidRPr="009A501D">
        <w:rPr>
          <w:rFonts w:ascii="Century Gothic" w:hAnsi="Century Gothic" w:cstheme="minorHAnsi"/>
          <w:sz w:val="19"/>
          <w:szCs w:val="19"/>
        </w:rPr>
        <w:t xml:space="preserve">mbos deben reportarse en los metadatos de los </w:t>
      </w:r>
      <w:r w:rsidR="00FB00F6" w:rsidRPr="009A501D">
        <w:rPr>
          <w:rFonts w:ascii="Century Gothic" w:hAnsi="Century Gothic" w:cstheme="minorHAnsi"/>
          <w:sz w:val="19"/>
          <w:szCs w:val="19"/>
        </w:rPr>
        <w:t>procesos de producción</w:t>
      </w:r>
      <w:r w:rsidRPr="009A501D">
        <w:rPr>
          <w:rFonts w:ascii="Century Gothic" w:hAnsi="Century Gothic" w:cstheme="minorHAnsi"/>
          <w:sz w:val="19"/>
          <w:szCs w:val="19"/>
        </w:rPr>
        <w:t xml:space="preserve"> de información, </w:t>
      </w:r>
      <w:r w:rsidR="000514C3" w:rsidRPr="009A501D">
        <w:rPr>
          <w:rFonts w:ascii="Century Gothic" w:hAnsi="Century Gothic" w:cstheme="minorHAnsi"/>
          <w:sz w:val="19"/>
          <w:szCs w:val="19"/>
        </w:rPr>
        <w:t>sin embargo,</w:t>
      </w:r>
      <w:r w:rsidR="00537594" w:rsidRPr="009A501D">
        <w:rPr>
          <w:rFonts w:ascii="Century Gothic" w:hAnsi="Century Gothic" w:cstheme="minorHAnsi"/>
          <w:sz w:val="19"/>
          <w:szCs w:val="19"/>
        </w:rPr>
        <w:t xml:space="preserve"> </w:t>
      </w:r>
      <w:r w:rsidR="000514C3" w:rsidRPr="009A501D">
        <w:rPr>
          <w:rFonts w:ascii="Century Gothic" w:hAnsi="Century Gothic" w:cstheme="minorHAnsi"/>
          <w:sz w:val="19"/>
          <w:szCs w:val="19"/>
        </w:rPr>
        <w:t xml:space="preserve">solo están disponibles </w:t>
      </w:r>
      <w:r w:rsidRPr="009A501D">
        <w:rPr>
          <w:rFonts w:ascii="Century Gothic" w:hAnsi="Century Gothic" w:cstheme="minorHAnsi"/>
          <w:sz w:val="19"/>
          <w:szCs w:val="19"/>
        </w:rPr>
        <w:t>los de uso externo</w:t>
      </w:r>
      <w:r w:rsidR="00B64BCC" w:rsidRPr="009A501D">
        <w:rPr>
          <w:rFonts w:ascii="Century Gothic" w:hAnsi="Century Gothic" w:cstheme="minorHAnsi"/>
          <w:sz w:val="19"/>
          <w:szCs w:val="19"/>
        </w:rPr>
        <w:t xml:space="preserve"> </w:t>
      </w:r>
      <w:r w:rsidRPr="009A501D">
        <w:rPr>
          <w:rFonts w:ascii="Century Gothic" w:hAnsi="Century Gothic" w:cstheme="minorHAnsi"/>
          <w:sz w:val="19"/>
          <w:szCs w:val="19"/>
        </w:rPr>
        <w:t xml:space="preserve">para </w:t>
      </w:r>
      <w:r w:rsidR="00077063" w:rsidRPr="009A501D">
        <w:rPr>
          <w:rFonts w:ascii="Century Gothic" w:hAnsi="Century Gothic" w:cstheme="minorHAnsi"/>
          <w:sz w:val="19"/>
          <w:szCs w:val="19"/>
        </w:rPr>
        <w:t xml:space="preserve">las </w:t>
      </w:r>
      <w:r w:rsidR="0087711F" w:rsidRPr="009A501D">
        <w:rPr>
          <w:rFonts w:ascii="Century Gothic" w:hAnsi="Century Gothic" w:cstheme="minorHAnsi"/>
          <w:sz w:val="19"/>
          <w:szCs w:val="19"/>
        </w:rPr>
        <w:t>personas</w:t>
      </w:r>
      <w:r w:rsidRPr="009A501D">
        <w:rPr>
          <w:rFonts w:ascii="Century Gothic" w:hAnsi="Century Gothic" w:cstheme="minorHAnsi"/>
          <w:sz w:val="19"/>
          <w:szCs w:val="19"/>
        </w:rPr>
        <w:t xml:space="preserve"> usuari</w:t>
      </w:r>
      <w:r w:rsidR="0087711F" w:rsidRPr="009A501D">
        <w:rPr>
          <w:rFonts w:ascii="Century Gothic" w:hAnsi="Century Gothic" w:cstheme="minorHAnsi"/>
          <w:sz w:val="19"/>
          <w:szCs w:val="19"/>
        </w:rPr>
        <w:t>a</w:t>
      </w:r>
      <w:r w:rsidRPr="009A501D">
        <w:rPr>
          <w:rFonts w:ascii="Century Gothic" w:hAnsi="Century Gothic" w:cstheme="minorHAnsi"/>
          <w:sz w:val="19"/>
          <w:szCs w:val="19"/>
        </w:rPr>
        <w:t>s en la página del INEGI</w:t>
      </w:r>
      <w:r w:rsidR="009D67D3" w:rsidRPr="009A501D">
        <w:rPr>
          <w:rFonts w:ascii="Century Gothic" w:hAnsi="Century Gothic" w:cstheme="minorHAnsi"/>
          <w:sz w:val="19"/>
          <w:szCs w:val="19"/>
        </w:rPr>
        <w:t>.</w:t>
      </w:r>
    </w:p>
    <w:p w14:paraId="67DC519D" w14:textId="0A2D1E7F" w:rsidR="00931152" w:rsidRPr="009A501D" w:rsidRDefault="00931152"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t>III.</w:t>
      </w:r>
      <w:r w:rsidR="009B3A86" w:rsidRPr="009A501D">
        <w:rPr>
          <w:rFonts w:ascii="Century Gothic" w:hAnsi="Century Gothic" w:cstheme="majorHAnsi"/>
          <w:b/>
          <w:sz w:val="19"/>
          <w:szCs w:val="19"/>
        </w:rPr>
        <w:t>5.C</w:t>
      </w:r>
      <w:r w:rsidRPr="009A501D">
        <w:rPr>
          <w:rFonts w:ascii="Century Gothic" w:hAnsi="Century Gothic" w:cstheme="majorHAnsi"/>
          <w:b/>
          <w:sz w:val="19"/>
          <w:szCs w:val="19"/>
        </w:rPr>
        <w:t xml:space="preserve">.1 Indicadores de precisión y confiabilidad estadística aprobados </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4825"/>
        <w:gridCol w:w="7082"/>
      </w:tblGrid>
      <w:tr w:rsidR="00931152" w:rsidRPr="009A501D" w14:paraId="67DC27CD" w14:textId="77777777" w:rsidTr="00460BCB">
        <w:trPr>
          <w:trHeight w:val="284"/>
          <w:tblHeader/>
          <w:jc w:val="center"/>
        </w:trPr>
        <w:tc>
          <w:tcPr>
            <w:tcW w:w="4825" w:type="dxa"/>
            <w:shd w:val="clear" w:color="auto" w:fill="1F3864" w:themeFill="accent5" w:themeFillShade="80"/>
          </w:tcPr>
          <w:p w14:paraId="0A33DE49" w14:textId="77777777" w:rsidR="00931152" w:rsidRPr="009A501D" w:rsidRDefault="00931152" w:rsidP="00664A1D">
            <w:pPr>
              <w:spacing w:after="0"/>
              <w:ind w:left="357"/>
              <w:jc w:val="center"/>
              <w:rPr>
                <w:rFonts w:ascii="Century Gothic" w:eastAsia="Calibri" w:hAnsi="Century Gothic"/>
                <w:color w:val="FFFFFF" w:themeColor="background1"/>
                <w:sz w:val="16"/>
                <w:szCs w:val="20"/>
              </w:rPr>
            </w:pPr>
            <w:r w:rsidRPr="009A501D">
              <w:rPr>
                <w:rFonts w:ascii="Century Gothic" w:eastAsia="Calibri" w:hAnsi="Century Gothic"/>
                <w:b/>
                <w:bCs/>
                <w:color w:val="FFFFFF" w:themeColor="background1"/>
                <w:sz w:val="16"/>
                <w:szCs w:val="20"/>
              </w:rPr>
              <w:t>Uso externo:</w:t>
            </w:r>
          </w:p>
        </w:tc>
        <w:tc>
          <w:tcPr>
            <w:tcW w:w="7082" w:type="dxa"/>
            <w:shd w:val="clear" w:color="auto" w:fill="1F3864" w:themeFill="accent5" w:themeFillShade="80"/>
          </w:tcPr>
          <w:p w14:paraId="02E35FBB" w14:textId="77777777" w:rsidR="00931152" w:rsidRPr="009A501D" w:rsidRDefault="00931152" w:rsidP="00664A1D">
            <w:pPr>
              <w:spacing w:after="0"/>
              <w:ind w:left="357"/>
              <w:jc w:val="center"/>
              <w:rPr>
                <w:rFonts w:ascii="Century Gothic" w:eastAsia="Calibri" w:hAnsi="Century Gothic"/>
                <w:color w:val="FFFFFF" w:themeColor="background1"/>
                <w:sz w:val="16"/>
                <w:szCs w:val="20"/>
              </w:rPr>
            </w:pPr>
            <w:r w:rsidRPr="009A501D">
              <w:rPr>
                <w:rFonts w:ascii="Century Gothic" w:eastAsia="Calibri" w:hAnsi="Century Gothic"/>
                <w:b/>
                <w:bCs/>
                <w:color w:val="FFFFFF" w:themeColor="background1"/>
                <w:sz w:val="16"/>
                <w:szCs w:val="20"/>
              </w:rPr>
              <w:t>Uso Interno:</w:t>
            </w:r>
          </w:p>
        </w:tc>
      </w:tr>
      <w:tr w:rsidR="00931152" w:rsidRPr="009A501D" w14:paraId="0BE6B427" w14:textId="77777777" w:rsidTr="00460BCB">
        <w:trPr>
          <w:trHeight w:val="284"/>
          <w:jc w:val="center"/>
        </w:trPr>
        <w:tc>
          <w:tcPr>
            <w:tcW w:w="4825" w:type="dxa"/>
            <w:shd w:val="clear" w:color="auto" w:fill="D9D9D9" w:themeFill="background1" w:themeFillShade="D9"/>
            <w:vAlign w:val="center"/>
          </w:tcPr>
          <w:p w14:paraId="03EFDD63" w14:textId="77777777" w:rsidR="00931152" w:rsidRPr="009A501D" w:rsidRDefault="00931152" w:rsidP="00664A1D">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Coeficiente de Variación (CV)</w:t>
            </w:r>
          </w:p>
          <w:p w14:paraId="240CD763" w14:textId="77777777" w:rsidR="00931152" w:rsidRPr="009A501D" w:rsidRDefault="00931152" w:rsidP="00664A1D">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Error Estándar (SE)</w:t>
            </w:r>
          </w:p>
          <w:p w14:paraId="1BAFC231" w14:textId="77777777" w:rsidR="00931152" w:rsidRPr="009A501D" w:rsidRDefault="00931152" w:rsidP="00664A1D">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 xml:space="preserve">Intervalos de confianza (IC) </w:t>
            </w:r>
          </w:p>
          <w:p w14:paraId="40B98161" w14:textId="77777777" w:rsidR="00931152" w:rsidRPr="009A501D" w:rsidRDefault="00931152" w:rsidP="00664A1D">
            <w:pPr>
              <w:numPr>
                <w:ilvl w:val="0"/>
                <w:numId w:val="2"/>
              </w:numPr>
              <w:tabs>
                <w:tab w:val="clear" w:pos="720"/>
                <w:tab w:val="num" w:pos="317"/>
              </w:tabs>
              <w:spacing w:after="0" w:line="240" w:lineRule="auto"/>
              <w:ind w:left="317" w:hanging="283"/>
              <w:rPr>
                <w:rFonts w:ascii="Century Gothic" w:eastAsia="Calibri" w:hAnsi="Century Gothic"/>
                <w:sz w:val="16"/>
                <w:szCs w:val="20"/>
              </w:rPr>
            </w:pPr>
            <w:r w:rsidRPr="009A501D">
              <w:rPr>
                <w:rFonts w:ascii="Century Gothic" w:eastAsia="Calibri" w:hAnsi="Century Gothic"/>
                <w:sz w:val="16"/>
                <w:szCs w:val="20"/>
              </w:rPr>
              <w:t>Cobertura de la variable de diseño (CVD)</w:t>
            </w:r>
            <w:r w:rsidRPr="009A501D">
              <w:rPr>
                <w:rFonts w:ascii="Century Gothic" w:eastAsia="Calibri" w:hAnsi="Century Gothic"/>
                <w:sz w:val="16"/>
                <w:szCs w:val="20"/>
              </w:rPr>
              <w:br/>
              <w:t>(sólo para encuestas con muestreo no probabilístico)</w:t>
            </w:r>
          </w:p>
        </w:tc>
        <w:tc>
          <w:tcPr>
            <w:tcW w:w="7082" w:type="dxa"/>
            <w:shd w:val="clear" w:color="auto" w:fill="D9D9D9" w:themeFill="background1" w:themeFillShade="D9"/>
          </w:tcPr>
          <w:p w14:paraId="27A54D31" w14:textId="77777777" w:rsidR="00931152" w:rsidRPr="009A501D" w:rsidRDefault="00931152" w:rsidP="00664A1D">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no respuesta antes de imputación a nivel unidad de observación (TNR_AI)</w:t>
            </w:r>
          </w:p>
          <w:p w14:paraId="0B8F1A4F" w14:textId="77777777" w:rsidR="00931152" w:rsidRPr="009A501D" w:rsidRDefault="00931152" w:rsidP="00664A1D">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cumplimiento de la muestra mínima antes de imputación (TCMM)</w:t>
            </w:r>
          </w:p>
          <w:p w14:paraId="0BF10372" w14:textId="77777777" w:rsidR="00931152" w:rsidRPr="009A501D" w:rsidRDefault="00931152" w:rsidP="00664A1D">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no respuesta después de imputación a nivel unidad de observación (TNR_DI)</w:t>
            </w:r>
          </w:p>
          <w:p w14:paraId="381DEF7A" w14:textId="77777777" w:rsidR="00931152" w:rsidRPr="009A501D" w:rsidRDefault="00931152" w:rsidP="00664A1D">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imputación a nivel unidad de observación (TI)</w:t>
            </w:r>
          </w:p>
          <w:p w14:paraId="6F78E499" w14:textId="77777777" w:rsidR="00931152" w:rsidRPr="009A501D" w:rsidRDefault="00931152" w:rsidP="00664A1D">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sobrecobertura a nivel unidad de observación (TSC)</w:t>
            </w:r>
          </w:p>
        </w:tc>
      </w:tr>
    </w:tbl>
    <w:p w14:paraId="01E256A4" w14:textId="431F2126" w:rsidR="007A4B1D" w:rsidRPr="009A501D" w:rsidRDefault="00931152" w:rsidP="00DC2952">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La estabilidad observada en la </w:t>
      </w:r>
      <w:r w:rsidRPr="009A501D">
        <w:rPr>
          <w:rFonts w:ascii="Century Gothic" w:hAnsi="Century Gothic" w:cstheme="minorHAnsi"/>
          <w:i/>
          <w:iCs/>
          <w:sz w:val="19"/>
          <w:szCs w:val="19"/>
        </w:rPr>
        <w:t>Cobertura de la Variable de Diseño</w:t>
      </w:r>
      <w:r w:rsidRPr="009A501D">
        <w:rPr>
          <w:rFonts w:ascii="Century Gothic" w:hAnsi="Century Gothic" w:cstheme="minorHAnsi"/>
          <w:sz w:val="19"/>
          <w:szCs w:val="19"/>
        </w:rPr>
        <w:t xml:space="preserve"> y los </w:t>
      </w:r>
      <w:r w:rsidRPr="009A501D">
        <w:rPr>
          <w:rFonts w:ascii="Century Gothic" w:hAnsi="Century Gothic" w:cstheme="minorHAnsi"/>
          <w:i/>
          <w:iCs/>
          <w:sz w:val="19"/>
          <w:szCs w:val="19"/>
        </w:rPr>
        <w:t>Coeficientes de Variación</w:t>
      </w:r>
      <w:r w:rsidRPr="009A501D">
        <w:rPr>
          <w:rFonts w:ascii="Century Gothic" w:hAnsi="Century Gothic" w:cstheme="minorHAnsi"/>
          <w:sz w:val="19"/>
          <w:szCs w:val="19"/>
        </w:rPr>
        <w:t xml:space="preserve"> de las encuestas muestra el esfuerzo realizado para que estos indicadores no cayeran, incluso en los años con restricciones operativas impuestas por la pandemia de COVID-19. El porcentaje de dominios de estudio de encuestas no probabilísticas que presentaron alta calidad estadística en </w:t>
      </w:r>
      <w:r w:rsidRPr="009A501D">
        <w:rPr>
          <w:rFonts w:ascii="Century Gothic" w:hAnsi="Century Gothic" w:cstheme="minorHAnsi"/>
          <w:i/>
          <w:iCs/>
          <w:sz w:val="19"/>
          <w:szCs w:val="19"/>
        </w:rPr>
        <w:t>Cobertura de la Variable de Diseño</w:t>
      </w:r>
      <w:r w:rsidRPr="009A501D">
        <w:rPr>
          <w:rFonts w:ascii="Century Gothic" w:hAnsi="Century Gothic" w:cstheme="minorHAnsi"/>
          <w:sz w:val="19"/>
          <w:szCs w:val="19"/>
        </w:rPr>
        <w:t xml:space="preserve"> se ha mantenido en 75% (ver cuadro III.</w:t>
      </w:r>
      <w:r w:rsidR="00DC47C3" w:rsidRPr="009A501D">
        <w:rPr>
          <w:rFonts w:ascii="Century Gothic" w:hAnsi="Century Gothic" w:cstheme="minorHAnsi"/>
          <w:sz w:val="19"/>
          <w:szCs w:val="19"/>
        </w:rPr>
        <w:t>5.C</w:t>
      </w:r>
      <w:r w:rsidRPr="009A501D">
        <w:rPr>
          <w:rFonts w:ascii="Century Gothic" w:hAnsi="Century Gothic" w:cstheme="minorHAnsi"/>
          <w:sz w:val="19"/>
          <w:szCs w:val="19"/>
        </w:rPr>
        <w:t xml:space="preserve">.2), aunque aún mantienen un alto porcentaje de dominios de estudio </w:t>
      </w:r>
      <w:r w:rsidR="003F2341" w:rsidRPr="009A501D">
        <w:rPr>
          <w:rFonts w:ascii="Century Gothic" w:hAnsi="Century Gothic" w:cstheme="minorHAnsi"/>
          <w:sz w:val="19"/>
          <w:szCs w:val="19"/>
        </w:rPr>
        <w:t>con</w:t>
      </w:r>
      <w:r w:rsidRPr="009A501D">
        <w:rPr>
          <w:rFonts w:ascii="Century Gothic" w:hAnsi="Century Gothic" w:cstheme="minorHAnsi"/>
          <w:sz w:val="19"/>
          <w:szCs w:val="19"/>
        </w:rPr>
        <w:t xml:space="preserve"> precisión moderada (ver </w:t>
      </w:r>
      <w:r w:rsidR="001B70E1" w:rsidRPr="009A501D">
        <w:rPr>
          <w:rFonts w:ascii="Century Gothic" w:hAnsi="Century Gothic" w:cstheme="minorHAnsi"/>
          <w:sz w:val="19"/>
          <w:szCs w:val="19"/>
        </w:rPr>
        <w:t>A</w:t>
      </w:r>
      <w:r w:rsidRPr="009A501D">
        <w:rPr>
          <w:rFonts w:ascii="Century Gothic" w:hAnsi="Century Gothic" w:cstheme="minorHAnsi"/>
          <w:sz w:val="19"/>
          <w:szCs w:val="19"/>
        </w:rPr>
        <w:t xml:space="preserve">nexo </w:t>
      </w:r>
      <w:r w:rsidR="00FC24B8" w:rsidRPr="009A501D">
        <w:rPr>
          <w:rFonts w:ascii="Century Gothic" w:hAnsi="Century Gothic" w:cstheme="minorHAnsi"/>
          <w:sz w:val="19"/>
          <w:szCs w:val="19"/>
        </w:rPr>
        <w:t>5</w:t>
      </w:r>
      <w:r w:rsidRPr="009A501D">
        <w:rPr>
          <w:rFonts w:ascii="Century Gothic" w:hAnsi="Century Gothic" w:cstheme="minorHAnsi"/>
          <w:sz w:val="19"/>
          <w:szCs w:val="19"/>
        </w:rPr>
        <w:t>).</w:t>
      </w:r>
    </w:p>
    <w:p w14:paraId="724395D7" w14:textId="1A8EDC70" w:rsidR="00931152" w:rsidRPr="009A501D" w:rsidRDefault="00931152" w:rsidP="00664A1D">
      <w:pPr>
        <w:spacing w:before="240"/>
        <w:jc w:val="center"/>
        <w:rPr>
          <w:rFonts w:ascii="Century Gothic" w:hAnsi="Century Gothic"/>
        </w:rPr>
      </w:pPr>
      <w:r w:rsidRPr="009A501D">
        <w:rPr>
          <w:rFonts w:ascii="Century Gothic" w:hAnsi="Century Gothic"/>
          <w:b/>
          <w:sz w:val="19"/>
          <w:szCs w:val="19"/>
        </w:rPr>
        <w:t>III.</w:t>
      </w:r>
      <w:r w:rsidR="009B3A86" w:rsidRPr="009A501D">
        <w:rPr>
          <w:rFonts w:ascii="Century Gothic" w:hAnsi="Century Gothic"/>
          <w:b/>
          <w:sz w:val="19"/>
          <w:szCs w:val="19"/>
        </w:rPr>
        <w:t>5.C</w:t>
      </w:r>
      <w:r w:rsidRPr="009A501D">
        <w:rPr>
          <w:rFonts w:ascii="Century Gothic" w:hAnsi="Century Gothic"/>
          <w:b/>
          <w:sz w:val="19"/>
          <w:szCs w:val="19"/>
        </w:rPr>
        <w:t>.2 Resultados Generales de la Cobertura de la Variable de Diseño y los Coeficientes de Variación</w:t>
      </w:r>
    </w:p>
    <w:tbl>
      <w:tblPr>
        <w:tblW w:w="105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8222"/>
        <w:gridCol w:w="595"/>
        <w:gridCol w:w="595"/>
        <w:gridCol w:w="595"/>
        <w:gridCol w:w="539"/>
      </w:tblGrid>
      <w:tr w:rsidR="00931152" w:rsidRPr="009A501D" w14:paraId="528DEE01" w14:textId="77777777" w:rsidTr="00460BCB">
        <w:trPr>
          <w:trHeight w:val="284"/>
          <w:tblHeader/>
          <w:jc w:val="center"/>
        </w:trPr>
        <w:tc>
          <w:tcPr>
            <w:tcW w:w="8222" w:type="dxa"/>
            <w:shd w:val="clear" w:color="000000" w:fill="002060"/>
            <w:vAlign w:val="center"/>
            <w:hideMark/>
          </w:tcPr>
          <w:p w14:paraId="25D83E7C" w14:textId="27503A11" w:rsidR="00931152" w:rsidRPr="009A501D" w:rsidRDefault="001B70E1"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Indicador</w:t>
            </w:r>
          </w:p>
        </w:tc>
        <w:tc>
          <w:tcPr>
            <w:tcW w:w="595" w:type="dxa"/>
            <w:shd w:val="clear" w:color="000000" w:fill="002060"/>
            <w:vAlign w:val="center"/>
          </w:tcPr>
          <w:p w14:paraId="73E1EBBE" w14:textId="77777777" w:rsidR="00931152" w:rsidRPr="009A501D" w:rsidRDefault="00931152"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2019</w:t>
            </w:r>
          </w:p>
        </w:tc>
        <w:tc>
          <w:tcPr>
            <w:tcW w:w="595" w:type="dxa"/>
            <w:shd w:val="clear" w:color="000000" w:fill="002060"/>
            <w:vAlign w:val="center"/>
          </w:tcPr>
          <w:p w14:paraId="3D1DC9EA" w14:textId="77777777" w:rsidR="00931152" w:rsidRPr="009A501D" w:rsidRDefault="00931152"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2020</w:t>
            </w:r>
          </w:p>
        </w:tc>
        <w:tc>
          <w:tcPr>
            <w:tcW w:w="595" w:type="dxa"/>
            <w:shd w:val="clear" w:color="000000" w:fill="002060"/>
            <w:vAlign w:val="center"/>
          </w:tcPr>
          <w:p w14:paraId="3AD7F372" w14:textId="77777777" w:rsidR="00931152" w:rsidRPr="009A501D" w:rsidRDefault="00931152"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2021</w:t>
            </w:r>
          </w:p>
        </w:tc>
        <w:tc>
          <w:tcPr>
            <w:tcW w:w="539" w:type="dxa"/>
            <w:shd w:val="clear" w:color="000000" w:fill="002060"/>
            <w:vAlign w:val="center"/>
          </w:tcPr>
          <w:p w14:paraId="09A3234D" w14:textId="77777777" w:rsidR="00931152" w:rsidRPr="009A501D" w:rsidRDefault="00931152" w:rsidP="00664A1D">
            <w:pPr>
              <w:spacing w:after="0"/>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2022</w:t>
            </w:r>
          </w:p>
        </w:tc>
      </w:tr>
      <w:tr w:rsidR="00931152" w:rsidRPr="009A501D" w14:paraId="5D13CA31" w14:textId="77777777" w:rsidTr="00664A1D">
        <w:trPr>
          <w:trHeight w:val="567"/>
          <w:jc w:val="center"/>
        </w:trPr>
        <w:tc>
          <w:tcPr>
            <w:tcW w:w="8222" w:type="dxa"/>
            <w:shd w:val="clear" w:color="auto" w:fill="auto"/>
            <w:noWrap/>
            <w:vAlign w:val="center"/>
          </w:tcPr>
          <w:p w14:paraId="29F07C93" w14:textId="09910B86" w:rsidR="00931152" w:rsidRPr="009A501D" w:rsidRDefault="00931152" w:rsidP="00664A1D">
            <w:pPr>
              <w:spacing w:after="0"/>
              <w:ind w:left="142"/>
              <w:jc w:val="both"/>
              <w:rPr>
                <w:rFonts w:ascii="Century Gothic" w:hAnsi="Century Gothic"/>
                <w:sz w:val="16"/>
                <w:szCs w:val="16"/>
              </w:rPr>
            </w:pPr>
            <w:r w:rsidRPr="009A501D">
              <w:rPr>
                <w:rFonts w:ascii="Century Gothic" w:hAnsi="Century Gothic"/>
                <w:sz w:val="16"/>
                <w:szCs w:val="16"/>
              </w:rPr>
              <w:t>Porcentaje de dominios de estudio de encuestas no probabilísticas que presentaron alta calidad estadística en Cobertura de la Variable de Diseño para los indicadores-objetivo publicados</w:t>
            </w:r>
          </w:p>
        </w:tc>
        <w:tc>
          <w:tcPr>
            <w:tcW w:w="595" w:type="dxa"/>
            <w:shd w:val="clear" w:color="auto" w:fill="auto"/>
            <w:vAlign w:val="center"/>
          </w:tcPr>
          <w:p w14:paraId="09E7CF93" w14:textId="77777777" w:rsidR="00931152" w:rsidRPr="009A501D" w:rsidRDefault="00931152" w:rsidP="00664A1D">
            <w:pPr>
              <w:spacing w:after="0"/>
              <w:contextualSpacing/>
              <w:jc w:val="center"/>
              <w:rPr>
                <w:rFonts w:ascii="Century Gothic" w:hAnsi="Century Gothic"/>
                <w:b/>
                <w:sz w:val="16"/>
                <w:szCs w:val="16"/>
              </w:rPr>
            </w:pPr>
            <w:r w:rsidRPr="009A501D">
              <w:rPr>
                <w:rFonts w:ascii="Century Gothic" w:hAnsi="Century Gothic" w:cs="Calibri"/>
                <w:sz w:val="16"/>
                <w:szCs w:val="16"/>
              </w:rPr>
              <w:t>75%</w:t>
            </w:r>
          </w:p>
        </w:tc>
        <w:tc>
          <w:tcPr>
            <w:tcW w:w="595" w:type="dxa"/>
            <w:shd w:val="clear" w:color="auto" w:fill="auto"/>
            <w:vAlign w:val="center"/>
          </w:tcPr>
          <w:p w14:paraId="1D12E869" w14:textId="77777777" w:rsidR="00931152" w:rsidRPr="009A501D" w:rsidRDefault="00931152" w:rsidP="00664A1D">
            <w:pPr>
              <w:spacing w:after="0"/>
              <w:contextualSpacing/>
              <w:jc w:val="center"/>
              <w:rPr>
                <w:rFonts w:ascii="Century Gothic" w:hAnsi="Century Gothic"/>
                <w:b/>
                <w:sz w:val="16"/>
                <w:szCs w:val="16"/>
              </w:rPr>
            </w:pPr>
            <w:r w:rsidRPr="009A501D">
              <w:rPr>
                <w:rFonts w:ascii="Century Gothic" w:hAnsi="Century Gothic" w:cs="Calibri"/>
                <w:sz w:val="16"/>
                <w:szCs w:val="16"/>
              </w:rPr>
              <w:t>75%</w:t>
            </w:r>
          </w:p>
        </w:tc>
        <w:tc>
          <w:tcPr>
            <w:tcW w:w="595" w:type="dxa"/>
            <w:shd w:val="clear" w:color="auto" w:fill="auto"/>
            <w:vAlign w:val="center"/>
          </w:tcPr>
          <w:p w14:paraId="796ACBD9" w14:textId="77777777" w:rsidR="00931152" w:rsidRPr="009A501D" w:rsidRDefault="00931152" w:rsidP="00664A1D">
            <w:pPr>
              <w:spacing w:after="0"/>
              <w:contextualSpacing/>
              <w:jc w:val="center"/>
              <w:rPr>
                <w:rFonts w:ascii="Century Gothic" w:hAnsi="Century Gothic"/>
                <w:b/>
                <w:sz w:val="16"/>
                <w:szCs w:val="16"/>
              </w:rPr>
            </w:pPr>
            <w:r w:rsidRPr="009A501D">
              <w:rPr>
                <w:rFonts w:ascii="Century Gothic" w:hAnsi="Century Gothic" w:cs="Calibri"/>
                <w:sz w:val="16"/>
                <w:szCs w:val="16"/>
              </w:rPr>
              <w:t>75%</w:t>
            </w:r>
          </w:p>
        </w:tc>
        <w:tc>
          <w:tcPr>
            <w:tcW w:w="539" w:type="dxa"/>
            <w:shd w:val="clear" w:color="auto" w:fill="auto"/>
            <w:vAlign w:val="center"/>
          </w:tcPr>
          <w:p w14:paraId="111B3D85" w14:textId="77777777" w:rsidR="00931152" w:rsidRPr="009A501D" w:rsidRDefault="00931152" w:rsidP="00664A1D">
            <w:pPr>
              <w:spacing w:after="0"/>
              <w:contextualSpacing/>
              <w:jc w:val="center"/>
              <w:rPr>
                <w:rFonts w:ascii="Century Gothic" w:hAnsi="Century Gothic" w:cs="Calibri"/>
                <w:sz w:val="16"/>
                <w:szCs w:val="16"/>
              </w:rPr>
            </w:pPr>
            <w:r w:rsidRPr="009A501D">
              <w:rPr>
                <w:rFonts w:ascii="Century Gothic" w:hAnsi="Century Gothic" w:cs="Calibri"/>
                <w:sz w:val="16"/>
                <w:szCs w:val="16"/>
              </w:rPr>
              <w:t>75%</w:t>
            </w:r>
          </w:p>
        </w:tc>
      </w:tr>
      <w:tr w:rsidR="00931152" w:rsidRPr="009A501D" w14:paraId="1E57C4D6" w14:textId="77777777" w:rsidTr="00664A1D">
        <w:trPr>
          <w:trHeight w:val="567"/>
          <w:jc w:val="center"/>
        </w:trPr>
        <w:tc>
          <w:tcPr>
            <w:tcW w:w="8222" w:type="dxa"/>
            <w:shd w:val="clear" w:color="auto" w:fill="D9D9D9" w:themeFill="background1" w:themeFillShade="D9"/>
            <w:noWrap/>
            <w:vAlign w:val="center"/>
          </w:tcPr>
          <w:p w14:paraId="5B40A074" w14:textId="77777777" w:rsidR="00931152" w:rsidRPr="009A501D" w:rsidRDefault="00931152" w:rsidP="00664A1D">
            <w:pPr>
              <w:spacing w:after="0"/>
              <w:ind w:left="142"/>
              <w:jc w:val="both"/>
              <w:rPr>
                <w:rFonts w:ascii="Century Gothic" w:hAnsi="Century Gothic" w:cs="Calibri"/>
                <w:sz w:val="16"/>
                <w:szCs w:val="16"/>
              </w:rPr>
            </w:pPr>
            <w:r w:rsidRPr="009A501D">
              <w:rPr>
                <w:rFonts w:ascii="Century Gothic" w:hAnsi="Century Gothic"/>
                <w:sz w:val="16"/>
                <w:szCs w:val="16"/>
              </w:rPr>
              <w:t xml:space="preserve">Porcentaje de dominios de estudio de encuestas probabilísticas que presentaron alta calidad estadística en los Coeficientes de Variación para los indicadores-objetivo publicados </w:t>
            </w:r>
          </w:p>
        </w:tc>
        <w:tc>
          <w:tcPr>
            <w:tcW w:w="595" w:type="dxa"/>
            <w:shd w:val="clear" w:color="auto" w:fill="D9D9D9" w:themeFill="background1" w:themeFillShade="D9"/>
            <w:vAlign w:val="center"/>
          </w:tcPr>
          <w:p w14:paraId="59585622" w14:textId="77777777" w:rsidR="00931152" w:rsidRPr="009A501D" w:rsidRDefault="00931152" w:rsidP="00664A1D">
            <w:pPr>
              <w:spacing w:after="0"/>
              <w:contextualSpacing/>
              <w:jc w:val="center"/>
              <w:rPr>
                <w:rFonts w:ascii="Century Gothic" w:hAnsi="Century Gothic" w:cs="Calibri"/>
                <w:sz w:val="16"/>
                <w:szCs w:val="16"/>
              </w:rPr>
            </w:pPr>
            <w:r w:rsidRPr="009A501D">
              <w:rPr>
                <w:rFonts w:ascii="Century Gothic" w:hAnsi="Century Gothic" w:cs="Calibri"/>
                <w:sz w:val="16"/>
                <w:szCs w:val="16"/>
              </w:rPr>
              <w:t>90%</w:t>
            </w:r>
          </w:p>
        </w:tc>
        <w:tc>
          <w:tcPr>
            <w:tcW w:w="595" w:type="dxa"/>
            <w:shd w:val="clear" w:color="auto" w:fill="D9D9D9" w:themeFill="background1" w:themeFillShade="D9"/>
            <w:vAlign w:val="center"/>
          </w:tcPr>
          <w:p w14:paraId="2CED47F2" w14:textId="77777777" w:rsidR="00931152" w:rsidRPr="009A501D" w:rsidRDefault="00931152" w:rsidP="00664A1D">
            <w:pPr>
              <w:spacing w:after="0"/>
              <w:contextualSpacing/>
              <w:jc w:val="center"/>
              <w:rPr>
                <w:rFonts w:ascii="Century Gothic" w:hAnsi="Century Gothic" w:cs="Calibri"/>
                <w:sz w:val="16"/>
                <w:szCs w:val="16"/>
              </w:rPr>
            </w:pPr>
            <w:r w:rsidRPr="009A501D">
              <w:rPr>
                <w:rFonts w:ascii="Century Gothic" w:hAnsi="Century Gothic" w:cs="Calibri"/>
                <w:sz w:val="16"/>
                <w:szCs w:val="16"/>
              </w:rPr>
              <w:t>92%</w:t>
            </w:r>
          </w:p>
        </w:tc>
        <w:tc>
          <w:tcPr>
            <w:tcW w:w="595" w:type="dxa"/>
            <w:shd w:val="clear" w:color="auto" w:fill="D9D9D9" w:themeFill="background1" w:themeFillShade="D9"/>
            <w:vAlign w:val="center"/>
          </w:tcPr>
          <w:p w14:paraId="25EDD07A" w14:textId="77777777" w:rsidR="00931152" w:rsidRPr="009A501D" w:rsidRDefault="00931152" w:rsidP="00664A1D">
            <w:pPr>
              <w:spacing w:after="0"/>
              <w:contextualSpacing/>
              <w:jc w:val="center"/>
              <w:rPr>
                <w:rFonts w:ascii="Century Gothic" w:hAnsi="Century Gothic" w:cs="Calibri"/>
                <w:sz w:val="16"/>
                <w:szCs w:val="16"/>
              </w:rPr>
            </w:pPr>
            <w:r w:rsidRPr="009A501D">
              <w:rPr>
                <w:rFonts w:ascii="Century Gothic" w:hAnsi="Century Gothic" w:cs="Calibri"/>
                <w:sz w:val="16"/>
                <w:szCs w:val="16"/>
              </w:rPr>
              <w:t>91%</w:t>
            </w:r>
          </w:p>
        </w:tc>
        <w:tc>
          <w:tcPr>
            <w:tcW w:w="539" w:type="dxa"/>
            <w:shd w:val="clear" w:color="auto" w:fill="D9D9D9" w:themeFill="background1" w:themeFillShade="D9"/>
            <w:vAlign w:val="center"/>
          </w:tcPr>
          <w:p w14:paraId="2F63AFB0" w14:textId="77777777" w:rsidR="00931152" w:rsidRPr="009A501D" w:rsidRDefault="00931152" w:rsidP="00664A1D">
            <w:pPr>
              <w:spacing w:after="0"/>
              <w:contextualSpacing/>
              <w:jc w:val="center"/>
              <w:rPr>
                <w:rFonts w:ascii="Century Gothic" w:hAnsi="Century Gothic" w:cs="Calibri"/>
                <w:sz w:val="16"/>
                <w:szCs w:val="16"/>
              </w:rPr>
            </w:pPr>
            <w:r w:rsidRPr="009A501D">
              <w:rPr>
                <w:rFonts w:ascii="Century Gothic" w:hAnsi="Century Gothic" w:cs="Calibri"/>
                <w:sz w:val="16"/>
                <w:szCs w:val="16"/>
              </w:rPr>
              <w:t>89%</w:t>
            </w:r>
          </w:p>
        </w:tc>
      </w:tr>
    </w:tbl>
    <w:p w14:paraId="7D4467B5" w14:textId="3ABC9AFE" w:rsidR="00931152" w:rsidRPr="009A501D" w:rsidRDefault="00931152"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En el caso de las encuestas probabilísticas, el porcentaje total de dominios de estudio que presentaron una alta calidad estadística para los indicadores-objetivo publicados se ha mantenido cercana al 90% a nivel institucional (ver cuadro III.</w:t>
      </w:r>
      <w:r w:rsidR="00DC47C3" w:rsidRPr="009A501D">
        <w:rPr>
          <w:rFonts w:ascii="Century Gothic" w:hAnsi="Century Gothic" w:cstheme="minorHAnsi"/>
          <w:sz w:val="19"/>
          <w:szCs w:val="19"/>
        </w:rPr>
        <w:t>5.C</w:t>
      </w:r>
      <w:r w:rsidRPr="009A501D">
        <w:rPr>
          <w:rFonts w:ascii="Century Gothic" w:hAnsi="Century Gothic" w:cstheme="minorHAnsi"/>
          <w:sz w:val="19"/>
          <w:szCs w:val="19"/>
        </w:rPr>
        <w:t>.2)</w:t>
      </w:r>
      <w:r w:rsidR="002C7B78" w:rsidRPr="009A501D">
        <w:rPr>
          <w:rFonts w:ascii="Century Gothic" w:hAnsi="Century Gothic" w:cstheme="minorHAnsi"/>
          <w:sz w:val="19"/>
          <w:szCs w:val="19"/>
        </w:rPr>
        <w:t xml:space="preserve">. La </w:t>
      </w:r>
      <w:r w:rsidR="00B05C11" w:rsidRPr="009A501D">
        <w:rPr>
          <w:rFonts w:ascii="Century Gothic" w:hAnsi="Century Gothic" w:cstheme="minorHAnsi"/>
          <w:sz w:val="19"/>
          <w:szCs w:val="19"/>
        </w:rPr>
        <w:t>disminución</w:t>
      </w:r>
      <w:r w:rsidR="001B70E1" w:rsidRPr="009A501D">
        <w:rPr>
          <w:rFonts w:ascii="Century Gothic" w:hAnsi="Century Gothic" w:cstheme="minorHAnsi"/>
          <w:sz w:val="19"/>
          <w:szCs w:val="19"/>
        </w:rPr>
        <w:t xml:space="preserve"> observada en 2022</w:t>
      </w:r>
      <w:r w:rsidR="00B05C11" w:rsidRPr="009A501D">
        <w:rPr>
          <w:rFonts w:ascii="Century Gothic" w:hAnsi="Century Gothic" w:cstheme="minorHAnsi"/>
          <w:sz w:val="19"/>
          <w:szCs w:val="19"/>
        </w:rPr>
        <w:t xml:space="preserve"> respecto a 2021</w:t>
      </w:r>
      <w:r w:rsidRPr="009A501D">
        <w:rPr>
          <w:rFonts w:ascii="Century Gothic" w:hAnsi="Century Gothic" w:cstheme="minorHAnsi"/>
          <w:sz w:val="19"/>
          <w:szCs w:val="19"/>
        </w:rPr>
        <w:t xml:space="preserve"> </w:t>
      </w:r>
      <w:r w:rsidR="002C7B78" w:rsidRPr="009A501D">
        <w:rPr>
          <w:rFonts w:ascii="Century Gothic" w:hAnsi="Century Gothic" w:cstheme="minorHAnsi"/>
          <w:sz w:val="19"/>
          <w:szCs w:val="19"/>
        </w:rPr>
        <w:t>(</w:t>
      </w:r>
      <w:r w:rsidRPr="009A501D">
        <w:rPr>
          <w:rFonts w:ascii="Century Gothic" w:hAnsi="Century Gothic" w:cstheme="minorHAnsi"/>
          <w:sz w:val="19"/>
          <w:szCs w:val="19"/>
        </w:rPr>
        <w:t>2%</w:t>
      </w:r>
      <w:r w:rsidR="002C7B78" w:rsidRPr="009A501D">
        <w:rPr>
          <w:rFonts w:ascii="Century Gothic" w:hAnsi="Century Gothic" w:cstheme="minorHAnsi"/>
          <w:sz w:val="19"/>
          <w:szCs w:val="19"/>
        </w:rPr>
        <w:t>)</w:t>
      </w:r>
      <w:r w:rsidRPr="009A501D">
        <w:rPr>
          <w:rFonts w:ascii="Century Gothic" w:hAnsi="Century Gothic" w:cstheme="minorHAnsi"/>
          <w:sz w:val="19"/>
          <w:szCs w:val="19"/>
        </w:rPr>
        <w:t xml:space="preserve"> puede explicarse</w:t>
      </w:r>
      <w:r w:rsidR="00B05C11" w:rsidRPr="009A501D">
        <w:rPr>
          <w:rFonts w:ascii="Century Gothic" w:hAnsi="Century Gothic" w:cstheme="minorHAnsi"/>
          <w:sz w:val="19"/>
          <w:szCs w:val="19"/>
        </w:rPr>
        <w:t xml:space="preserve">, en parte, </w:t>
      </w:r>
      <w:r w:rsidR="002C7B78" w:rsidRPr="009A501D">
        <w:rPr>
          <w:rFonts w:ascii="Century Gothic" w:hAnsi="Century Gothic" w:cstheme="minorHAnsi"/>
          <w:sz w:val="19"/>
          <w:szCs w:val="19"/>
        </w:rPr>
        <w:t>a</w:t>
      </w:r>
      <w:r w:rsidRPr="009A501D">
        <w:rPr>
          <w:rFonts w:ascii="Century Gothic" w:hAnsi="Century Gothic" w:cstheme="minorHAnsi"/>
          <w:sz w:val="19"/>
          <w:szCs w:val="19"/>
        </w:rPr>
        <w:t xml:space="preserve"> que por primera ocasión se tuvo un 100% de entrega de indicadores del total de los esperados para </w:t>
      </w:r>
      <w:r w:rsidR="00B05C11" w:rsidRPr="009A501D">
        <w:rPr>
          <w:rFonts w:ascii="Century Gothic" w:hAnsi="Century Gothic" w:cstheme="minorHAnsi"/>
          <w:sz w:val="19"/>
          <w:szCs w:val="19"/>
        </w:rPr>
        <w:t>e</w:t>
      </w:r>
      <w:r w:rsidRPr="009A501D">
        <w:rPr>
          <w:rFonts w:ascii="Century Gothic" w:hAnsi="Century Gothic" w:cstheme="minorHAnsi"/>
          <w:sz w:val="19"/>
          <w:szCs w:val="19"/>
        </w:rPr>
        <w:t>ncuestas, comparado contra un 91% en 2021</w:t>
      </w:r>
      <w:r w:rsidR="009C2139" w:rsidRPr="009A501D">
        <w:rPr>
          <w:rFonts w:ascii="Century Gothic" w:hAnsi="Century Gothic" w:cstheme="minorHAnsi"/>
          <w:sz w:val="19"/>
          <w:szCs w:val="19"/>
        </w:rPr>
        <w:t>.</w:t>
      </w:r>
      <w:r w:rsidRPr="009A501D">
        <w:rPr>
          <w:rFonts w:ascii="Century Gothic" w:hAnsi="Century Gothic" w:cstheme="minorHAnsi"/>
          <w:sz w:val="19"/>
          <w:szCs w:val="19"/>
        </w:rPr>
        <w:t xml:space="preserve"> </w:t>
      </w:r>
      <w:r w:rsidR="009C2139" w:rsidRPr="009A501D">
        <w:rPr>
          <w:rFonts w:ascii="Century Gothic" w:hAnsi="Century Gothic" w:cstheme="minorHAnsi"/>
          <w:sz w:val="19"/>
          <w:szCs w:val="19"/>
        </w:rPr>
        <w:t>Esto</w:t>
      </w:r>
      <w:r w:rsidRPr="009A501D">
        <w:rPr>
          <w:rFonts w:ascii="Century Gothic" w:hAnsi="Century Gothic" w:cstheme="minorHAnsi"/>
          <w:sz w:val="19"/>
          <w:szCs w:val="19"/>
        </w:rPr>
        <w:t xml:space="preserve"> se traduce en una mayor cantidad de información (dominios de estudio) procesada y, por tanto, un posible aumento en la variabilidad de la información disponible.</w:t>
      </w:r>
    </w:p>
    <w:p w14:paraId="1F2D6134" w14:textId="2C723E44" w:rsidR="00931152" w:rsidRPr="009A501D" w:rsidRDefault="00931152" w:rsidP="00664A1D">
      <w:pPr>
        <w:spacing w:before="240"/>
        <w:jc w:val="both"/>
        <w:rPr>
          <w:rFonts w:ascii="Century Gothic" w:hAnsi="Century Gothic" w:cstheme="majorHAnsi"/>
          <w:sz w:val="19"/>
          <w:szCs w:val="19"/>
        </w:rPr>
      </w:pPr>
      <w:r w:rsidRPr="009A501D">
        <w:rPr>
          <w:rFonts w:ascii="Century Gothic" w:hAnsi="Century Gothic" w:cstheme="minorHAnsi"/>
          <w:sz w:val="19"/>
          <w:szCs w:val="19"/>
        </w:rPr>
        <w:t>En la gráfica III.</w:t>
      </w:r>
      <w:r w:rsidR="001D5671" w:rsidRPr="009A501D">
        <w:rPr>
          <w:rFonts w:ascii="Century Gothic" w:hAnsi="Century Gothic" w:cstheme="minorHAnsi"/>
          <w:sz w:val="19"/>
          <w:szCs w:val="19"/>
        </w:rPr>
        <w:t>5.C</w:t>
      </w:r>
      <w:r w:rsidRPr="009A501D">
        <w:rPr>
          <w:rFonts w:ascii="Century Gothic" w:hAnsi="Century Gothic" w:cstheme="minorHAnsi"/>
          <w:sz w:val="19"/>
          <w:szCs w:val="19"/>
        </w:rPr>
        <w:t xml:space="preserve">.3 se presenta la distribución del </w:t>
      </w:r>
      <w:r w:rsidRPr="009A501D">
        <w:rPr>
          <w:rFonts w:ascii="Century Gothic" w:hAnsi="Century Gothic" w:cstheme="minorHAnsi"/>
          <w:i/>
          <w:iCs/>
          <w:sz w:val="19"/>
          <w:szCs w:val="19"/>
        </w:rPr>
        <w:t>coeficiente de variación</w:t>
      </w:r>
      <w:r w:rsidRPr="009A501D">
        <w:rPr>
          <w:rFonts w:ascii="Century Gothic" w:hAnsi="Century Gothic" w:cstheme="minorHAnsi"/>
          <w:sz w:val="19"/>
          <w:szCs w:val="19"/>
        </w:rPr>
        <w:t xml:space="preserve"> para las encuestas que </w:t>
      </w:r>
      <w:r w:rsidR="00B05C11" w:rsidRPr="009A501D">
        <w:rPr>
          <w:rFonts w:ascii="Century Gothic" w:hAnsi="Century Gothic" w:cstheme="minorHAnsi"/>
          <w:sz w:val="19"/>
          <w:szCs w:val="19"/>
        </w:rPr>
        <w:t>presentan</w:t>
      </w:r>
      <w:r w:rsidRPr="009A501D">
        <w:rPr>
          <w:rFonts w:ascii="Century Gothic" w:hAnsi="Century Gothic" w:cstheme="minorHAnsi"/>
          <w:sz w:val="19"/>
          <w:szCs w:val="19"/>
        </w:rPr>
        <w:t xml:space="preserve"> una pérdida de precisión o</w:t>
      </w:r>
      <w:r w:rsidR="00B05C11" w:rsidRPr="009A501D">
        <w:rPr>
          <w:rFonts w:ascii="Century Gothic" w:hAnsi="Century Gothic" w:cstheme="minorHAnsi"/>
          <w:sz w:val="19"/>
          <w:szCs w:val="19"/>
        </w:rPr>
        <w:t xml:space="preserve"> que </w:t>
      </w:r>
      <w:r w:rsidRPr="009A501D">
        <w:rPr>
          <w:rFonts w:ascii="Century Gothic" w:hAnsi="Century Gothic" w:cstheme="minorHAnsi"/>
          <w:sz w:val="19"/>
          <w:szCs w:val="19"/>
        </w:rPr>
        <w:t>reporta</w:t>
      </w:r>
      <w:r w:rsidR="00B05C11" w:rsidRPr="009A501D">
        <w:rPr>
          <w:rFonts w:ascii="Century Gothic" w:hAnsi="Century Gothic" w:cstheme="minorHAnsi"/>
          <w:sz w:val="19"/>
          <w:szCs w:val="19"/>
        </w:rPr>
        <w:t>n</w:t>
      </w:r>
      <w:r w:rsidRPr="009A501D">
        <w:rPr>
          <w:rFonts w:ascii="Century Gothic" w:hAnsi="Century Gothic" w:cstheme="minorHAnsi"/>
          <w:sz w:val="19"/>
          <w:szCs w:val="19"/>
        </w:rPr>
        <w:t xml:space="preserve"> precisión moderada y baja</w:t>
      </w:r>
      <w:r w:rsidR="004E1A3E" w:rsidRPr="009A501D">
        <w:rPr>
          <w:rFonts w:ascii="Century Gothic" w:hAnsi="Century Gothic" w:cstheme="minorHAnsi"/>
          <w:sz w:val="19"/>
          <w:szCs w:val="19"/>
        </w:rPr>
        <w:t xml:space="preserve"> para un porcentaje alto de dominios de estudio</w:t>
      </w:r>
      <w:r w:rsidR="004E0F69" w:rsidRPr="009A501D">
        <w:rPr>
          <w:rFonts w:ascii="Century Gothic" w:hAnsi="Century Gothic" w:cstheme="minorHAnsi"/>
          <w:sz w:val="19"/>
          <w:szCs w:val="19"/>
        </w:rPr>
        <w:t>. Tal es el caso de la</w:t>
      </w:r>
      <w:r w:rsidRPr="009A501D">
        <w:rPr>
          <w:rFonts w:ascii="Century Gothic" w:hAnsi="Century Gothic" w:cstheme="minorHAnsi"/>
          <w:sz w:val="19"/>
          <w:szCs w:val="19"/>
        </w:rPr>
        <w:t xml:space="preserve"> Encuesta Anual de Comercio (EAC), </w:t>
      </w:r>
      <w:r w:rsidR="00AE645A" w:rsidRPr="009A501D">
        <w:rPr>
          <w:rFonts w:ascii="Century Gothic" w:hAnsi="Century Gothic" w:cstheme="minorHAnsi"/>
          <w:sz w:val="19"/>
          <w:szCs w:val="19"/>
        </w:rPr>
        <w:t xml:space="preserve">la </w:t>
      </w:r>
      <w:r w:rsidRPr="009A501D">
        <w:rPr>
          <w:rFonts w:ascii="Century Gothic" w:hAnsi="Century Gothic" w:cstheme="minorHAnsi"/>
          <w:sz w:val="19"/>
          <w:szCs w:val="19"/>
        </w:rPr>
        <w:t xml:space="preserve">Encuesta de Comercio </w:t>
      </w:r>
      <w:r w:rsidRPr="009A501D">
        <w:rPr>
          <w:rFonts w:ascii="Century Gothic" w:hAnsi="Century Gothic" w:cstheme="minorHAnsi"/>
          <w:sz w:val="19"/>
          <w:szCs w:val="19"/>
        </w:rPr>
        <w:lastRenderedPageBreak/>
        <w:t>Internacional de Servicios (ECIS)</w:t>
      </w:r>
      <w:r w:rsidR="00460EC4">
        <w:rPr>
          <w:rStyle w:val="Refdenotaalpie"/>
          <w:rFonts w:ascii="Century Gothic" w:hAnsi="Century Gothic" w:cstheme="minorHAnsi"/>
          <w:sz w:val="19"/>
          <w:szCs w:val="19"/>
        </w:rPr>
        <w:footnoteReference w:id="3"/>
      </w:r>
      <w:r w:rsidRPr="009A501D">
        <w:rPr>
          <w:rFonts w:ascii="Century Gothic" w:hAnsi="Century Gothic" w:cstheme="minorHAnsi"/>
          <w:sz w:val="19"/>
          <w:szCs w:val="19"/>
        </w:rPr>
        <w:t xml:space="preserve">, </w:t>
      </w:r>
      <w:r w:rsidR="00AE645A" w:rsidRPr="009A501D">
        <w:rPr>
          <w:rFonts w:ascii="Century Gothic" w:hAnsi="Century Gothic" w:cstheme="minorHAnsi"/>
          <w:sz w:val="19"/>
          <w:szCs w:val="19"/>
        </w:rPr>
        <w:t xml:space="preserve">la </w:t>
      </w:r>
      <w:r w:rsidRPr="009A501D">
        <w:rPr>
          <w:rFonts w:ascii="Century Gothic" w:hAnsi="Century Gothic" w:cstheme="minorHAnsi"/>
          <w:sz w:val="19"/>
          <w:szCs w:val="19"/>
        </w:rPr>
        <w:t xml:space="preserve">Encuesta Mensual de la Industria Manufacturera (EMIM), </w:t>
      </w:r>
      <w:r w:rsidR="00AE645A" w:rsidRPr="009A501D">
        <w:rPr>
          <w:rFonts w:ascii="Century Gothic" w:hAnsi="Century Gothic" w:cstheme="minorHAnsi"/>
          <w:sz w:val="19"/>
          <w:szCs w:val="19"/>
        </w:rPr>
        <w:t xml:space="preserve">la </w:t>
      </w:r>
      <w:r w:rsidRPr="009A501D">
        <w:rPr>
          <w:rFonts w:ascii="Century Gothic" w:hAnsi="Century Gothic" w:cstheme="minorHAnsi"/>
          <w:sz w:val="19"/>
          <w:szCs w:val="19"/>
        </w:rPr>
        <w:t xml:space="preserve">Encuesta Mensual de Servicios (EMS) y </w:t>
      </w:r>
      <w:r w:rsidR="00AE645A" w:rsidRPr="009A501D">
        <w:rPr>
          <w:rFonts w:ascii="Century Gothic" w:hAnsi="Century Gothic" w:cstheme="minorHAnsi"/>
          <w:sz w:val="19"/>
          <w:szCs w:val="19"/>
        </w:rPr>
        <w:t>la</w:t>
      </w:r>
      <w:r w:rsidRPr="009A501D">
        <w:rPr>
          <w:rFonts w:ascii="Century Gothic" w:hAnsi="Century Gothic" w:cstheme="minorHAnsi"/>
          <w:sz w:val="19"/>
          <w:szCs w:val="19"/>
        </w:rPr>
        <w:t xml:space="preserve"> Encuesta Nacional de Empresas Constructoras (ENEC)</w:t>
      </w:r>
      <w:r w:rsidRPr="009A501D">
        <w:rPr>
          <w:rFonts w:ascii="Century Gothic" w:hAnsi="Century Gothic" w:cstheme="majorHAnsi"/>
          <w:sz w:val="19"/>
          <w:szCs w:val="19"/>
        </w:rPr>
        <w:t>.</w:t>
      </w:r>
    </w:p>
    <w:p w14:paraId="561FFB16" w14:textId="6648E00B" w:rsidR="00931152" w:rsidRPr="009A501D" w:rsidRDefault="00931152" w:rsidP="00664A1D">
      <w:pPr>
        <w:spacing w:before="240"/>
        <w:jc w:val="center"/>
        <w:rPr>
          <w:rFonts w:ascii="Century Gothic" w:hAnsi="Century Gothic" w:cstheme="majorHAnsi"/>
          <w:sz w:val="19"/>
          <w:szCs w:val="19"/>
        </w:rPr>
      </w:pPr>
      <w:r w:rsidRPr="009A501D">
        <w:rPr>
          <w:rFonts w:ascii="Century Gothic" w:hAnsi="Century Gothic" w:cstheme="majorHAnsi"/>
          <w:b/>
          <w:sz w:val="19"/>
          <w:szCs w:val="19"/>
        </w:rPr>
        <w:t>III.</w:t>
      </w:r>
      <w:r w:rsidR="009B3A86" w:rsidRPr="009A501D">
        <w:rPr>
          <w:rFonts w:ascii="Century Gothic" w:hAnsi="Century Gothic" w:cstheme="majorHAnsi"/>
          <w:b/>
          <w:sz w:val="19"/>
          <w:szCs w:val="19"/>
        </w:rPr>
        <w:t>5.C</w:t>
      </w:r>
      <w:r w:rsidRPr="009A501D">
        <w:rPr>
          <w:rFonts w:ascii="Century Gothic" w:hAnsi="Century Gothic" w:cstheme="majorHAnsi"/>
          <w:b/>
          <w:sz w:val="19"/>
          <w:szCs w:val="19"/>
        </w:rPr>
        <w:t>.3 Distribución del coeficiente de variación en encuestas que perdieron precisión en 2022 (escala 0-100)</w:t>
      </w:r>
    </w:p>
    <w:p w14:paraId="23F0694A" w14:textId="2ACB166D" w:rsidR="00931152" w:rsidRPr="009A501D" w:rsidRDefault="00931152" w:rsidP="00664A1D">
      <w:pPr>
        <w:spacing w:before="240"/>
        <w:jc w:val="center"/>
        <w:rPr>
          <w:rFonts w:ascii="Century Gothic" w:hAnsi="Century Gothic" w:cstheme="majorHAnsi"/>
          <w:sz w:val="19"/>
          <w:szCs w:val="19"/>
        </w:rPr>
      </w:pPr>
      <w:r w:rsidRPr="009A501D">
        <w:rPr>
          <w:rFonts w:ascii="Century Gothic" w:hAnsi="Century Gothic" w:cstheme="majorHAnsi"/>
          <w:noProof/>
          <w:sz w:val="19"/>
          <w:szCs w:val="19"/>
        </w:rPr>
        <w:drawing>
          <wp:inline distT="0" distB="0" distL="0" distR="0" wp14:anchorId="126A2771" wp14:editId="065244BF">
            <wp:extent cx="5810250" cy="2805902"/>
            <wp:effectExtent l="0" t="0" r="0" b="0"/>
            <wp:docPr id="7"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Descripción generada automáticamente"/>
                    <pic:cNvPicPr/>
                  </pic:nvPicPr>
                  <pic:blipFill rotWithShape="1">
                    <a:blip r:embed="rId9">
                      <a:extLst>
                        <a:ext uri="{28A0092B-C50C-407E-A947-70E740481C1C}">
                          <a14:useLocalDpi xmlns:a14="http://schemas.microsoft.com/office/drawing/2010/main" val="0"/>
                        </a:ext>
                      </a:extLst>
                    </a:blip>
                    <a:srcRect b="20383"/>
                    <a:stretch/>
                  </pic:blipFill>
                  <pic:spPr bwMode="auto">
                    <a:xfrm>
                      <a:off x="0" y="0"/>
                      <a:ext cx="5811061" cy="2806294"/>
                    </a:xfrm>
                    <a:prstGeom prst="rect">
                      <a:avLst/>
                    </a:prstGeom>
                    <a:ln>
                      <a:noFill/>
                    </a:ln>
                    <a:extLst>
                      <a:ext uri="{53640926-AAD7-44D8-BBD7-CCE9431645EC}">
                        <a14:shadowObscured xmlns:a14="http://schemas.microsoft.com/office/drawing/2010/main"/>
                      </a:ext>
                    </a:extLst>
                  </pic:spPr>
                </pic:pic>
              </a:graphicData>
            </a:graphic>
          </wp:inline>
        </w:drawing>
      </w:r>
    </w:p>
    <w:p w14:paraId="5903FDBE" w14:textId="2C732CC4" w:rsidR="00931152" w:rsidRPr="009A501D" w:rsidRDefault="003576FB" w:rsidP="007A4B1D">
      <w:pPr>
        <w:ind w:left="1418" w:right="737"/>
        <w:rPr>
          <w:rFonts w:ascii="Century Gothic" w:hAnsi="Century Gothic" w:cstheme="majorHAnsi"/>
          <w:sz w:val="14"/>
          <w:szCs w:val="14"/>
        </w:rPr>
      </w:pPr>
      <w:r w:rsidRPr="009A501D">
        <w:rPr>
          <w:rFonts w:ascii="Century Gothic" w:hAnsi="Century Gothic" w:cstheme="majorHAnsi"/>
          <w:sz w:val="14"/>
          <w:szCs w:val="14"/>
        </w:rPr>
        <w:t xml:space="preserve">Nota: los datos corresponden a los informes de calidad </w:t>
      </w:r>
      <w:r w:rsidR="00B50AC4" w:rsidRPr="009A501D">
        <w:rPr>
          <w:rFonts w:ascii="Century Gothic" w:hAnsi="Century Gothic" w:cstheme="majorHAnsi"/>
          <w:sz w:val="14"/>
          <w:szCs w:val="14"/>
        </w:rPr>
        <w:t>respectivos</w:t>
      </w:r>
      <w:r w:rsidR="005964DE" w:rsidRPr="009A501D">
        <w:rPr>
          <w:rFonts w:ascii="Century Gothic" w:hAnsi="Century Gothic" w:cstheme="majorHAnsi"/>
          <w:sz w:val="14"/>
          <w:szCs w:val="14"/>
        </w:rPr>
        <w:t xml:space="preserve"> (</w:t>
      </w:r>
      <w:r w:rsidR="00B50AC4" w:rsidRPr="009A501D">
        <w:rPr>
          <w:rFonts w:ascii="Century Gothic" w:hAnsi="Century Gothic" w:cstheme="majorHAnsi"/>
          <w:sz w:val="14"/>
          <w:szCs w:val="14"/>
        </w:rPr>
        <w:t xml:space="preserve">no consideran </w:t>
      </w:r>
      <w:r w:rsidR="008B1319" w:rsidRPr="009A501D">
        <w:rPr>
          <w:rFonts w:ascii="Century Gothic" w:hAnsi="Century Gothic" w:cstheme="majorHAnsi"/>
          <w:sz w:val="14"/>
          <w:szCs w:val="14"/>
        </w:rPr>
        <w:t>reemplazos</w:t>
      </w:r>
      <w:r w:rsidR="00FE065B" w:rsidRPr="009A501D">
        <w:rPr>
          <w:rFonts w:ascii="Century Gothic" w:hAnsi="Century Gothic" w:cstheme="majorHAnsi"/>
          <w:sz w:val="14"/>
          <w:szCs w:val="14"/>
        </w:rPr>
        <w:t xml:space="preserve"> posteriores</w:t>
      </w:r>
      <w:r w:rsidR="008B1319" w:rsidRPr="009A501D">
        <w:rPr>
          <w:rFonts w:ascii="Century Gothic" w:hAnsi="Century Gothic" w:cstheme="majorHAnsi"/>
          <w:sz w:val="14"/>
          <w:szCs w:val="14"/>
        </w:rPr>
        <w:t xml:space="preserve"> </w:t>
      </w:r>
      <w:r w:rsidR="00827091" w:rsidRPr="009A501D">
        <w:rPr>
          <w:rFonts w:ascii="Century Gothic" w:hAnsi="Century Gothic" w:cstheme="majorHAnsi"/>
          <w:sz w:val="14"/>
          <w:szCs w:val="14"/>
        </w:rPr>
        <w:t xml:space="preserve">en </w:t>
      </w:r>
      <w:r w:rsidR="003F793F" w:rsidRPr="009A501D">
        <w:rPr>
          <w:rFonts w:ascii="Century Gothic" w:hAnsi="Century Gothic" w:cstheme="majorHAnsi"/>
          <w:sz w:val="14"/>
          <w:szCs w:val="14"/>
        </w:rPr>
        <w:t>la información e indicadores de precisión</w:t>
      </w:r>
      <w:r w:rsidR="005964DE" w:rsidRPr="009A501D">
        <w:rPr>
          <w:rFonts w:ascii="Century Gothic" w:hAnsi="Century Gothic" w:cstheme="majorHAnsi"/>
          <w:sz w:val="14"/>
          <w:szCs w:val="14"/>
        </w:rPr>
        <w:t>)</w:t>
      </w:r>
      <w:r w:rsidR="00FE065B" w:rsidRPr="009A501D">
        <w:rPr>
          <w:rFonts w:ascii="Century Gothic" w:hAnsi="Century Gothic" w:cstheme="majorHAnsi"/>
          <w:sz w:val="14"/>
          <w:szCs w:val="14"/>
        </w:rPr>
        <w:t>.</w:t>
      </w:r>
    </w:p>
    <w:p w14:paraId="0CD34CC0" w14:textId="3E1EF8D6" w:rsidR="00F327DA" w:rsidRPr="009A501D" w:rsidRDefault="00F327DA" w:rsidP="00F327DA">
      <w:pPr>
        <w:jc w:val="both"/>
        <w:rPr>
          <w:rFonts w:ascii="Century Gothic" w:hAnsi="Century Gothic" w:cstheme="minorHAnsi"/>
          <w:sz w:val="19"/>
          <w:szCs w:val="19"/>
        </w:rPr>
      </w:pPr>
      <w:r w:rsidRPr="009A501D">
        <w:rPr>
          <w:rFonts w:ascii="Century Gothic" w:hAnsi="Century Gothic" w:cstheme="minorHAnsi"/>
          <w:sz w:val="19"/>
          <w:szCs w:val="19"/>
        </w:rPr>
        <w:t xml:space="preserve">En la gráfica III.5.C.4 se presenta la distribución del coeficiente de variación para las encuestas que </w:t>
      </w:r>
      <w:r w:rsidR="00C10FF2">
        <w:rPr>
          <w:rFonts w:ascii="Century Gothic" w:hAnsi="Century Gothic" w:cstheme="minorHAnsi"/>
          <w:sz w:val="19"/>
          <w:szCs w:val="19"/>
        </w:rPr>
        <w:t>reportaron</w:t>
      </w:r>
      <w:r w:rsidRPr="009A501D">
        <w:rPr>
          <w:rFonts w:ascii="Century Gothic" w:hAnsi="Century Gothic" w:cstheme="minorHAnsi"/>
          <w:sz w:val="19"/>
          <w:szCs w:val="19"/>
        </w:rPr>
        <w:t xml:space="preserve"> una mejora de precisión o que mantuvieron su nivel de precisión alta. Tal es el caso de la Encuesta Nacional de Ocupación y Empleo Nueva Edición (ENOE-NE), Encuesta Nacional de Seguridad Pública Urbana (EN</w:t>
      </w:r>
      <w:r w:rsidR="00C10FF2">
        <w:rPr>
          <w:rFonts w:ascii="Century Gothic" w:hAnsi="Century Gothic" w:cstheme="minorHAnsi"/>
          <w:sz w:val="19"/>
          <w:szCs w:val="19"/>
        </w:rPr>
        <w:t>S</w:t>
      </w:r>
      <w:r w:rsidRPr="009A501D">
        <w:rPr>
          <w:rFonts w:ascii="Century Gothic" w:hAnsi="Century Gothic" w:cstheme="minorHAnsi"/>
          <w:sz w:val="19"/>
          <w:szCs w:val="19"/>
        </w:rPr>
        <w:t>U), Módulo sobre Eventos Culturales Seleccionados (MODECULT) y la Encuesta Mensual sobre Empresas Comerciales (EMEC).</w:t>
      </w:r>
    </w:p>
    <w:p w14:paraId="65345060" w14:textId="3C8F60A7" w:rsidR="00F327DA" w:rsidRDefault="00F327DA" w:rsidP="00F327DA">
      <w:pPr>
        <w:jc w:val="both"/>
        <w:rPr>
          <w:rFonts w:ascii="Century Gothic" w:hAnsi="Century Gothic" w:cstheme="majorHAnsi"/>
          <w:b/>
          <w:sz w:val="19"/>
          <w:szCs w:val="19"/>
        </w:rPr>
      </w:pPr>
    </w:p>
    <w:p w14:paraId="637BAAED" w14:textId="034953BF" w:rsidR="00742F1F" w:rsidRDefault="00742F1F" w:rsidP="00F327DA">
      <w:pPr>
        <w:jc w:val="both"/>
        <w:rPr>
          <w:rFonts w:ascii="Century Gothic" w:hAnsi="Century Gothic" w:cstheme="majorHAnsi"/>
          <w:b/>
          <w:sz w:val="19"/>
          <w:szCs w:val="19"/>
        </w:rPr>
      </w:pPr>
    </w:p>
    <w:p w14:paraId="2F1E7C90" w14:textId="3F9D604E" w:rsidR="00742F1F" w:rsidRDefault="00742F1F" w:rsidP="00F327DA">
      <w:pPr>
        <w:jc w:val="both"/>
        <w:rPr>
          <w:rFonts w:ascii="Century Gothic" w:hAnsi="Century Gothic" w:cstheme="majorHAnsi"/>
          <w:b/>
          <w:sz w:val="19"/>
          <w:szCs w:val="19"/>
        </w:rPr>
      </w:pPr>
    </w:p>
    <w:p w14:paraId="13845F77" w14:textId="77777777" w:rsidR="00742F1F" w:rsidRPr="009A501D" w:rsidRDefault="00742F1F" w:rsidP="00F327DA">
      <w:pPr>
        <w:jc w:val="both"/>
        <w:rPr>
          <w:rFonts w:ascii="Century Gothic" w:hAnsi="Century Gothic" w:cstheme="majorHAnsi"/>
          <w:b/>
          <w:sz w:val="19"/>
          <w:szCs w:val="19"/>
        </w:rPr>
      </w:pPr>
    </w:p>
    <w:p w14:paraId="21340C76" w14:textId="7D0E55BB" w:rsidR="00F327DA" w:rsidRPr="009A501D" w:rsidRDefault="00F327DA" w:rsidP="00F327DA">
      <w:pPr>
        <w:rPr>
          <w:rFonts w:ascii="Century Gothic" w:hAnsi="Century Gothic" w:cstheme="majorHAnsi"/>
          <w:b/>
          <w:sz w:val="19"/>
          <w:szCs w:val="19"/>
        </w:rPr>
      </w:pPr>
      <w:r w:rsidRPr="009A501D">
        <w:rPr>
          <w:rFonts w:ascii="Century Gothic" w:hAnsi="Century Gothic" w:cstheme="majorHAnsi"/>
          <w:b/>
          <w:sz w:val="19"/>
          <w:szCs w:val="19"/>
        </w:rPr>
        <w:lastRenderedPageBreak/>
        <w:t>III.5.C.4 Distribución del coeficiente de variación en encuestas que mejoraron precisión en 2022 (escala 0-50)</w:t>
      </w:r>
    </w:p>
    <w:p w14:paraId="64CED2DF" w14:textId="77777777" w:rsidR="00F327DA" w:rsidRPr="009A501D" w:rsidRDefault="00F327DA" w:rsidP="00F327DA">
      <w:pPr>
        <w:jc w:val="center"/>
      </w:pPr>
      <w:r w:rsidRPr="009A501D">
        <w:rPr>
          <w:noProof/>
          <w14:ligatures w14:val="standardContextual"/>
        </w:rPr>
        <w:drawing>
          <wp:inline distT="0" distB="0" distL="0" distR="0" wp14:anchorId="6ADC7F84" wp14:editId="2814D2BB">
            <wp:extent cx="4629408" cy="2808000"/>
            <wp:effectExtent l="0" t="0" r="0" b="0"/>
            <wp:docPr id="9" name="Imagen 9" descr="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alendario&#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4629408" cy="2808000"/>
                    </a:xfrm>
                    <a:prstGeom prst="rect">
                      <a:avLst/>
                    </a:prstGeom>
                  </pic:spPr>
                </pic:pic>
              </a:graphicData>
            </a:graphic>
          </wp:inline>
        </w:drawing>
      </w:r>
    </w:p>
    <w:p w14:paraId="6D7CA434" w14:textId="77777777" w:rsidR="00F327DA" w:rsidRPr="009A501D" w:rsidRDefault="00F327DA" w:rsidP="00F327DA">
      <w:pPr>
        <w:spacing w:after="0"/>
        <w:ind w:left="1418" w:right="737"/>
        <w:rPr>
          <w:rFonts w:ascii="Century Gothic" w:hAnsi="Century Gothic" w:cstheme="majorHAnsi"/>
          <w:sz w:val="14"/>
          <w:szCs w:val="14"/>
        </w:rPr>
      </w:pPr>
      <w:r w:rsidRPr="009A501D">
        <w:rPr>
          <w:rFonts w:ascii="Century Gothic" w:hAnsi="Century Gothic" w:cstheme="majorHAnsi"/>
          <w:sz w:val="14"/>
          <w:szCs w:val="14"/>
        </w:rPr>
        <w:t>Nota 1: los datos corresponden a los informes de calidad respectivos (no consideran reemplazos posteriores en la información e indicadores de precisión).</w:t>
      </w:r>
    </w:p>
    <w:p w14:paraId="61B44E02" w14:textId="77777777" w:rsidR="00F327DA" w:rsidRPr="009A501D" w:rsidRDefault="00F327DA" w:rsidP="00F327DA">
      <w:pPr>
        <w:spacing w:after="0"/>
        <w:ind w:left="1418" w:right="737"/>
        <w:rPr>
          <w:rFonts w:ascii="Century Gothic" w:hAnsi="Century Gothic" w:cstheme="majorHAnsi"/>
          <w:sz w:val="14"/>
          <w:szCs w:val="14"/>
        </w:rPr>
      </w:pPr>
      <w:r w:rsidRPr="009A501D">
        <w:rPr>
          <w:rFonts w:ascii="Century Gothic" w:hAnsi="Century Gothic" w:cstheme="majorHAnsi"/>
          <w:sz w:val="14"/>
          <w:szCs w:val="14"/>
        </w:rPr>
        <w:t>Nota 2: Además de la EMEC, un número considerable de diferentes procesos mantuvieron sus niveles de calidad alta estables (igual a 100%) comparando contra lo reportado en el año inmediato anterior, para más detalles ver el Anexo 5.</w:t>
      </w:r>
    </w:p>
    <w:p w14:paraId="5D218AF3" w14:textId="77777777" w:rsidR="00F327DA" w:rsidRPr="009A501D" w:rsidRDefault="00F327DA" w:rsidP="00F327DA">
      <w:pPr>
        <w:spacing w:after="0"/>
        <w:ind w:left="1418" w:right="737"/>
        <w:rPr>
          <w:rFonts w:ascii="Century Gothic" w:hAnsi="Century Gothic" w:cstheme="majorHAnsi"/>
          <w:sz w:val="14"/>
          <w:szCs w:val="14"/>
        </w:rPr>
      </w:pPr>
      <w:r w:rsidRPr="009A501D">
        <w:rPr>
          <w:rFonts w:ascii="Century Gothic" w:hAnsi="Century Gothic" w:cstheme="majorHAnsi"/>
          <w:sz w:val="14"/>
          <w:szCs w:val="14"/>
        </w:rPr>
        <w:t>Nota 3: La información mostrada para la ENOE-NE, incluye información de la ENOE hasta lo reportado en el Informe de Calidad 2020.</w:t>
      </w:r>
    </w:p>
    <w:p w14:paraId="0E2DC5BD" w14:textId="77777777" w:rsidR="00F327DA" w:rsidRPr="009A501D" w:rsidRDefault="00F327DA" w:rsidP="00664A1D">
      <w:pPr>
        <w:spacing w:before="240"/>
        <w:jc w:val="both"/>
        <w:rPr>
          <w:rFonts w:ascii="Century Gothic" w:hAnsi="Century Gothic"/>
          <w:sz w:val="19"/>
          <w:szCs w:val="19"/>
        </w:rPr>
      </w:pPr>
    </w:p>
    <w:p w14:paraId="232C9CD7" w14:textId="50956418" w:rsidR="005D06E6" w:rsidRPr="009A501D" w:rsidRDefault="00931152" w:rsidP="00664A1D">
      <w:pPr>
        <w:spacing w:before="240"/>
        <w:jc w:val="both"/>
        <w:rPr>
          <w:rFonts w:ascii="Century Gothic" w:hAnsi="Century Gothic" w:cstheme="majorHAnsi"/>
          <w:sz w:val="19"/>
          <w:szCs w:val="19"/>
        </w:rPr>
      </w:pPr>
      <w:r w:rsidRPr="009A501D">
        <w:rPr>
          <w:rFonts w:ascii="Century Gothic" w:hAnsi="Century Gothic"/>
          <w:sz w:val="19"/>
          <w:szCs w:val="19"/>
        </w:rPr>
        <w:t xml:space="preserve">Se observa una recuperación importante en el número de </w:t>
      </w:r>
      <w:r w:rsidR="00946138" w:rsidRPr="009A501D">
        <w:rPr>
          <w:rFonts w:ascii="Century Gothic" w:hAnsi="Century Gothic"/>
          <w:sz w:val="19"/>
          <w:szCs w:val="19"/>
        </w:rPr>
        <w:t>procesos</w:t>
      </w:r>
      <w:r w:rsidRPr="009A501D">
        <w:rPr>
          <w:rFonts w:ascii="Century Gothic" w:hAnsi="Century Gothic"/>
          <w:sz w:val="19"/>
          <w:szCs w:val="19"/>
        </w:rPr>
        <w:t xml:space="preserve"> cuyas </w:t>
      </w:r>
      <w:r w:rsidRPr="009A501D">
        <w:rPr>
          <w:rFonts w:ascii="Century Gothic" w:hAnsi="Century Gothic"/>
          <w:i/>
          <w:iCs/>
          <w:sz w:val="19"/>
          <w:szCs w:val="19"/>
        </w:rPr>
        <w:t>tasas de no respuesta antes de imputación</w:t>
      </w:r>
      <w:r w:rsidRPr="009A501D">
        <w:rPr>
          <w:rFonts w:ascii="Century Gothic" w:hAnsi="Century Gothic"/>
          <w:sz w:val="19"/>
          <w:szCs w:val="19"/>
        </w:rPr>
        <w:t xml:space="preserve"> supera a las esperadas en los diseños muestrales</w:t>
      </w:r>
      <w:r w:rsidR="00946138" w:rsidRPr="009A501D">
        <w:rPr>
          <w:rFonts w:ascii="Century Gothic" w:hAnsi="Century Gothic"/>
          <w:sz w:val="19"/>
          <w:szCs w:val="19"/>
        </w:rPr>
        <w:t xml:space="preserve"> (ver cuadro III.</w:t>
      </w:r>
      <w:r w:rsidR="00DC47C3" w:rsidRPr="009A501D">
        <w:rPr>
          <w:rFonts w:ascii="Century Gothic" w:hAnsi="Century Gothic"/>
          <w:sz w:val="19"/>
          <w:szCs w:val="19"/>
        </w:rPr>
        <w:t>5.C</w:t>
      </w:r>
      <w:r w:rsidR="00946138" w:rsidRPr="009A501D">
        <w:rPr>
          <w:rFonts w:ascii="Century Gothic" w:hAnsi="Century Gothic"/>
          <w:sz w:val="19"/>
          <w:szCs w:val="19"/>
        </w:rPr>
        <w:t xml:space="preserve">.4). </w:t>
      </w:r>
      <w:r w:rsidR="005D06E6" w:rsidRPr="009A501D">
        <w:rPr>
          <w:rFonts w:ascii="Century Gothic" w:hAnsi="Century Gothic" w:cstheme="majorHAnsi"/>
          <w:sz w:val="19"/>
          <w:szCs w:val="19"/>
        </w:rPr>
        <w:t xml:space="preserve">Los procesos para los que se observa una </w:t>
      </w:r>
      <w:r w:rsidR="005D06E6" w:rsidRPr="009A501D">
        <w:rPr>
          <w:rFonts w:ascii="Century Gothic" w:hAnsi="Century Gothic" w:cstheme="majorHAnsi"/>
          <w:i/>
          <w:iCs/>
          <w:sz w:val="19"/>
          <w:szCs w:val="19"/>
        </w:rPr>
        <w:t xml:space="preserve">Tasa de </w:t>
      </w:r>
      <w:r w:rsidR="0087711F" w:rsidRPr="009A501D">
        <w:rPr>
          <w:rFonts w:ascii="Century Gothic" w:hAnsi="Century Gothic" w:cstheme="majorHAnsi"/>
          <w:i/>
          <w:iCs/>
          <w:sz w:val="19"/>
          <w:szCs w:val="19"/>
        </w:rPr>
        <w:t>N</w:t>
      </w:r>
      <w:r w:rsidR="0010748B" w:rsidRPr="009A501D">
        <w:rPr>
          <w:rFonts w:ascii="Century Gothic" w:hAnsi="Century Gothic" w:cstheme="majorHAnsi"/>
          <w:i/>
          <w:iCs/>
          <w:sz w:val="19"/>
          <w:szCs w:val="19"/>
        </w:rPr>
        <w:t xml:space="preserve">o </w:t>
      </w:r>
      <w:r w:rsidR="0087711F" w:rsidRPr="009A501D">
        <w:rPr>
          <w:rFonts w:ascii="Century Gothic" w:hAnsi="Century Gothic" w:cstheme="majorHAnsi"/>
          <w:i/>
          <w:iCs/>
          <w:sz w:val="19"/>
          <w:szCs w:val="19"/>
        </w:rPr>
        <w:t>R</w:t>
      </w:r>
      <w:r w:rsidR="0010748B" w:rsidRPr="009A501D">
        <w:rPr>
          <w:rFonts w:ascii="Century Gothic" w:hAnsi="Century Gothic" w:cstheme="majorHAnsi"/>
          <w:i/>
          <w:iCs/>
          <w:sz w:val="19"/>
          <w:szCs w:val="19"/>
        </w:rPr>
        <w:t xml:space="preserve">espuesta </w:t>
      </w:r>
      <w:r w:rsidR="0087711F" w:rsidRPr="009A501D">
        <w:rPr>
          <w:rFonts w:ascii="Century Gothic" w:hAnsi="Century Gothic" w:cstheme="majorHAnsi"/>
          <w:i/>
          <w:iCs/>
          <w:sz w:val="19"/>
          <w:szCs w:val="19"/>
        </w:rPr>
        <w:t>A</w:t>
      </w:r>
      <w:r w:rsidR="0010748B" w:rsidRPr="009A501D">
        <w:rPr>
          <w:rFonts w:ascii="Century Gothic" w:hAnsi="Century Gothic" w:cstheme="majorHAnsi"/>
          <w:i/>
          <w:iCs/>
          <w:sz w:val="19"/>
          <w:szCs w:val="19"/>
        </w:rPr>
        <w:t>ntes</w:t>
      </w:r>
      <w:r w:rsidR="005D06E6" w:rsidRPr="009A501D">
        <w:rPr>
          <w:rFonts w:ascii="Century Gothic" w:hAnsi="Century Gothic" w:cstheme="majorHAnsi"/>
          <w:i/>
          <w:iCs/>
          <w:sz w:val="19"/>
          <w:szCs w:val="19"/>
        </w:rPr>
        <w:t xml:space="preserve"> de </w:t>
      </w:r>
      <w:r w:rsidR="0087711F" w:rsidRPr="009A501D">
        <w:rPr>
          <w:rFonts w:ascii="Century Gothic" w:hAnsi="Century Gothic" w:cstheme="majorHAnsi"/>
          <w:i/>
          <w:iCs/>
          <w:sz w:val="19"/>
          <w:szCs w:val="19"/>
        </w:rPr>
        <w:t>I</w:t>
      </w:r>
      <w:r w:rsidR="0010748B" w:rsidRPr="009A501D">
        <w:rPr>
          <w:rFonts w:ascii="Century Gothic" w:hAnsi="Century Gothic" w:cstheme="majorHAnsi"/>
          <w:i/>
          <w:iCs/>
          <w:sz w:val="19"/>
          <w:szCs w:val="19"/>
        </w:rPr>
        <w:t>mputación</w:t>
      </w:r>
      <w:r w:rsidR="00B33E78" w:rsidRPr="009A501D">
        <w:rPr>
          <w:rFonts w:ascii="Century Gothic" w:hAnsi="Century Gothic" w:cstheme="majorHAnsi"/>
          <w:i/>
          <w:iCs/>
          <w:sz w:val="19"/>
          <w:szCs w:val="19"/>
        </w:rPr>
        <w:t xml:space="preserve"> (TNRAI)</w:t>
      </w:r>
      <w:r w:rsidR="005D06E6" w:rsidRPr="009A501D">
        <w:rPr>
          <w:rFonts w:ascii="Century Gothic" w:hAnsi="Century Gothic" w:cstheme="majorHAnsi"/>
          <w:sz w:val="19"/>
          <w:szCs w:val="19"/>
        </w:rPr>
        <w:t xml:space="preserve"> superior a la máxima esperada en el diseño muestral son: Bienestar </w:t>
      </w:r>
      <w:proofErr w:type="spellStart"/>
      <w:r w:rsidR="005D06E6" w:rsidRPr="009A501D">
        <w:rPr>
          <w:rFonts w:ascii="Century Gothic" w:hAnsi="Century Gothic" w:cstheme="majorHAnsi"/>
          <w:sz w:val="19"/>
          <w:szCs w:val="19"/>
        </w:rPr>
        <w:t>Autorreportado</w:t>
      </w:r>
      <w:proofErr w:type="spellEnd"/>
      <w:r w:rsidR="005D06E6" w:rsidRPr="009A501D">
        <w:rPr>
          <w:rFonts w:ascii="Century Gothic" w:hAnsi="Century Gothic" w:cstheme="majorHAnsi"/>
          <w:sz w:val="19"/>
          <w:szCs w:val="19"/>
        </w:rPr>
        <w:t xml:space="preserve"> (BIARE), </w:t>
      </w:r>
      <w:r w:rsidR="00EF67B5" w:rsidRPr="009A501D">
        <w:rPr>
          <w:rFonts w:ascii="Century Gothic" w:hAnsi="Century Gothic" w:cstheme="majorHAnsi"/>
          <w:sz w:val="19"/>
          <w:szCs w:val="19"/>
        </w:rPr>
        <w:t xml:space="preserve">la </w:t>
      </w:r>
      <w:r w:rsidR="005D06E6" w:rsidRPr="009A501D">
        <w:rPr>
          <w:rFonts w:ascii="Century Gothic" w:hAnsi="Century Gothic" w:cstheme="majorHAnsi"/>
          <w:sz w:val="19"/>
          <w:szCs w:val="19"/>
        </w:rPr>
        <w:t xml:space="preserve">Encuesta Anual de Comercio (EAC) y </w:t>
      </w:r>
      <w:r w:rsidR="00EF67B5" w:rsidRPr="009A501D">
        <w:rPr>
          <w:rFonts w:ascii="Century Gothic" w:hAnsi="Century Gothic" w:cstheme="majorHAnsi"/>
          <w:sz w:val="19"/>
          <w:szCs w:val="19"/>
        </w:rPr>
        <w:t xml:space="preserve">el </w:t>
      </w:r>
      <w:r w:rsidR="005D06E6" w:rsidRPr="009A501D">
        <w:rPr>
          <w:rFonts w:ascii="Century Gothic" w:hAnsi="Century Gothic" w:cstheme="majorHAnsi"/>
          <w:sz w:val="19"/>
          <w:szCs w:val="19"/>
        </w:rPr>
        <w:t xml:space="preserve">Módulo de Práctica Deportiva y Ejercicio Físico (MOPRADEF) (ver </w:t>
      </w:r>
      <w:r w:rsidR="00EF67B5" w:rsidRPr="009A501D">
        <w:rPr>
          <w:rFonts w:ascii="Century Gothic" w:hAnsi="Century Gothic" w:cstheme="majorHAnsi"/>
          <w:sz w:val="19"/>
          <w:szCs w:val="19"/>
        </w:rPr>
        <w:t>A</w:t>
      </w:r>
      <w:r w:rsidR="005D06E6" w:rsidRPr="009A501D">
        <w:rPr>
          <w:rFonts w:ascii="Century Gothic" w:hAnsi="Century Gothic" w:cstheme="majorHAnsi"/>
          <w:sz w:val="19"/>
          <w:szCs w:val="19"/>
        </w:rPr>
        <w:t xml:space="preserve">nexo </w:t>
      </w:r>
      <w:r w:rsidR="00FC24B8" w:rsidRPr="009A501D">
        <w:rPr>
          <w:rFonts w:ascii="Century Gothic" w:hAnsi="Century Gothic" w:cstheme="majorHAnsi"/>
          <w:sz w:val="19"/>
          <w:szCs w:val="19"/>
        </w:rPr>
        <w:t>5</w:t>
      </w:r>
      <w:r w:rsidR="005D06E6" w:rsidRPr="009A501D">
        <w:rPr>
          <w:rFonts w:ascii="Century Gothic" w:hAnsi="Century Gothic" w:cstheme="majorHAnsi"/>
          <w:sz w:val="19"/>
          <w:szCs w:val="19"/>
        </w:rPr>
        <w:t xml:space="preserve">).  </w:t>
      </w:r>
    </w:p>
    <w:p w14:paraId="092A5544" w14:textId="19563DCA" w:rsidR="00931152" w:rsidRPr="009A501D" w:rsidRDefault="00946138" w:rsidP="00664A1D">
      <w:pPr>
        <w:spacing w:before="240"/>
        <w:jc w:val="both"/>
        <w:rPr>
          <w:rFonts w:ascii="Century Gothic" w:hAnsi="Century Gothic"/>
          <w:sz w:val="19"/>
          <w:szCs w:val="19"/>
        </w:rPr>
      </w:pPr>
      <w:r w:rsidRPr="009A501D">
        <w:rPr>
          <w:rFonts w:ascii="Century Gothic" w:hAnsi="Century Gothic"/>
          <w:sz w:val="19"/>
          <w:szCs w:val="19"/>
        </w:rPr>
        <w:t xml:space="preserve">Este efecto también se observa al analizar las tasas de cumplimiento de la muestra mínima, donde se observa una recuperación respecto a los dos años anteriores, aunque aún no se ha alcanzado el nivel observado en 2019 </w:t>
      </w:r>
      <w:r w:rsidR="00931152" w:rsidRPr="009A501D">
        <w:rPr>
          <w:rFonts w:ascii="Century Gothic" w:hAnsi="Century Gothic"/>
          <w:sz w:val="19"/>
          <w:szCs w:val="19"/>
        </w:rPr>
        <w:t>(ver cuadro III.</w:t>
      </w:r>
      <w:r w:rsidR="001D5671" w:rsidRPr="009A501D">
        <w:rPr>
          <w:rFonts w:ascii="Century Gothic" w:hAnsi="Century Gothic"/>
          <w:sz w:val="19"/>
          <w:szCs w:val="19"/>
        </w:rPr>
        <w:t>5.C</w:t>
      </w:r>
      <w:r w:rsidR="00931152" w:rsidRPr="009A501D">
        <w:rPr>
          <w:rFonts w:ascii="Century Gothic" w:hAnsi="Century Gothic"/>
          <w:sz w:val="19"/>
          <w:szCs w:val="19"/>
        </w:rPr>
        <w:t>.</w:t>
      </w:r>
      <w:r w:rsidR="00F327DA" w:rsidRPr="009A501D">
        <w:rPr>
          <w:rFonts w:ascii="Century Gothic" w:hAnsi="Century Gothic"/>
          <w:sz w:val="19"/>
          <w:szCs w:val="19"/>
        </w:rPr>
        <w:t>5</w:t>
      </w:r>
      <w:r w:rsidR="00931152" w:rsidRPr="009A501D">
        <w:rPr>
          <w:rFonts w:ascii="Century Gothic" w:hAnsi="Century Gothic"/>
          <w:sz w:val="19"/>
          <w:szCs w:val="19"/>
        </w:rPr>
        <w:t xml:space="preserve">). </w:t>
      </w:r>
      <w:r w:rsidRPr="009A501D">
        <w:rPr>
          <w:rFonts w:ascii="Century Gothic" w:hAnsi="Century Gothic" w:cstheme="minorHAnsi"/>
          <w:sz w:val="19"/>
          <w:szCs w:val="19"/>
        </w:rPr>
        <w:t>Esta recuperación paulatina refleja el esfuerzo realizado por las áreas para mantener un estándar alto de calidad en los diferentes procesos estadísticos.</w:t>
      </w:r>
    </w:p>
    <w:p w14:paraId="6A6CFCD7" w14:textId="77777777" w:rsidR="00742F1F" w:rsidRDefault="00742F1F" w:rsidP="00664A1D">
      <w:pPr>
        <w:spacing w:before="240"/>
        <w:jc w:val="center"/>
        <w:rPr>
          <w:rFonts w:ascii="Century Gothic" w:hAnsi="Century Gothic"/>
          <w:b/>
          <w:sz w:val="19"/>
          <w:szCs w:val="19"/>
        </w:rPr>
      </w:pPr>
    </w:p>
    <w:p w14:paraId="366ECAAC" w14:textId="77777777" w:rsidR="00742F1F" w:rsidRDefault="00742F1F" w:rsidP="00664A1D">
      <w:pPr>
        <w:spacing w:before="240"/>
        <w:jc w:val="center"/>
        <w:rPr>
          <w:rFonts w:ascii="Century Gothic" w:hAnsi="Century Gothic"/>
          <w:b/>
          <w:sz w:val="19"/>
          <w:szCs w:val="19"/>
        </w:rPr>
      </w:pPr>
    </w:p>
    <w:p w14:paraId="6ECFA08D" w14:textId="77777777" w:rsidR="00742F1F" w:rsidRDefault="00742F1F" w:rsidP="00664A1D">
      <w:pPr>
        <w:spacing w:before="240"/>
        <w:jc w:val="center"/>
        <w:rPr>
          <w:rFonts w:ascii="Century Gothic" w:hAnsi="Century Gothic"/>
          <w:b/>
          <w:sz w:val="19"/>
          <w:szCs w:val="19"/>
        </w:rPr>
      </w:pPr>
    </w:p>
    <w:p w14:paraId="3850EF54" w14:textId="5361ED0B" w:rsidR="00931152" w:rsidRPr="009A501D" w:rsidRDefault="00931152" w:rsidP="00664A1D">
      <w:pPr>
        <w:spacing w:before="240"/>
        <w:jc w:val="center"/>
        <w:rPr>
          <w:rFonts w:ascii="Century Gothic" w:hAnsi="Century Gothic"/>
        </w:rPr>
      </w:pPr>
      <w:r w:rsidRPr="009A501D">
        <w:rPr>
          <w:rFonts w:ascii="Century Gothic" w:hAnsi="Century Gothic"/>
          <w:b/>
          <w:sz w:val="19"/>
          <w:szCs w:val="19"/>
        </w:rPr>
        <w:lastRenderedPageBreak/>
        <w:t>III.</w:t>
      </w:r>
      <w:r w:rsidR="009B3A86" w:rsidRPr="009A501D">
        <w:rPr>
          <w:rFonts w:ascii="Century Gothic" w:hAnsi="Century Gothic"/>
          <w:b/>
          <w:sz w:val="19"/>
          <w:szCs w:val="19"/>
        </w:rPr>
        <w:t>5.C</w:t>
      </w:r>
      <w:r w:rsidRPr="009A501D">
        <w:rPr>
          <w:rFonts w:ascii="Century Gothic" w:hAnsi="Century Gothic"/>
          <w:b/>
          <w:sz w:val="19"/>
          <w:szCs w:val="19"/>
        </w:rPr>
        <w:t>.</w:t>
      </w:r>
      <w:r w:rsidR="00F327DA" w:rsidRPr="009A501D">
        <w:rPr>
          <w:rFonts w:ascii="Century Gothic" w:hAnsi="Century Gothic"/>
          <w:b/>
          <w:sz w:val="19"/>
          <w:szCs w:val="19"/>
        </w:rPr>
        <w:t>5</w:t>
      </w:r>
      <w:r w:rsidRPr="009A501D">
        <w:rPr>
          <w:rFonts w:ascii="Century Gothic" w:hAnsi="Century Gothic"/>
          <w:b/>
          <w:sz w:val="19"/>
          <w:szCs w:val="19"/>
        </w:rPr>
        <w:t xml:space="preserve"> Resultados generales de la tasa de no respuesta</w:t>
      </w:r>
    </w:p>
    <w:tbl>
      <w:tblPr>
        <w:tblStyle w:val="Tablaconcuadrcula"/>
        <w:tblW w:w="0" w:type="auto"/>
        <w:tblLook w:val="04A0" w:firstRow="1" w:lastRow="0" w:firstColumn="1" w:lastColumn="0" w:noHBand="0" w:noVBand="1"/>
      </w:tblPr>
      <w:tblGrid>
        <w:gridCol w:w="8476"/>
        <w:gridCol w:w="575"/>
        <w:gridCol w:w="575"/>
        <w:gridCol w:w="575"/>
        <w:gridCol w:w="589"/>
      </w:tblGrid>
      <w:tr w:rsidR="00DF0D54" w:rsidRPr="009A501D" w14:paraId="17249993" w14:textId="77777777" w:rsidTr="00DF0D54">
        <w:trPr>
          <w:trHeight w:val="284"/>
        </w:trPr>
        <w:tc>
          <w:tcPr>
            <w:tcW w:w="8476" w:type="dxa"/>
            <w:shd w:val="clear" w:color="auto" w:fill="002060"/>
            <w:vAlign w:val="center"/>
          </w:tcPr>
          <w:p w14:paraId="71EB9F00" w14:textId="56530F9F" w:rsidR="00015C47" w:rsidRPr="009A501D" w:rsidRDefault="00DF0D54" w:rsidP="00DF0D54">
            <w:pPr>
              <w:jc w:val="center"/>
              <w:rPr>
                <w:rFonts w:ascii="Century Gothic" w:hAnsi="Century Gothic"/>
                <w:b/>
                <w:bCs/>
                <w:color w:val="FFFFFF" w:themeColor="background1"/>
                <w:sz w:val="16"/>
                <w:szCs w:val="16"/>
              </w:rPr>
            </w:pPr>
            <w:r w:rsidRPr="009A501D">
              <w:rPr>
                <w:rFonts w:ascii="Century Gothic" w:hAnsi="Century Gothic"/>
                <w:b/>
                <w:bCs/>
                <w:color w:val="FFFFFF" w:themeColor="background1"/>
                <w:sz w:val="16"/>
                <w:szCs w:val="16"/>
              </w:rPr>
              <w:t>Indicador</w:t>
            </w:r>
          </w:p>
        </w:tc>
        <w:tc>
          <w:tcPr>
            <w:tcW w:w="575" w:type="dxa"/>
            <w:shd w:val="clear" w:color="auto" w:fill="002060"/>
            <w:vAlign w:val="center"/>
          </w:tcPr>
          <w:p w14:paraId="773FBD18" w14:textId="71CCA353" w:rsidR="00015C47" w:rsidRPr="009A501D" w:rsidRDefault="00DF0D54" w:rsidP="00DF0D54">
            <w:pPr>
              <w:jc w:val="center"/>
              <w:rPr>
                <w:rFonts w:ascii="Century Gothic" w:hAnsi="Century Gothic"/>
                <w:b/>
                <w:bCs/>
                <w:color w:val="FFFFFF" w:themeColor="background1"/>
                <w:sz w:val="16"/>
                <w:szCs w:val="16"/>
              </w:rPr>
            </w:pPr>
            <w:r w:rsidRPr="009A501D">
              <w:rPr>
                <w:rFonts w:ascii="Century Gothic" w:hAnsi="Century Gothic"/>
                <w:b/>
                <w:bCs/>
                <w:color w:val="FFFFFF" w:themeColor="background1"/>
                <w:sz w:val="16"/>
                <w:szCs w:val="16"/>
              </w:rPr>
              <w:t>2019</w:t>
            </w:r>
          </w:p>
        </w:tc>
        <w:tc>
          <w:tcPr>
            <w:tcW w:w="575" w:type="dxa"/>
            <w:shd w:val="clear" w:color="auto" w:fill="002060"/>
            <w:vAlign w:val="center"/>
          </w:tcPr>
          <w:p w14:paraId="63462E23" w14:textId="1C9B69F0" w:rsidR="00015C47" w:rsidRPr="009A501D" w:rsidRDefault="00DF0D54" w:rsidP="00DF0D54">
            <w:pPr>
              <w:jc w:val="center"/>
              <w:rPr>
                <w:rFonts w:ascii="Century Gothic" w:hAnsi="Century Gothic"/>
                <w:b/>
                <w:bCs/>
                <w:color w:val="FFFFFF" w:themeColor="background1"/>
                <w:sz w:val="16"/>
                <w:szCs w:val="16"/>
              </w:rPr>
            </w:pPr>
            <w:r w:rsidRPr="009A501D">
              <w:rPr>
                <w:rFonts w:ascii="Century Gothic" w:hAnsi="Century Gothic"/>
                <w:b/>
                <w:bCs/>
                <w:color w:val="FFFFFF" w:themeColor="background1"/>
                <w:sz w:val="16"/>
                <w:szCs w:val="16"/>
              </w:rPr>
              <w:t>2020</w:t>
            </w:r>
          </w:p>
        </w:tc>
        <w:tc>
          <w:tcPr>
            <w:tcW w:w="575" w:type="dxa"/>
            <w:shd w:val="clear" w:color="auto" w:fill="002060"/>
            <w:vAlign w:val="center"/>
          </w:tcPr>
          <w:p w14:paraId="1664EEA0" w14:textId="5F28AE40" w:rsidR="00015C47" w:rsidRPr="009A501D" w:rsidRDefault="00DF0D54" w:rsidP="00DF0D54">
            <w:pPr>
              <w:jc w:val="center"/>
              <w:rPr>
                <w:rFonts w:ascii="Century Gothic" w:hAnsi="Century Gothic"/>
                <w:b/>
                <w:bCs/>
                <w:color w:val="FFFFFF" w:themeColor="background1"/>
                <w:sz w:val="16"/>
                <w:szCs w:val="16"/>
              </w:rPr>
            </w:pPr>
            <w:r w:rsidRPr="009A501D">
              <w:rPr>
                <w:rFonts w:ascii="Century Gothic" w:hAnsi="Century Gothic"/>
                <w:b/>
                <w:bCs/>
                <w:color w:val="FFFFFF" w:themeColor="background1"/>
                <w:sz w:val="16"/>
                <w:szCs w:val="16"/>
              </w:rPr>
              <w:t>2021</w:t>
            </w:r>
          </w:p>
        </w:tc>
        <w:tc>
          <w:tcPr>
            <w:tcW w:w="589" w:type="dxa"/>
            <w:shd w:val="clear" w:color="auto" w:fill="002060"/>
            <w:vAlign w:val="center"/>
          </w:tcPr>
          <w:p w14:paraId="392337E8" w14:textId="1ADC9FA4" w:rsidR="00015C47" w:rsidRPr="009A501D" w:rsidRDefault="00DF0D54" w:rsidP="00DF0D54">
            <w:pPr>
              <w:jc w:val="center"/>
              <w:rPr>
                <w:rFonts w:ascii="Century Gothic" w:hAnsi="Century Gothic"/>
                <w:b/>
                <w:bCs/>
                <w:color w:val="FFFFFF" w:themeColor="background1"/>
                <w:sz w:val="16"/>
                <w:szCs w:val="16"/>
              </w:rPr>
            </w:pPr>
            <w:r w:rsidRPr="009A501D">
              <w:rPr>
                <w:rFonts w:ascii="Century Gothic" w:hAnsi="Century Gothic"/>
                <w:b/>
                <w:bCs/>
                <w:color w:val="FFFFFF" w:themeColor="background1"/>
                <w:sz w:val="16"/>
                <w:szCs w:val="16"/>
              </w:rPr>
              <w:t>2022</w:t>
            </w:r>
          </w:p>
        </w:tc>
      </w:tr>
      <w:tr w:rsidR="00015C47" w:rsidRPr="009A501D" w14:paraId="3FF9674C" w14:textId="77777777" w:rsidTr="00DF0D54">
        <w:trPr>
          <w:trHeight w:val="284"/>
        </w:trPr>
        <w:tc>
          <w:tcPr>
            <w:tcW w:w="8476" w:type="dxa"/>
            <w:vAlign w:val="center"/>
          </w:tcPr>
          <w:p w14:paraId="72244B28" w14:textId="7C01536E" w:rsidR="00015C47" w:rsidRPr="009A501D" w:rsidRDefault="00015C47" w:rsidP="009F2A85">
            <w:pPr>
              <w:jc w:val="both"/>
              <w:rPr>
                <w:rFonts w:ascii="Century Gothic" w:hAnsi="Century Gothic"/>
                <w:sz w:val="16"/>
                <w:szCs w:val="16"/>
              </w:rPr>
            </w:pPr>
            <w:r w:rsidRPr="009A501D">
              <w:rPr>
                <w:rFonts w:ascii="Century Gothic" w:hAnsi="Century Gothic"/>
                <w:sz w:val="16"/>
                <w:szCs w:val="16"/>
              </w:rPr>
              <w:t>Porcentaje de procesos con tasa de no respuesta superior a la esperada en el diseño muestral</w:t>
            </w:r>
          </w:p>
        </w:tc>
        <w:tc>
          <w:tcPr>
            <w:tcW w:w="575" w:type="dxa"/>
            <w:vAlign w:val="center"/>
          </w:tcPr>
          <w:p w14:paraId="7564248E" w14:textId="427DAA26" w:rsidR="00015C47" w:rsidRPr="009A501D" w:rsidRDefault="00015C47" w:rsidP="009F2A85">
            <w:pPr>
              <w:jc w:val="both"/>
              <w:rPr>
                <w:rFonts w:ascii="Century Gothic" w:hAnsi="Century Gothic"/>
                <w:sz w:val="16"/>
                <w:szCs w:val="16"/>
              </w:rPr>
            </w:pPr>
            <w:r w:rsidRPr="009A501D">
              <w:rPr>
                <w:rFonts w:ascii="Century Gothic" w:hAnsi="Century Gothic"/>
                <w:sz w:val="16"/>
                <w:szCs w:val="16"/>
              </w:rPr>
              <w:t>5%</w:t>
            </w:r>
          </w:p>
        </w:tc>
        <w:tc>
          <w:tcPr>
            <w:tcW w:w="575" w:type="dxa"/>
            <w:vAlign w:val="center"/>
          </w:tcPr>
          <w:p w14:paraId="1DDB5280" w14:textId="577EFB2C" w:rsidR="00015C47" w:rsidRPr="009A501D" w:rsidRDefault="00015C47" w:rsidP="009F2A85">
            <w:pPr>
              <w:jc w:val="both"/>
              <w:rPr>
                <w:rFonts w:ascii="Century Gothic" w:hAnsi="Century Gothic"/>
                <w:sz w:val="16"/>
                <w:szCs w:val="16"/>
              </w:rPr>
            </w:pPr>
            <w:r w:rsidRPr="009A501D">
              <w:rPr>
                <w:rFonts w:ascii="Century Gothic" w:hAnsi="Century Gothic"/>
                <w:sz w:val="16"/>
                <w:szCs w:val="16"/>
              </w:rPr>
              <w:t>26%</w:t>
            </w:r>
          </w:p>
        </w:tc>
        <w:tc>
          <w:tcPr>
            <w:tcW w:w="575" w:type="dxa"/>
            <w:vAlign w:val="center"/>
          </w:tcPr>
          <w:p w14:paraId="01F8B62C" w14:textId="2211E73F" w:rsidR="00015C47" w:rsidRPr="009A501D" w:rsidRDefault="009F2A85" w:rsidP="009F2A85">
            <w:pPr>
              <w:jc w:val="both"/>
              <w:rPr>
                <w:rFonts w:ascii="Century Gothic" w:hAnsi="Century Gothic"/>
                <w:sz w:val="16"/>
                <w:szCs w:val="16"/>
              </w:rPr>
            </w:pPr>
            <w:r w:rsidRPr="009A501D">
              <w:rPr>
                <w:rFonts w:ascii="Century Gothic" w:hAnsi="Century Gothic"/>
                <w:sz w:val="16"/>
                <w:szCs w:val="16"/>
              </w:rPr>
              <w:t>37%</w:t>
            </w:r>
          </w:p>
        </w:tc>
        <w:tc>
          <w:tcPr>
            <w:tcW w:w="589" w:type="dxa"/>
            <w:vAlign w:val="center"/>
          </w:tcPr>
          <w:p w14:paraId="3D7155E8" w14:textId="6B49EEBF" w:rsidR="00015C47" w:rsidRPr="009A501D" w:rsidRDefault="009F2A85" w:rsidP="009F2A85">
            <w:pPr>
              <w:jc w:val="both"/>
              <w:rPr>
                <w:rFonts w:ascii="Century Gothic" w:hAnsi="Century Gothic"/>
                <w:sz w:val="16"/>
                <w:szCs w:val="16"/>
              </w:rPr>
            </w:pPr>
            <w:r w:rsidRPr="009A501D">
              <w:rPr>
                <w:rFonts w:ascii="Century Gothic" w:hAnsi="Century Gothic"/>
                <w:sz w:val="16"/>
                <w:szCs w:val="16"/>
              </w:rPr>
              <w:t>1</w:t>
            </w:r>
            <w:r w:rsidR="00E729CB">
              <w:rPr>
                <w:rFonts w:ascii="Century Gothic" w:hAnsi="Century Gothic"/>
                <w:sz w:val="16"/>
                <w:szCs w:val="16"/>
              </w:rPr>
              <w:t>3</w:t>
            </w:r>
            <w:r w:rsidRPr="009A501D">
              <w:rPr>
                <w:rFonts w:ascii="Century Gothic" w:hAnsi="Century Gothic"/>
                <w:sz w:val="16"/>
                <w:szCs w:val="16"/>
              </w:rPr>
              <w:t>%</w:t>
            </w:r>
          </w:p>
        </w:tc>
      </w:tr>
      <w:tr w:rsidR="00015C47" w:rsidRPr="009A501D" w14:paraId="50702D6F" w14:textId="77777777" w:rsidTr="00DF0D54">
        <w:trPr>
          <w:trHeight w:val="284"/>
        </w:trPr>
        <w:tc>
          <w:tcPr>
            <w:tcW w:w="8476" w:type="dxa"/>
            <w:shd w:val="clear" w:color="auto" w:fill="D9D9D9" w:themeFill="background1" w:themeFillShade="D9"/>
            <w:vAlign w:val="center"/>
          </w:tcPr>
          <w:p w14:paraId="5DFC9A10" w14:textId="71B6DAEB" w:rsidR="00015C47" w:rsidRPr="009A501D" w:rsidRDefault="00015C47" w:rsidP="009F2A85">
            <w:pPr>
              <w:jc w:val="both"/>
              <w:rPr>
                <w:rFonts w:ascii="Century Gothic" w:hAnsi="Century Gothic"/>
                <w:sz w:val="16"/>
                <w:szCs w:val="16"/>
              </w:rPr>
            </w:pPr>
            <w:r w:rsidRPr="009A501D">
              <w:rPr>
                <w:rFonts w:ascii="Century Gothic" w:hAnsi="Century Gothic"/>
                <w:sz w:val="16"/>
                <w:szCs w:val="16"/>
              </w:rPr>
              <w:t>Porcentaje de procesos que presentaron un cumplimiento total en la muestra mínima esperada</w:t>
            </w:r>
          </w:p>
        </w:tc>
        <w:tc>
          <w:tcPr>
            <w:tcW w:w="575" w:type="dxa"/>
            <w:shd w:val="clear" w:color="auto" w:fill="D9D9D9" w:themeFill="background1" w:themeFillShade="D9"/>
            <w:vAlign w:val="center"/>
          </w:tcPr>
          <w:p w14:paraId="3EAF2E48" w14:textId="54C2213C" w:rsidR="00015C47" w:rsidRPr="009A501D" w:rsidRDefault="00015C47" w:rsidP="009F2A85">
            <w:pPr>
              <w:jc w:val="both"/>
              <w:rPr>
                <w:rFonts w:ascii="Century Gothic" w:hAnsi="Century Gothic"/>
                <w:sz w:val="16"/>
                <w:szCs w:val="16"/>
              </w:rPr>
            </w:pPr>
            <w:r w:rsidRPr="009A501D">
              <w:rPr>
                <w:rFonts w:ascii="Century Gothic" w:hAnsi="Century Gothic"/>
                <w:sz w:val="16"/>
                <w:szCs w:val="16"/>
              </w:rPr>
              <w:t>91%</w:t>
            </w:r>
          </w:p>
        </w:tc>
        <w:tc>
          <w:tcPr>
            <w:tcW w:w="575" w:type="dxa"/>
            <w:shd w:val="clear" w:color="auto" w:fill="D9D9D9" w:themeFill="background1" w:themeFillShade="D9"/>
            <w:vAlign w:val="center"/>
          </w:tcPr>
          <w:p w14:paraId="618F4B28" w14:textId="14155371" w:rsidR="00015C47" w:rsidRPr="009A501D" w:rsidRDefault="009F2A85" w:rsidP="009F2A85">
            <w:pPr>
              <w:jc w:val="both"/>
              <w:rPr>
                <w:rFonts w:ascii="Century Gothic" w:hAnsi="Century Gothic"/>
                <w:sz w:val="16"/>
                <w:szCs w:val="16"/>
              </w:rPr>
            </w:pPr>
            <w:r w:rsidRPr="009A501D">
              <w:rPr>
                <w:rFonts w:ascii="Century Gothic" w:hAnsi="Century Gothic"/>
                <w:sz w:val="16"/>
                <w:szCs w:val="16"/>
              </w:rPr>
              <w:t>35%</w:t>
            </w:r>
          </w:p>
        </w:tc>
        <w:tc>
          <w:tcPr>
            <w:tcW w:w="575" w:type="dxa"/>
            <w:shd w:val="clear" w:color="auto" w:fill="D9D9D9" w:themeFill="background1" w:themeFillShade="D9"/>
            <w:vAlign w:val="center"/>
          </w:tcPr>
          <w:p w14:paraId="514336EA" w14:textId="127336BB" w:rsidR="00015C47" w:rsidRPr="009A501D" w:rsidRDefault="009F2A85" w:rsidP="009F2A85">
            <w:pPr>
              <w:jc w:val="both"/>
              <w:rPr>
                <w:rFonts w:ascii="Century Gothic" w:hAnsi="Century Gothic"/>
                <w:sz w:val="16"/>
                <w:szCs w:val="16"/>
              </w:rPr>
            </w:pPr>
            <w:r w:rsidRPr="009A501D">
              <w:rPr>
                <w:rFonts w:ascii="Century Gothic" w:hAnsi="Century Gothic"/>
                <w:sz w:val="16"/>
                <w:szCs w:val="16"/>
              </w:rPr>
              <w:t>52%</w:t>
            </w:r>
          </w:p>
        </w:tc>
        <w:tc>
          <w:tcPr>
            <w:tcW w:w="589" w:type="dxa"/>
            <w:shd w:val="clear" w:color="auto" w:fill="D9D9D9" w:themeFill="background1" w:themeFillShade="D9"/>
            <w:vAlign w:val="center"/>
          </w:tcPr>
          <w:p w14:paraId="1A9E92BD" w14:textId="6ED9D42B" w:rsidR="00015C47" w:rsidRPr="009A501D" w:rsidRDefault="009F2A85" w:rsidP="009F2A85">
            <w:pPr>
              <w:jc w:val="both"/>
              <w:rPr>
                <w:rFonts w:ascii="Century Gothic" w:hAnsi="Century Gothic"/>
                <w:sz w:val="16"/>
                <w:szCs w:val="16"/>
              </w:rPr>
            </w:pPr>
            <w:r w:rsidRPr="009A501D">
              <w:rPr>
                <w:rFonts w:ascii="Century Gothic" w:hAnsi="Century Gothic"/>
                <w:sz w:val="16"/>
                <w:szCs w:val="16"/>
              </w:rPr>
              <w:t>76%</w:t>
            </w:r>
          </w:p>
        </w:tc>
      </w:tr>
    </w:tbl>
    <w:p w14:paraId="3C85F107" w14:textId="77F132CA" w:rsidR="005D06E6" w:rsidRPr="009A501D" w:rsidRDefault="005D06E6" w:rsidP="00664A1D">
      <w:pPr>
        <w:spacing w:before="240"/>
        <w:jc w:val="both"/>
        <w:rPr>
          <w:rFonts w:ascii="Century Gothic" w:hAnsi="Century Gothic"/>
          <w:sz w:val="19"/>
          <w:szCs w:val="19"/>
        </w:rPr>
      </w:pPr>
      <w:r w:rsidRPr="009A501D">
        <w:rPr>
          <w:rFonts w:ascii="Century Gothic" w:hAnsi="Century Gothic"/>
          <w:sz w:val="19"/>
          <w:szCs w:val="19"/>
        </w:rPr>
        <w:t>Una forma de hacer frente a la no respuesta es la revisión y ajuste del diseño muestral.  Por ejemplo,</w:t>
      </w:r>
      <w:r w:rsidR="00460EC4">
        <w:rPr>
          <w:rFonts w:ascii="Century Gothic" w:hAnsi="Century Gothic"/>
          <w:sz w:val="19"/>
          <w:szCs w:val="19"/>
        </w:rPr>
        <w:t xml:space="preserve"> en 2020 la </w:t>
      </w:r>
      <w:r w:rsidR="00460EC4" w:rsidRPr="009A501D">
        <w:rPr>
          <w:rFonts w:ascii="Century Gothic" w:hAnsi="Century Gothic"/>
          <w:sz w:val="19"/>
          <w:szCs w:val="19"/>
        </w:rPr>
        <w:t>Encuesta Nacional de Ingreso Gasto de los Hogares (ENIGH)</w:t>
      </w:r>
      <w:r w:rsidR="00460EC4">
        <w:rPr>
          <w:rFonts w:ascii="Century Gothic" w:hAnsi="Century Gothic"/>
          <w:sz w:val="19"/>
          <w:szCs w:val="19"/>
        </w:rPr>
        <w:t xml:space="preserve"> </w:t>
      </w:r>
      <w:r w:rsidR="00460EC4" w:rsidRPr="009A501D">
        <w:rPr>
          <w:rFonts w:ascii="Century Gothic" w:hAnsi="Century Gothic"/>
          <w:sz w:val="19"/>
          <w:szCs w:val="19"/>
        </w:rPr>
        <w:t xml:space="preserve">definió </w:t>
      </w:r>
      <w:r w:rsidR="00460EC4" w:rsidRPr="009A501D">
        <w:rPr>
          <w:rFonts w:ascii="Century Gothic" w:hAnsi="Century Gothic"/>
          <w:i/>
          <w:iCs/>
          <w:sz w:val="19"/>
          <w:szCs w:val="19"/>
        </w:rPr>
        <w:t>tasas de no respuesta máximas esperadas</w:t>
      </w:r>
      <w:r w:rsidR="00460EC4" w:rsidRPr="009A501D">
        <w:rPr>
          <w:rFonts w:ascii="Century Gothic" w:hAnsi="Century Gothic"/>
          <w:sz w:val="19"/>
          <w:szCs w:val="19"/>
        </w:rPr>
        <w:t xml:space="preserve"> diferenciadas por dominio de estudio</w:t>
      </w:r>
      <w:r w:rsidR="00460EC4">
        <w:rPr>
          <w:rFonts w:ascii="Century Gothic" w:hAnsi="Century Gothic"/>
          <w:sz w:val="19"/>
          <w:szCs w:val="19"/>
        </w:rPr>
        <w:t xml:space="preserve"> y en 2022 </w:t>
      </w:r>
      <w:r w:rsidRPr="009A501D">
        <w:rPr>
          <w:rFonts w:ascii="Century Gothic" w:hAnsi="Century Gothic"/>
          <w:sz w:val="19"/>
          <w:szCs w:val="19"/>
        </w:rPr>
        <w:t>la</w:t>
      </w:r>
      <w:r w:rsidR="00FB5E23">
        <w:rPr>
          <w:rFonts w:ascii="Century Gothic" w:hAnsi="Century Gothic"/>
          <w:sz w:val="19"/>
          <w:szCs w:val="19"/>
        </w:rPr>
        <w:t xml:space="preserve"> </w:t>
      </w:r>
      <w:r w:rsidRPr="009A501D">
        <w:rPr>
          <w:rFonts w:ascii="Century Gothic" w:hAnsi="Century Gothic"/>
          <w:sz w:val="19"/>
          <w:szCs w:val="19"/>
        </w:rPr>
        <w:t>Encuesta de Comercio Internacional de Servicios (ECIS)</w:t>
      </w:r>
      <w:r w:rsidR="00460EC4">
        <w:rPr>
          <w:rStyle w:val="Refdenotaalpie"/>
          <w:rFonts w:ascii="Century Gothic" w:hAnsi="Century Gothic"/>
          <w:sz w:val="19"/>
          <w:szCs w:val="19"/>
        </w:rPr>
        <w:footnoteReference w:id="4"/>
      </w:r>
      <w:r w:rsidR="00460EC4">
        <w:rPr>
          <w:rFonts w:ascii="Century Gothic" w:hAnsi="Century Gothic"/>
          <w:sz w:val="19"/>
          <w:szCs w:val="19"/>
        </w:rPr>
        <w:t xml:space="preserve"> incluyó en su diseño estadístico procedimientos similares.</w:t>
      </w:r>
      <w:r w:rsidRPr="009A501D">
        <w:rPr>
          <w:rFonts w:ascii="Century Gothic" w:hAnsi="Century Gothic"/>
          <w:sz w:val="19"/>
          <w:szCs w:val="19"/>
        </w:rPr>
        <w:t xml:space="preserve">  </w:t>
      </w:r>
    </w:p>
    <w:p w14:paraId="1966E6BD" w14:textId="6C72DC70" w:rsidR="005D06E6" w:rsidRPr="009A501D" w:rsidRDefault="005D06E6" w:rsidP="00664A1D">
      <w:pPr>
        <w:spacing w:before="240"/>
        <w:jc w:val="both"/>
        <w:rPr>
          <w:rFonts w:ascii="Century Gothic" w:hAnsi="Century Gothic"/>
          <w:sz w:val="19"/>
          <w:szCs w:val="19"/>
        </w:rPr>
      </w:pPr>
      <w:r w:rsidRPr="009A501D">
        <w:rPr>
          <w:rFonts w:ascii="Century Gothic" w:hAnsi="Century Gothic"/>
          <w:sz w:val="19"/>
          <w:szCs w:val="19"/>
        </w:rPr>
        <w:t>Otra</w:t>
      </w:r>
      <w:r w:rsidR="00931152" w:rsidRPr="009A501D">
        <w:rPr>
          <w:rFonts w:ascii="Century Gothic" w:hAnsi="Century Gothic"/>
          <w:sz w:val="19"/>
          <w:szCs w:val="19"/>
        </w:rPr>
        <w:t xml:space="preserve"> de las alternativas metodológicas para completar l</w:t>
      </w:r>
      <w:r w:rsidR="00832AF8" w:rsidRPr="009A501D">
        <w:rPr>
          <w:rFonts w:ascii="Century Gothic" w:hAnsi="Century Gothic"/>
          <w:sz w:val="19"/>
          <w:szCs w:val="19"/>
        </w:rPr>
        <w:t>os</w:t>
      </w:r>
      <w:r w:rsidR="00931152" w:rsidRPr="009A501D">
        <w:rPr>
          <w:rFonts w:ascii="Century Gothic" w:hAnsi="Century Gothic"/>
          <w:sz w:val="19"/>
          <w:szCs w:val="19"/>
        </w:rPr>
        <w:t xml:space="preserve"> </w:t>
      </w:r>
      <w:r w:rsidR="00832AF8" w:rsidRPr="009A501D">
        <w:rPr>
          <w:rFonts w:ascii="Century Gothic" w:hAnsi="Century Gothic"/>
          <w:sz w:val="19"/>
          <w:szCs w:val="19"/>
        </w:rPr>
        <w:t>datos</w:t>
      </w:r>
      <w:r w:rsidR="00931152" w:rsidRPr="009A501D">
        <w:rPr>
          <w:rFonts w:ascii="Century Gothic" w:hAnsi="Century Gothic"/>
          <w:sz w:val="19"/>
          <w:szCs w:val="19"/>
        </w:rPr>
        <w:t xml:space="preserve"> en caso de no respuesta es la imputación.  Por ello, a la par </w:t>
      </w:r>
      <w:r w:rsidR="005D53A2" w:rsidRPr="009A501D">
        <w:rPr>
          <w:rFonts w:ascii="Century Gothic" w:hAnsi="Century Gothic"/>
          <w:sz w:val="19"/>
          <w:szCs w:val="19"/>
        </w:rPr>
        <w:t xml:space="preserve">de </w:t>
      </w:r>
      <w:r w:rsidR="00962F6A" w:rsidRPr="009A501D">
        <w:rPr>
          <w:rFonts w:ascii="Century Gothic" w:hAnsi="Century Gothic"/>
          <w:sz w:val="19"/>
          <w:szCs w:val="19"/>
        </w:rPr>
        <w:t>la disminución de</w:t>
      </w:r>
      <w:r w:rsidR="00931152" w:rsidRPr="009A501D">
        <w:rPr>
          <w:rFonts w:ascii="Century Gothic" w:hAnsi="Century Gothic"/>
          <w:sz w:val="19"/>
          <w:szCs w:val="19"/>
        </w:rPr>
        <w:t xml:space="preserve"> las </w:t>
      </w:r>
      <w:r w:rsidR="00931152" w:rsidRPr="009A501D">
        <w:rPr>
          <w:rFonts w:ascii="Century Gothic" w:hAnsi="Century Gothic"/>
          <w:i/>
          <w:iCs/>
          <w:sz w:val="19"/>
          <w:szCs w:val="19"/>
        </w:rPr>
        <w:t>tasas de no respuesta</w:t>
      </w:r>
      <w:r w:rsidR="00931152" w:rsidRPr="009A501D">
        <w:rPr>
          <w:rFonts w:ascii="Century Gothic" w:hAnsi="Century Gothic"/>
          <w:sz w:val="19"/>
          <w:szCs w:val="19"/>
        </w:rPr>
        <w:t xml:space="preserve">, se esperaría observar una reducción equiparable en </w:t>
      </w:r>
      <w:r w:rsidR="00931152" w:rsidRPr="009A501D">
        <w:rPr>
          <w:rFonts w:ascii="Century Gothic" w:hAnsi="Century Gothic"/>
          <w:i/>
          <w:iCs/>
          <w:sz w:val="19"/>
          <w:szCs w:val="19"/>
        </w:rPr>
        <w:t>las tasas de imputación</w:t>
      </w:r>
      <w:r w:rsidRPr="009A501D">
        <w:rPr>
          <w:rFonts w:ascii="Century Gothic" w:hAnsi="Century Gothic"/>
          <w:sz w:val="19"/>
          <w:szCs w:val="19"/>
        </w:rPr>
        <w:t>.</w:t>
      </w:r>
      <w:r w:rsidR="00931152" w:rsidRPr="009A501D">
        <w:rPr>
          <w:rFonts w:ascii="Century Gothic" w:hAnsi="Century Gothic"/>
          <w:sz w:val="19"/>
          <w:szCs w:val="19"/>
        </w:rPr>
        <w:t xml:space="preserve"> </w:t>
      </w:r>
      <w:r w:rsidRPr="009A501D">
        <w:rPr>
          <w:rFonts w:ascii="Century Gothic" w:hAnsi="Century Gothic"/>
          <w:sz w:val="19"/>
          <w:szCs w:val="19"/>
        </w:rPr>
        <w:t xml:space="preserve">Si bien se observa una ligera disminución, aún </w:t>
      </w:r>
      <w:r w:rsidR="001B046D" w:rsidRPr="009A501D">
        <w:rPr>
          <w:rFonts w:ascii="Century Gothic" w:hAnsi="Century Gothic"/>
          <w:sz w:val="19"/>
          <w:szCs w:val="19"/>
        </w:rPr>
        <w:t xml:space="preserve">se encuentra </w:t>
      </w:r>
      <w:r w:rsidRPr="009A501D">
        <w:rPr>
          <w:rFonts w:ascii="Century Gothic" w:hAnsi="Century Gothic"/>
          <w:sz w:val="19"/>
          <w:szCs w:val="19"/>
        </w:rPr>
        <w:t>en niveles registrados durante el primer año de la pandemia</w:t>
      </w:r>
      <w:r w:rsidR="00A055AA" w:rsidRPr="009A501D">
        <w:rPr>
          <w:rFonts w:ascii="Century Gothic" w:hAnsi="Century Gothic"/>
          <w:sz w:val="19"/>
          <w:szCs w:val="19"/>
        </w:rPr>
        <w:t xml:space="preserve"> (ver cuadro III.5</w:t>
      </w:r>
      <w:r w:rsidR="007209F6" w:rsidRPr="009A501D">
        <w:rPr>
          <w:rFonts w:ascii="Century Gothic" w:hAnsi="Century Gothic"/>
          <w:sz w:val="19"/>
          <w:szCs w:val="19"/>
        </w:rPr>
        <w:t>.C.</w:t>
      </w:r>
      <w:r w:rsidR="00F327DA" w:rsidRPr="009A501D">
        <w:rPr>
          <w:rFonts w:ascii="Century Gothic" w:hAnsi="Century Gothic"/>
          <w:sz w:val="19"/>
          <w:szCs w:val="19"/>
        </w:rPr>
        <w:t>6</w:t>
      </w:r>
      <w:r w:rsidR="007209F6" w:rsidRPr="009A501D">
        <w:rPr>
          <w:rFonts w:ascii="Century Gothic" w:hAnsi="Century Gothic"/>
          <w:sz w:val="19"/>
          <w:szCs w:val="19"/>
        </w:rPr>
        <w:t>)</w:t>
      </w:r>
      <w:r w:rsidRPr="009A501D">
        <w:rPr>
          <w:rFonts w:ascii="Century Gothic" w:hAnsi="Century Gothic"/>
          <w:sz w:val="19"/>
          <w:szCs w:val="19"/>
        </w:rPr>
        <w:t>.</w:t>
      </w:r>
    </w:p>
    <w:p w14:paraId="73F7867F" w14:textId="77163300" w:rsidR="00931152" w:rsidRPr="009A501D" w:rsidRDefault="00931152" w:rsidP="00664A1D">
      <w:pPr>
        <w:spacing w:before="240"/>
        <w:jc w:val="center"/>
        <w:rPr>
          <w:rFonts w:ascii="Century Gothic" w:hAnsi="Century Gothic"/>
        </w:rPr>
      </w:pPr>
      <w:r w:rsidRPr="009A501D">
        <w:rPr>
          <w:rFonts w:ascii="Century Gothic" w:hAnsi="Century Gothic"/>
          <w:b/>
          <w:sz w:val="19"/>
          <w:szCs w:val="19"/>
        </w:rPr>
        <w:t>III.</w:t>
      </w:r>
      <w:r w:rsidR="009B3A86" w:rsidRPr="009A501D">
        <w:rPr>
          <w:rFonts w:ascii="Century Gothic" w:hAnsi="Century Gothic"/>
          <w:b/>
          <w:sz w:val="19"/>
          <w:szCs w:val="19"/>
        </w:rPr>
        <w:t>5.C</w:t>
      </w:r>
      <w:r w:rsidRPr="009A501D">
        <w:rPr>
          <w:rFonts w:ascii="Century Gothic" w:hAnsi="Century Gothic"/>
          <w:b/>
          <w:sz w:val="19"/>
          <w:szCs w:val="19"/>
        </w:rPr>
        <w:t>.</w:t>
      </w:r>
      <w:r w:rsidR="00F327DA" w:rsidRPr="009A501D">
        <w:rPr>
          <w:rFonts w:ascii="Century Gothic" w:hAnsi="Century Gothic"/>
          <w:b/>
          <w:sz w:val="19"/>
          <w:szCs w:val="19"/>
        </w:rPr>
        <w:t>6</w:t>
      </w:r>
      <w:r w:rsidRPr="009A501D">
        <w:rPr>
          <w:rFonts w:ascii="Century Gothic" w:hAnsi="Century Gothic"/>
          <w:b/>
          <w:sz w:val="19"/>
          <w:szCs w:val="19"/>
        </w:rPr>
        <w:t xml:space="preserve"> Promedio de las tasas de imputación a nivel unidad de observación por Unidad Administrativa</w:t>
      </w:r>
    </w:p>
    <w:tbl>
      <w:tblPr>
        <w:tblW w:w="56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696"/>
        <w:gridCol w:w="993"/>
        <w:gridCol w:w="1019"/>
        <w:gridCol w:w="965"/>
        <w:gridCol w:w="992"/>
      </w:tblGrid>
      <w:tr w:rsidR="00931152" w:rsidRPr="009A501D" w14:paraId="089B67FC" w14:textId="77777777" w:rsidTr="00460BCB">
        <w:trPr>
          <w:trHeight w:val="284"/>
          <w:jc w:val="center"/>
        </w:trPr>
        <w:tc>
          <w:tcPr>
            <w:tcW w:w="1696" w:type="dxa"/>
            <w:shd w:val="clear" w:color="000000" w:fill="002060"/>
            <w:noWrap/>
            <w:vAlign w:val="center"/>
            <w:hideMark/>
          </w:tcPr>
          <w:p w14:paraId="79EFAA59" w14:textId="77777777" w:rsidR="00931152" w:rsidRPr="009A501D" w:rsidRDefault="00931152" w:rsidP="00832D61">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993" w:type="dxa"/>
            <w:shd w:val="clear" w:color="000000" w:fill="002060"/>
            <w:noWrap/>
            <w:vAlign w:val="center"/>
            <w:hideMark/>
          </w:tcPr>
          <w:p w14:paraId="7A670E0B" w14:textId="77777777" w:rsidR="00931152" w:rsidRPr="009A501D" w:rsidRDefault="00931152" w:rsidP="00832D61">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1019" w:type="dxa"/>
            <w:shd w:val="clear" w:color="000000" w:fill="002060"/>
            <w:noWrap/>
            <w:vAlign w:val="center"/>
            <w:hideMark/>
          </w:tcPr>
          <w:p w14:paraId="5E92A39F" w14:textId="77777777" w:rsidR="00931152" w:rsidRPr="009A501D" w:rsidRDefault="00931152" w:rsidP="00832D61">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965" w:type="dxa"/>
            <w:shd w:val="clear" w:color="000000" w:fill="002060"/>
            <w:noWrap/>
            <w:vAlign w:val="center"/>
            <w:hideMark/>
          </w:tcPr>
          <w:p w14:paraId="3A9BECB2" w14:textId="77777777" w:rsidR="00931152" w:rsidRPr="009A501D" w:rsidRDefault="00931152" w:rsidP="00832D61">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992" w:type="dxa"/>
            <w:shd w:val="clear" w:color="000000" w:fill="002060"/>
            <w:noWrap/>
            <w:vAlign w:val="center"/>
            <w:hideMark/>
          </w:tcPr>
          <w:p w14:paraId="0AD42BA7" w14:textId="77777777" w:rsidR="00931152" w:rsidRPr="009A501D" w:rsidRDefault="00931152" w:rsidP="00832D61">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931152" w:rsidRPr="009A501D" w14:paraId="39B26B71" w14:textId="77777777" w:rsidTr="00EE4F8B">
        <w:trPr>
          <w:trHeight w:val="284"/>
          <w:jc w:val="center"/>
        </w:trPr>
        <w:tc>
          <w:tcPr>
            <w:tcW w:w="1696" w:type="dxa"/>
            <w:shd w:val="clear" w:color="auto" w:fill="auto"/>
            <w:noWrap/>
            <w:vAlign w:val="center"/>
            <w:hideMark/>
          </w:tcPr>
          <w:p w14:paraId="4CF0D882" w14:textId="77777777" w:rsidR="00931152" w:rsidRPr="009A501D" w:rsidRDefault="00931152" w:rsidP="00832D61">
            <w:pPr>
              <w:spacing w:after="0"/>
              <w:rPr>
                <w:rFonts w:ascii="Century Gothic" w:hAnsi="Century Gothic" w:cs="Calibri"/>
                <w:color w:val="000000"/>
                <w:sz w:val="16"/>
                <w:szCs w:val="16"/>
              </w:rPr>
            </w:pPr>
            <w:r w:rsidRPr="009A501D">
              <w:rPr>
                <w:rFonts w:ascii="Century Gothic" w:hAnsi="Century Gothic" w:cs="Calibri"/>
                <w:color w:val="000000"/>
                <w:sz w:val="16"/>
                <w:szCs w:val="16"/>
              </w:rPr>
              <w:t>DGIAI</w:t>
            </w:r>
          </w:p>
        </w:tc>
        <w:tc>
          <w:tcPr>
            <w:tcW w:w="993" w:type="dxa"/>
            <w:shd w:val="clear" w:color="auto" w:fill="auto"/>
            <w:noWrap/>
            <w:vAlign w:val="center"/>
            <w:hideMark/>
          </w:tcPr>
          <w:p w14:paraId="4EAEC246"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019" w:type="dxa"/>
            <w:shd w:val="clear" w:color="auto" w:fill="auto"/>
            <w:noWrap/>
            <w:vAlign w:val="center"/>
            <w:hideMark/>
          </w:tcPr>
          <w:p w14:paraId="215FE979"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65" w:type="dxa"/>
            <w:shd w:val="clear" w:color="auto" w:fill="auto"/>
            <w:noWrap/>
            <w:vAlign w:val="center"/>
            <w:hideMark/>
          </w:tcPr>
          <w:p w14:paraId="778C8BF7"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92" w:type="dxa"/>
            <w:shd w:val="clear" w:color="auto" w:fill="auto"/>
            <w:noWrap/>
            <w:vAlign w:val="center"/>
            <w:hideMark/>
          </w:tcPr>
          <w:p w14:paraId="65E267BB"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931152" w:rsidRPr="009A501D" w14:paraId="6B3278EC" w14:textId="77777777" w:rsidTr="00460BCB">
        <w:trPr>
          <w:trHeight w:val="284"/>
          <w:jc w:val="center"/>
        </w:trPr>
        <w:tc>
          <w:tcPr>
            <w:tcW w:w="1696" w:type="dxa"/>
            <w:shd w:val="clear" w:color="auto" w:fill="D9D9D9" w:themeFill="background1" w:themeFillShade="D9"/>
            <w:noWrap/>
            <w:vAlign w:val="center"/>
            <w:hideMark/>
          </w:tcPr>
          <w:p w14:paraId="0CD0A738" w14:textId="77777777" w:rsidR="00931152" w:rsidRPr="009A501D" w:rsidRDefault="00931152" w:rsidP="00832D61">
            <w:pPr>
              <w:spacing w:after="0"/>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993" w:type="dxa"/>
            <w:shd w:val="clear" w:color="auto" w:fill="D9D9D9" w:themeFill="background1" w:themeFillShade="D9"/>
            <w:noWrap/>
            <w:vAlign w:val="center"/>
            <w:hideMark/>
          </w:tcPr>
          <w:p w14:paraId="3BABC8AA"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7%</w:t>
            </w:r>
          </w:p>
        </w:tc>
        <w:tc>
          <w:tcPr>
            <w:tcW w:w="1019" w:type="dxa"/>
            <w:shd w:val="clear" w:color="auto" w:fill="D9D9D9" w:themeFill="background1" w:themeFillShade="D9"/>
            <w:noWrap/>
            <w:vAlign w:val="center"/>
            <w:hideMark/>
          </w:tcPr>
          <w:p w14:paraId="483DF9E0"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965" w:type="dxa"/>
            <w:shd w:val="clear" w:color="auto" w:fill="D9D9D9" w:themeFill="background1" w:themeFillShade="D9"/>
            <w:noWrap/>
            <w:vAlign w:val="center"/>
            <w:hideMark/>
          </w:tcPr>
          <w:p w14:paraId="0CA7D13B"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21%</w:t>
            </w:r>
          </w:p>
        </w:tc>
        <w:tc>
          <w:tcPr>
            <w:tcW w:w="992" w:type="dxa"/>
            <w:shd w:val="clear" w:color="auto" w:fill="D9D9D9" w:themeFill="background1" w:themeFillShade="D9"/>
            <w:noWrap/>
            <w:vAlign w:val="center"/>
            <w:hideMark/>
          </w:tcPr>
          <w:p w14:paraId="1D128985" w14:textId="1C092A6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r w:rsidR="00A441F8">
              <w:rPr>
                <w:rFonts w:ascii="Century Gothic" w:hAnsi="Century Gothic" w:cs="Calibri"/>
                <w:color w:val="000000"/>
                <w:sz w:val="16"/>
                <w:szCs w:val="16"/>
              </w:rPr>
              <w:t>5</w:t>
            </w:r>
            <w:r w:rsidRPr="009A501D">
              <w:rPr>
                <w:rFonts w:ascii="Century Gothic" w:hAnsi="Century Gothic" w:cs="Calibri"/>
                <w:color w:val="000000"/>
                <w:sz w:val="16"/>
                <w:szCs w:val="16"/>
              </w:rPr>
              <w:t>%</w:t>
            </w:r>
          </w:p>
        </w:tc>
      </w:tr>
      <w:tr w:rsidR="00931152" w:rsidRPr="009A501D" w14:paraId="1C58A773" w14:textId="77777777" w:rsidTr="00EE4F8B">
        <w:trPr>
          <w:trHeight w:val="284"/>
          <w:jc w:val="center"/>
        </w:trPr>
        <w:tc>
          <w:tcPr>
            <w:tcW w:w="1696" w:type="dxa"/>
            <w:shd w:val="clear" w:color="auto" w:fill="auto"/>
            <w:noWrap/>
            <w:vAlign w:val="center"/>
            <w:hideMark/>
          </w:tcPr>
          <w:p w14:paraId="0A55EC20" w14:textId="77777777" w:rsidR="00931152" w:rsidRPr="009A501D" w:rsidRDefault="00931152" w:rsidP="00832D61">
            <w:pPr>
              <w:spacing w:after="0"/>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993" w:type="dxa"/>
            <w:shd w:val="clear" w:color="auto" w:fill="auto"/>
            <w:noWrap/>
            <w:vAlign w:val="center"/>
            <w:hideMark/>
          </w:tcPr>
          <w:p w14:paraId="1D503ACE"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019" w:type="dxa"/>
            <w:shd w:val="clear" w:color="auto" w:fill="auto"/>
            <w:noWrap/>
            <w:vAlign w:val="center"/>
            <w:hideMark/>
          </w:tcPr>
          <w:p w14:paraId="29ECA6A3"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65" w:type="dxa"/>
            <w:shd w:val="clear" w:color="auto" w:fill="auto"/>
            <w:noWrap/>
            <w:vAlign w:val="center"/>
            <w:hideMark/>
          </w:tcPr>
          <w:p w14:paraId="76C17EB9"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92" w:type="dxa"/>
            <w:shd w:val="clear" w:color="auto" w:fill="auto"/>
            <w:noWrap/>
            <w:vAlign w:val="center"/>
            <w:hideMark/>
          </w:tcPr>
          <w:p w14:paraId="7827724B"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931152" w:rsidRPr="009A501D" w14:paraId="63AE1561" w14:textId="77777777" w:rsidTr="00460BCB">
        <w:trPr>
          <w:trHeight w:val="284"/>
          <w:jc w:val="center"/>
        </w:trPr>
        <w:tc>
          <w:tcPr>
            <w:tcW w:w="1696" w:type="dxa"/>
            <w:shd w:val="clear" w:color="auto" w:fill="D9D9D9" w:themeFill="background1" w:themeFillShade="D9"/>
            <w:noWrap/>
            <w:vAlign w:val="center"/>
            <w:hideMark/>
          </w:tcPr>
          <w:p w14:paraId="101CB887" w14:textId="77777777" w:rsidR="00931152" w:rsidRPr="009A501D" w:rsidRDefault="00931152" w:rsidP="00832D61">
            <w:pPr>
              <w:spacing w:after="0"/>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993" w:type="dxa"/>
            <w:shd w:val="clear" w:color="auto" w:fill="D9D9D9" w:themeFill="background1" w:themeFillShade="D9"/>
            <w:noWrap/>
            <w:vAlign w:val="center"/>
            <w:hideMark/>
          </w:tcPr>
          <w:p w14:paraId="38DFCD0A"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019" w:type="dxa"/>
            <w:shd w:val="clear" w:color="auto" w:fill="D9D9D9" w:themeFill="background1" w:themeFillShade="D9"/>
            <w:noWrap/>
            <w:vAlign w:val="center"/>
            <w:hideMark/>
          </w:tcPr>
          <w:p w14:paraId="7CC9C2BC"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65" w:type="dxa"/>
            <w:shd w:val="clear" w:color="auto" w:fill="D9D9D9" w:themeFill="background1" w:themeFillShade="D9"/>
            <w:noWrap/>
            <w:vAlign w:val="center"/>
            <w:hideMark/>
          </w:tcPr>
          <w:p w14:paraId="634098C9"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92" w:type="dxa"/>
            <w:shd w:val="clear" w:color="auto" w:fill="D9D9D9" w:themeFill="background1" w:themeFillShade="D9"/>
            <w:noWrap/>
            <w:vAlign w:val="center"/>
            <w:hideMark/>
          </w:tcPr>
          <w:p w14:paraId="403245D7" w14:textId="77777777" w:rsidR="00931152" w:rsidRPr="009A501D" w:rsidRDefault="00931152" w:rsidP="00832D61">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bl>
    <w:p w14:paraId="7E1FC8AB" w14:textId="4F4FB74A" w:rsidR="00931152" w:rsidRPr="009A501D" w:rsidRDefault="00931152"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En el cuadro III.</w:t>
      </w:r>
      <w:r w:rsidR="001D5671" w:rsidRPr="009A501D">
        <w:rPr>
          <w:rFonts w:ascii="Century Gothic" w:hAnsi="Century Gothic" w:cstheme="minorHAnsi"/>
          <w:sz w:val="19"/>
          <w:szCs w:val="19"/>
        </w:rPr>
        <w:t>5.C</w:t>
      </w:r>
      <w:r w:rsidRPr="009A501D">
        <w:rPr>
          <w:rFonts w:ascii="Century Gothic" w:hAnsi="Century Gothic" w:cstheme="minorHAnsi"/>
          <w:sz w:val="19"/>
          <w:szCs w:val="19"/>
        </w:rPr>
        <w:t>.</w:t>
      </w:r>
      <w:r w:rsidR="00F327DA" w:rsidRPr="009A501D">
        <w:rPr>
          <w:rFonts w:ascii="Century Gothic" w:hAnsi="Century Gothic" w:cstheme="minorHAnsi"/>
          <w:sz w:val="19"/>
          <w:szCs w:val="19"/>
        </w:rPr>
        <w:t>7</w:t>
      </w:r>
      <w:r w:rsidRPr="009A501D">
        <w:rPr>
          <w:rFonts w:ascii="Century Gothic" w:hAnsi="Century Gothic" w:cstheme="minorHAnsi"/>
          <w:sz w:val="19"/>
          <w:szCs w:val="19"/>
        </w:rPr>
        <w:t xml:space="preserve"> se presentan los </w:t>
      </w:r>
      <w:r w:rsidR="005F6B27" w:rsidRPr="009A501D">
        <w:rPr>
          <w:rFonts w:ascii="Century Gothic" w:hAnsi="Century Gothic" w:cstheme="minorHAnsi"/>
          <w:sz w:val="19"/>
          <w:szCs w:val="19"/>
        </w:rPr>
        <w:t>procesos de producción</w:t>
      </w:r>
      <w:r w:rsidRPr="009A501D">
        <w:rPr>
          <w:rFonts w:ascii="Century Gothic" w:hAnsi="Century Gothic" w:cstheme="minorHAnsi"/>
          <w:sz w:val="19"/>
          <w:szCs w:val="19"/>
        </w:rPr>
        <w:t xml:space="preserve"> para los que </w:t>
      </w:r>
      <w:r w:rsidR="001B046D" w:rsidRPr="009A501D">
        <w:rPr>
          <w:rFonts w:ascii="Century Gothic" w:hAnsi="Century Gothic" w:cstheme="minorHAnsi"/>
          <w:sz w:val="19"/>
          <w:szCs w:val="19"/>
        </w:rPr>
        <w:t>se observaron</w:t>
      </w:r>
      <w:r w:rsidRPr="009A501D">
        <w:rPr>
          <w:rFonts w:ascii="Century Gothic" w:hAnsi="Century Gothic" w:cstheme="minorHAnsi"/>
          <w:sz w:val="19"/>
          <w:szCs w:val="19"/>
        </w:rPr>
        <w:t xml:space="preserve"> altas </w:t>
      </w:r>
      <w:r w:rsidR="005D53A2" w:rsidRPr="009A501D">
        <w:rPr>
          <w:rFonts w:ascii="Century Gothic" w:hAnsi="Century Gothic" w:cstheme="minorHAnsi"/>
          <w:i/>
          <w:iCs/>
          <w:sz w:val="19"/>
          <w:szCs w:val="19"/>
        </w:rPr>
        <w:t>t</w:t>
      </w:r>
      <w:r w:rsidRPr="009A501D">
        <w:rPr>
          <w:rFonts w:ascii="Century Gothic" w:hAnsi="Century Gothic" w:cstheme="minorHAnsi"/>
          <w:i/>
          <w:iCs/>
          <w:sz w:val="19"/>
          <w:szCs w:val="19"/>
        </w:rPr>
        <w:t xml:space="preserve">asas de </w:t>
      </w:r>
      <w:r w:rsidR="005D53A2" w:rsidRPr="009A501D">
        <w:rPr>
          <w:rFonts w:ascii="Century Gothic" w:hAnsi="Century Gothic" w:cstheme="minorHAnsi"/>
          <w:i/>
          <w:iCs/>
          <w:sz w:val="19"/>
          <w:szCs w:val="19"/>
        </w:rPr>
        <w:t>i</w:t>
      </w:r>
      <w:r w:rsidRPr="009A501D">
        <w:rPr>
          <w:rFonts w:ascii="Century Gothic" w:hAnsi="Century Gothic" w:cstheme="minorHAnsi"/>
          <w:i/>
          <w:iCs/>
          <w:sz w:val="19"/>
          <w:szCs w:val="19"/>
        </w:rPr>
        <w:t>mputación</w:t>
      </w:r>
      <w:r w:rsidR="001B046D" w:rsidRPr="009A501D">
        <w:rPr>
          <w:rFonts w:ascii="Century Gothic" w:hAnsi="Century Gothic" w:cstheme="minorHAnsi"/>
          <w:sz w:val="19"/>
          <w:szCs w:val="19"/>
        </w:rPr>
        <w:t xml:space="preserve"> en 2022</w:t>
      </w:r>
      <w:r w:rsidR="005D53A2" w:rsidRPr="009A501D">
        <w:rPr>
          <w:rFonts w:ascii="Century Gothic" w:hAnsi="Century Gothic" w:cstheme="minorHAnsi"/>
          <w:sz w:val="19"/>
          <w:szCs w:val="19"/>
        </w:rPr>
        <w:t>.</w:t>
      </w:r>
      <w:r w:rsidRPr="009A501D">
        <w:rPr>
          <w:rFonts w:ascii="Century Gothic" w:hAnsi="Century Gothic" w:cstheme="minorHAnsi"/>
          <w:sz w:val="19"/>
          <w:szCs w:val="19"/>
        </w:rPr>
        <w:t xml:space="preserve"> </w:t>
      </w:r>
      <w:r w:rsidR="005D53A2" w:rsidRPr="009A501D">
        <w:rPr>
          <w:rFonts w:ascii="Century Gothic" w:hAnsi="Century Gothic" w:cstheme="minorHAnsi"/>
          <w:sz w:val="19"/>
          <w:szCs w:val="19"/>
        </w:rPr>
        <w:t>P</w:t>
      </w:r>
      <w:r w:rsidRPr="009A501D">
        <w:rPr>
          <w:rFonts w:ascii="Century Gothic" w:hAnsi="Century Gothic" w:cstheme="minorHAnsi"/>
          <w:sz w:val="19"/>
          <w:szCs w:val="19"/>
        </w:rPr>
        <w:t>ara algunos de estos casos</w:t>
      </w:r>
      <w:r w:rsidR="003C5640" w:rsidRPr="009A501D">
        <w:rPr>
          <w:rFonts w:ascii="Century Gothic" w:hAnsi="Century Gothic" w:cstheme="minorHAnsi"/>
          <w:sz w:val="19"/>
          <w:szCs w:val="19"/>
        </w:rPr>
        <w:t>,</w:t>
      </w:r>
      <w:r w:rsidRPr="009A501D">
        <w:rPr>
          <w:rFonts w:ascii="Century Gothic" w:hAnsi="Century Gothic" w:cstheme="minorHAnsi"/>
          <w:sz w:val="19"/>
          <w:szCs w:val="19"/>
        </w:rPr>
        <w:t xml:space="preserve"> se observa</w:t>
      </w:r>
      <w:r w:rsidR="003C5640" w:rsidRPr="009A501D">
        <w:rPr>
          <w:rFonts w:ascii="Century Gothic" w:hAnsi="Century Gothic" w:cstheme="minorHAnsi"/>
          <w:sz w:val="19"/>
          <w:szCs w:val="19"/>
        </w:rPr>
        <w:t>n algunos</w:t>
      </w:r>
      <w:r w:rsidR="007C4D30" w:rsidRPr="009A501D">
        <w:rPr>
          <w:rFonts w:ascii="Century Gothic" w:hAnsi="Century Gothic" w:cstheme="minorHAnsi"/>
          <w:sz w:val="19"/>
          <w:szCs w:val="19"/>
        </w:rPr>
        <w:t xml:space="preserve"> </w:t>
      </w:r>
      <w:r w:rsidRPr="009A501D">
        <w:rPr>
          <w:rFonts w:ascii="Century Gothic" w:hAnsi="Century Gothic" w:cstheme="minorHAnsi"/>
          <w:sz w:val="19"/>
          <w:szCs w:val="19"/>
        </w:rPr>
        <w:t>incremento</w:t>
      </w:r>
      <w:r w:rsidR="000A3823" w:rsidRPr="009A501D">
        <w:rPr>
          <w:rFonts w:ascii="Century Gothic" w:hAnsi="Century Gothic" w:cstheme="minorHAnsi"/>
          <w:sz w:val="19"/>
          <w:szCs w:val="19"/>
        </w:rPr>
        <w:t>s</w:t>
      </w:r>
      <w:r w:rsidRPr="009A501D">
        <w:rPr>
          <w:rFonts w:ascii="Century Gothic" w:hAnsi="Century Gothic" w:cstheme="minorHAnsi"/>
          <w:sz w:val="19"/>
          <w:szCs w:val="19"/>
        </w:rPr>
        <w:t xml:space="preserve"> con relación al año inmediato anterior</w:t>
      </w:r>
      <w:r w:rsidR="005D53A2" w:rsidRPr="009A501D">
        <w:rPr>
          <w:rFonts w:ascii="Century Gothic" w:hAnsi="Century Gothic" w:cstheme="minorHAnsi"/>
          <w:sz w:val="19"/>
          <w:szCs w:val="19"/>
        </w:rPr>
        <w:t>.</w:t>
      </w:r>
      <w:r w:rsidR="00E420FC" w:rsidRPr="009A501D">
        <w:rPr>
          <w:rFonts w:ascii="Century Gothic" w:hAnsi="Century Gothic"/>
          <w:sz w:val="19"/>
          <w:szCs w:val="19"/>
        </w:rPr>
        <w:t xml:space="preserve"> </w:t>
      </w:r>
      <w:r w:rsidR="005D53A2" w:rsidRPr="009A501D">
        <w:rPr>
          <w:rFonts w:ascii="Century Gothic" w:hAnsi="Century Gothic"/>
          <w:sz w:val="19"/>
          <w:szCs w:val="19"/>
        </w:rPr>
        <w:t>E</w:t>
      </w:r>
      <w:r w:rsidR="00E420FC" w:rsidRPr="009A501D">
        <w:rPr>
          <w:rFonts w:ascii="Century Gothic" w:hAnsi="Century Gothic"/>
          <w:sz w:val="19"/>
          <w:szCs w:val="19"/>
        </w:rPr>
        <w:t xml:space="preserve">s </w:t>
      </w:r>
      <w:r w:rsidR="00EE4F8B" w:rsidRPr="009A501D">
        <w:rPr>
          <w:rFonts w:ascii="Century Gothic" w:hAnsi="Century Gothic"/>
          <w:sz w:val="19"/>
          <w:szCs w:val="19"/>
        </w:rPr>
        <w:t>necesario</w:t>
      </w:r>
      <w:r w:rsidR="00E420FC" w:rsidRPr="009A501D">
        <w:rPr>
          <w:rFonts w:ascii="Century Gothic" w:hAnsi="Century Gothic"/>
          <w:sz w:val="19"/>
          <w:szCs w:val="19"/>
        </w:rPr>
        <w:t xml:space="preserve"> realizar un análisis más profundo de los principales motivos.</w:t>
      </w:r>
    </w:p>
    <w:p w14:paraId="6915EE8D" w14:textId="27801D26" w:rsidR="00931152" w:rsidRPr="009A501D" w:rsidRDefault="00931152" w:rsidP="00664A1D">
      <w:pPr>
        <w:spacing w:before="240"/>
        <w:jc w:val="center"/>
        <w:rPr>
          <w:rFonts w:ascii="Century Gothic" w:hAnsi="Century Gothic" w:cstheme="minorHAnsi"/>
          <w:sz w:val="19"/>
          <w:szCs w:val="19"/>
        </w:rPr>
      </w:pPr>
      <w:r w:rsidRPr="009A501D">
        <w:rPr>
          <w:rFonts w:ascii="Century Gothic" w:hAnsi="Century Gothic"/>
          <w:b/>
          <w:sz w:val="19"/>
          <w:szCs w:val="19"/>
        </w:rPr>
        <w:t>III.</w:t>
      </w:r>
      <w:r w:rsidR="009B3A86" w:rsidRPr="009A501D">
        <w:rPr>
          <w:rFonts w:ascii="Century Gothic" w:hAnsi="Century Gothic"/>
          <w:b/>
          <w:sz w:val="19"/>
          <w:szCs w:val="19"/>
        </w:rPr>
        <w:t>5.C</w:t>
      </w:r>
      <w:r w:rsidRPr="009A501D">
        <w:rPr>
          <w:rFonts w:ascii="Century Gothic" w:hAnsi="Century Gothic"/>
          <w:b/>
          <w:sz w:val="19"/>
          <w:szCs w:val="19"/>
        </w:rPr>
        <w:t>.</w:t>
      </w:r>
      <w:r w:rsidR="00F327DA" w:rsidRPr="009A501D">
        <w:rPr>
          <w:rFonts w:ascii="Century Gothic" w:hAnsi="Century Gothic"/>
          <w:b/>
          <w:sz w:val="19"/>
          <w:szCs w:val="19"/>
        </w:rPr>
        <w:t>7</w:t>
      </w:r>
      <w:r w:rsidRPr="009A501D">
        <w:rPr>
          <w:rFonts w:ascii="Century Gothic" w:hAnsi="Century Gothic"/>
          <w:b/>
          <w:sz w:val="19"/>
          <w:szCs w:val="19"/>
        </w:rPr>
        <w:t xml:space="preserve"> </w:t>
      </w:r>
      <w:r w:rsidR="0051167B" w:rsidRPr="009A501D">
        <w:rPr>
          <w:rFonts w:ascii="Century Gothic" w:hAnsi="Century Gothic"/>
          <w:b/>
          <w:sz w:val="19"/>
          <w:szCs w:val="19"/>
        </w:rPr>
        <w:t>P</w:t>
      </w:r>
      <w:r w:rsidR="005F6B27" w:rsidRPr="009A501D">
        <w:rPr>
          <w:rFonts w:ascii="Century Gothic" w:hAnsi="Century Gothic"/>
          <w:b/>
          <w:sz w:val="19"/>
          <w:szCs w:val="19"/>
        </w:rPr>
        <w:t>rocesos de producción</w:t>
      </w:r>
      <w:r w:rsidRPr="009A501D">
        <w:rPr>
          <w:rFonts w:ascii="Century Gothic" w:hAnsi="Century Gothic"/>
          <w:b/>
          <w:sz w:val="19"/>
          <w:szCs w:val="19"/>
        </w:rPr>
        <w:t xml:space="preserve"> para los que se observan</w:t>
      </w:r>
      <w:r w:rsidR="0051167B" w:rsidRPr="009A501D">
        <w:rPr>
          <w:rFonts w:ascii="Century Gothic" w:hAnsi="Century Gothic"/>
          <w:b/>
          <w:sz w:val="19"/>
          <w:szCs w:val="19"/>
        </w:rPr>
        <w:t xml:space="preserve"> las diez</w:t>
      </w:r>
      <w:r w:rsidRPr="009A501D">
        <w:rPr>
          <w:rFonts w:ascii="Century Gothic" w:hAnsi="Century Gothic"/>
          <w:b/>
          <w:sz w:val="19"/>
          <w:szCs w:val="19"/>
        </w:rPr>
        <w:t xml:space="preserve"> tasas de imputación</w:t>
      </w:r>
      <w:r w:rsidR="0051167B" w:rsidRPr="009A501D">
        <w:rPr>
          <w:rFonts w:ascii="Century Gothic" w:hAnsi="Century Gothic"/>
          <w:b/>
          <w:sz w:val="19"/>
          <w:szCs w:val="19"/>
        </w:rPr>
        <w:t xml:space="preserve"> más altas en 2022</w:t>
      </w:r>
    </w:p>
    <w:tbl>
      <w:tblPr>
        <w:tblW w:w="9771" w:type="dxa"/>
        <w:jc w:val="center"/>
        <w:tblCellMar>
          <w:left w:w="70" w:type="dxa"/>
          <w:right w:w="70" w:type="dxa"/>
        </w:tblCellMar>
        <w:tblLook w:val="04A0" w:firstRow="1" w:lastRow="0" w:firstColumn="1" w:lastColumn="0" w:noHBand="0" w:noVBand="1"/>
      </w:tblPr>
      <w:tblGrid>
        <w:gridCol w:w="5519"/>
        <w:gridCol w:w="992"/>
        <w:gridCol w:w="992"/>
        <w:gridCol w:w="1134"/>
        <w:gridCol w:w="1134"/>
      </w:tblGrid>
      <w:tr w:rsidR="000F6852" w:rsidRPr="009A501D" w14:paraId="0BE5BA7D" w14:textId="77777777" w:rsidTr="00430123">
        <w:trPr>
          <w:trHeight w:val="135"/>
          <w:jc w:val="center"/>
        </w:trPr>
        <w:tc>
          <w:tcPr>
            <w:tcW w:w="5519" w:type="dxa"/>
            <w:vMerge w:val="restart"/>
            <w:tcBorders>
              <w:top w:val="single" w:sz="8" w:space="0" w:color="BFBFBF"/>
              <w:left w:val="single" w:sz="8" w:space="0" w:color="BFBFBF"/>
              <w:bottom w:val="single" w:sz="8" w:space="0" w:color="BFBFBF"/>
              <w:right w:val="single" w:sz="8" w:space="0" w:color="BFBFBF"/>
            </w:tcBorders>
            <w:shd w:val="clear" w:color="000000" w:fill="002060"/>
            <w:vAlign w:val="center"/>
            <w:hideMark/>
          </w:tcPr>
          <w:p w14:paraId="040131A2" w14:textId="77777777" w:rsidR="000F6852" w:rsidRPr="009A501D" w:rsidRDefault="000F6852" w:rsidP="00430123">
            <w:pPr>
              <w:spacing w:after="0" w:line="240" w:lineRule="auto"/>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Proceso</w:t>
            </w:r>
          </w:p>
        </w:tc>
        <w:tc>
          <w:tcPr>
            <w:tcW w:w="4252" w:type="dxa"/>
            <w:gridSpan w:val="4"/>
            <w:tcBorders>
              <w:top w:val="single" w:sz="8" w:space="0" w:color="BFBFBF"/>
              <w:left w:val="nil"/>
              <w:bottom w:val="single" w:sz="8" w:space="0" w:color="BFBFBF"/>
              <w:right w:val="single" w:sz="8" w:space="0" w:color="BFBFBF"/>
            </w:tcBorders>
            <w:shd w:val="clear" w:color="000000" w:fill="002060"/>
            <w:vAlign w:val="center"/>
            <w:hideMark/>
          </w:tcPr>
          <w:p w14:paraId="3CD9D5A4" w14:textId="77777777" w:rsidR="000F6852" w:rsidRPr="009A501D" w:rsidRDefault="000F6852" w:rsidP="00430123">
            <w:pPr>
              <w:spacing w:after="0" w:line="240" w:lineRule="auto"/>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 xml:space="preserve">Tasa de imputación (ponderada) </w:t>
            </w:r>
          </w:p>
        </w:tc>
      </w:tr>
      <w:tr w:rsidR="000F6852" w:rsidRPr="009A501D" w14:paraId="2B02779C" w14:textId="77777777" w:rsidTr="00430123">
        <w:trPr>
          <w:trHeight w:val="67"/>
          <w:jc w:val="center"/>
        </w:trPr>
        <w:tc>
          <w:tcPr>
            <w:tcW w:w="5519" w:type="dxa"/>
            <w:vMerge/>
            <w:tcBorders>
              <w:top w:val="single" w:sz="8" w:space="0" w:color="BFBFBF"/>
              <w:left w:val="single" w:sz="8" w:space="0" w:color="BFBFBF"/>
              <w:bottom w:val="single" w:sz="8" w:space="0" w:color="BFBFBF"/>
              <w:right w:val="single" w:sz="8" w:space="0" w:color="BFBFBF"/>
            </w:tcBorders>
            <w:vAlign w:val="center"/>
            <w:hideMark/>
          </w:tcPr>
          <w:p w14:paraId="073012F3" w14:textId="77777777" w:rsidR="000F6852" w:rsidRPr="009A501D" w:rsidRDefault="000F6852" w:rsidP="00430123">
            <w:pPr>
              <w:spacing w:after="0" w:line="240" w:lineRule="auto"/>
              <w:rPr>
                <w:rFonts w:ascii="Century Gothic" w:eastAsia="Times New Roman" w:hAnsi="Century Gothic" w:cs="Calibri"/>
                <w:b/>
                <w:bCs/>
                <w:color w:val="FFFFFF"/>
                <w:sz w:val="16"/>
                <w:szCs w:val="16"/>
                <w:lang w:eastAsia="es-MX"/>
              </w:rPr>
            </w:pPr>
          </w:p>
        </w:tc>
        <w:tc>
          <w:tcPr>
            <w:tcW w:w="992" w:type="dxa"/>
            <w:tcBorders>
              <w:top w:val="nil"/>
              <w:left w:val="nil"/>
              <w:bottom w:val="single" w:sz="8" w:space="0" w:color="BFBFBF"/>
              <w:right w:val="single" w:sz="8" w:space="0" w:color="BFBFBF"/>
            </w:tcBorders>
            <w:shd w:val="clear" w:color="000000" w:fill="002060"/>
            <w:noWrap/>
            <w:vAlign w:val="center"/>
            <w:hideMark/>
          </w:tcPr>
          <w:p w14:paraId="5A5396F8" w14:textId="77777777" w:rsidR="000F6852" w:rsidRPr="009A501D" w:rsidRDefault="000F6852" w:rsidP="00430123">
            <w:pPr>
              <w:spacing w:after="0" w:line="240" w:lineRule="auto"/>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2019</w:t>
            </w:r>
          </w:p>
        </w:tc>
        <w:tc>
          <w:tcPr>
            <w:tcW w:w="992" w:type="dxa"/>
            <w:tcBorders>
              <w:top w:val="nil"/>
              <w:left w:val="nil"/>
              <w:bottom w:val="single" w:sz="8" w:space="0" w:color="BFBFBF"/>
              <w:right w:val="single" w:sz="8" w:space="0" w:color="BFBFBF"/>
            </w:tcBorders>
            <w:shd w:val="clear" w:color="000000" w:fill="002060"/>
            <w:noWrap/>
            <w:vAlign w:val="center"/>
            <w:hideMark/>
          </w:tcPr>
          <w:p w14:paraId="53D385C1" w14:textId="77777777" w:rsidR="000F6852" w:rsidRPr="009A501D" w:rsidRDefault="000F6852" w:rsidP="00430123">
            <w:pPr>
              <w:spacing w:after="0" w:line="240" w:lineRule="auto"/>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2020</w:t>
            </w:r>
          </w:p>
        </w:tc>
        <w:tc>
          <w:tcPr>
            <w:tcW w:w="1134" w:type="dxa"/>
            <w:tcBorders>
              <w:top w:val="nil"/>
              <w:left w:val="nil"/>
              <w:bottom w:val="single" w:sz="8" w:space="0" w:color="BFBFBF"/>
              <w:right w:val="single" w:sz="8" w:space="0" w:color="BFBFBF"/>
            </w:tcBorders>
            <w:shd w:val="clear" w:color="000000" w:fill="002060"/>
            <w:noWrap/>
            <w:vAlign w:val="center"/>
            <w:hideMark/>
          </w:tcPr>
          <w:p w14:paraId="74BF18E6" w14:textId="77777777" w:rsidR="000F6852" w:rsidRPr="009A501D" w:rsidRDefault="000F6852" w:rsidP="00430123">
            <w:pPr>
              <w:spacing w:after="0" w:line="240" w:lineRule="auto"/>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2021</w:t>
            </w:r>
          </w:p>
        </w:tc>
        <w:tc>
          <w:tcPr>
            <w:tcW w:w="1134" w:type="dxa"/>
            <w:tcBorders>
              <w:top w:val="nil"/>
              <w:left w:val="nil"/>
              <w:bottom w:val="single" w:sz="8" w:space="0" w:color="BFBFBF"/>
              <w:right w:val="single" w:sz="8" w:space="0" w:color="BFBFBF"/>
            </w:tcBorders>
            <w:shd w:val="clear" w:color="000000" w:fill="002060"/>
            <w:noWrap/>
            <w:vAlign w:val="center"/>
            <w:hideMark/>
          </w:tcPr>
          <w:p w14:paraId="622B1CF3" w14:textId="77777777" w:rsidR="000F6852" w:rsidRPr="009A501D" w:rsidRDefault="000F6852" w:rsidP="00430123">
            <w:pPr>
              <w:spacing w:after="0" w:line="240" w:lineRule="auto"/>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2022*</w:t>
            </w:r>
          </w:p>
        </w:tc>
      </w:tr>
      <w:tr w:rsidR="000F6852" w:rsidRPr="009A501D" w14:paraId="15D96AA0" w14:textId="77777777" w:rsidTr="00430123">
        <w:trPr>
          <w:trHeight w:val="200"/>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18B373A4"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Anual de Comercio (EAC)</w:t>
            </w:r>
          </w:p>
        </w:tc>
        <w:tc>
          <w:tcPr>
            <w:tcW w:w="992" w:type="dxa"/>
            <w:tcBorders>
              <w:top w:val="nil"/>
              <w:left w:val="nil"/>
              <w:bottom w:val="single" w:sz="8" w:space="0" w:color="BFBFBF"/>
              <w:right w:val="single" w:sz="8" w:space="0" w:color="BFBFBF"/>
            </w:tcBorders>
            <w:shd w:val="clear" w:color="000000" w:fill="FFFFFF"/>
            <w:noWrap/>
            <w:vAlign w:val="center"/>
            <w:hideMark/>
          </w:tcPr>
          <w:p w14:paraId="3768177F"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2F5A3077"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1134" w:type="dxa"/>
            <w:tcBorders>
              <w:top w:val="nil"/>
              <w:left w:val="nil"/>
              <w:bottom w:val="single" w:sz="8" w:space="0" w:color="BFBFBF"/>
              <w:right w:val="single" w:sz="8" w:space="0" w:color="BFBFBF"/>
            </w:tcBorders>
            <w:shd w:val="clear" w:color="000000" w:fill="FFFFFF"/>
            <w:noWrap/>
            <w:vAlign w:val="center"/>
            <w:hideMark/>
          </w:tcPr>
          <w:p w14:paraId="32020A17"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22%</w:t>
            </w:r>
          </w:p>
        </w:tc>
        <w:tc>
          <w:tcPr>
            <w:tcW w:w="1134" w:type="dxa"/>
            <w:tcBorders>
              <w:top w:val="nil"/>
              <w:left w:val="nil"/>
              <w:bottom w:val="single" w:sz="8" w:space="0" w:color="BFBFBF"/>
              <w:right w:val="single" w:sz="8" w:space="0" w:color="BFBFBF"/>
            </w:tcBorders>
            <w:shd w:val="clear" w:color="000000" w:fill="FFFFFF"/>
            <w:noWrap/>
            <w:vAlign w:val="center"/>
            <w:hideMark/>
          </w:tcPr>
          <w:p w14:paraId="1349EB6D"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20%</w:t>
            </w:r>
          </w:p>
        </w:tc>
      </w:tr>
      <w:tr w:rsidR="000F6852" w:rsidRPr="009A501D" w14:paraId="013E275B" w14:textId="77777777" w:rsidTr="00430123">
        <w:trPr>
          <w:trHeight w:val="118"/>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50DC2E2D"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Anual de Empresas Constructoras (EAEC)</w:t>
            </w:r>
          </w:p>
        </w:tc>
        <w:tc>
          <w:tcPr>
            <w:tcW w:w="992" w:type="dxa"/>
            <w:tcBorders>
              <w:top w:val="nil"/>
              <w:left w:val="nil"/>
              <w:bottom w:val="single" w:sz="8" w:space="0" w:color="BFBFBF"/>
              <w:right w:val="single" w:sz="8" w:space="0" w:color="BFBFBF"/>
            </w:tcBorders>
            <w:shd w:val="clear" w:color="000000" w:fill="FFFFFF"/>
            <w:noWrap/>
            <w:vAlign w:val="center"/>
            <w:hideMark/>
          </w:tcPr>
          <w:p w14:paraId="29E45B13"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3886C2DE"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15%</w:t>
            </w:r>
          </w:p>
        </w:tc>
        <w:tc>
          <w:tcPr>
            <w:tcW w:w="1134" w:type="dxa"/>
            <w:tcBorders>
              <w:top w:val="nil"/>
              <w:left w:val="nil"/>
              <w:bottom w:val="single" w:sz="8" w:space="0" w:color="BFBFBF"/>
              <w:right w:val="single" w:sz="8" w:space="0" w:color="BFBFBF"/>
            </w:tcBorders>
            <w:shd w:val="clear" w:color="000000" w:fill="FFFFFF"/>
            <w:noWrap/>
            <w:vAlign w:val="center"/>
            <w:hideMark/>
          </w:tcPr>
          <w:p w14:paraId="24EE85C2"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13%</w:t>
            </w:r>
          </w:p>
        </w:tc>
        <w:tc>
          <w:tcPr>
            <w:tcW w:w="1134" w:type="dxa"/>
            <w:tcBorders>
              <w:top w:val="nil"/>
              <w:left w:val="nil"/>
              <w:bottom w:val="single" w:sz="8" w:space="0" w:color="BFBFBF"/>
              <w:right w:val="single" w:sz="8" w:space="0" w:color="BFBFBF"/>
            </w:tcBorders>
            <w:shd w:val="clear" w:color="000000" w:fill="FFFFFF"/>
            <w:noWrap/>
            <w:vAlign w:val="center"/>
            <w:hideMark/>
          </w:tcPr>
          <w:p w14:paraId="6D8E2569"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13%</w:t>
            </w:r>
          </w:p>
        </w:tc>
      </w:tr>
      <w:tr w:rsidR="000F6852" w:rsidRPr="009A501D" w14:paraId="1580EB83" w14:textId="77777777" w:rsidTr="00430123">
        <w:trPr>
          <w:trHeight w:val="19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48788B6D"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Anual de la Industria Manufacturera (EAIM)</w:t>
            </w:r>
          </w:p>
        </w:tc>
        <w:tc>
          <w:tcPr>
            <w:tcW w:w="992" w:type="dxa"/>
            <w:tcBorders>
              <w:top w:val="nil"/>
              <w:left w:val="nil"/>
              <w:bottom w:val="single" w:sz="8" w:space="0" w:color="BFBFBF"/>
              <w:right w:val="single" w:sz="8" w:space="0" w:color="BFBFBF"/>
            </w:tcBorders>
            <w:shd w:val="clear" w:color="000000" w:fill="FFFFFF"/>
            <w:noWrap/>
            <w:vAlign w:val="center"/>
            <w:hideMark/>
          </w:tcPr>
          <w:p w14:paraId="5389A55F"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629A0B78"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16%</w:t>
            </w:r>
          </w:p>
        </w:tc>
        <w:tc>
          <w:tcPr>
            <w:tcW w:w="1134" w:type="dxa"/>
            <w:tcBorders>
              <w:top w:val="nil"/>
              <w:left w:val="nil"/>
              <w:bottom w:val="single" w:sz="8" w:space="0" w:color="BFBFBF"/>
              <w:right w:val="single" w:sz="8" w:space="0" w:color="BFBFBF"/>
            </w:tcBorders>
            <w:shd w:val="clear" w:color="000000" w:fill="FFFFFF"/>
            <w:noWrap/>
            <w:vAlign w:val="center"/>
            <w:hideMark/>
          </w:tcPr>
          <w:p w14:paraId="4AB6F241"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14%</w:t>
            </w:r>
          </w:p>
        </w:tc>
        <w:tc>
          <w:tcPr>
            <w:tcW w:w="1134" w:type="dxa"/>
            <w:tcBorders>
              <w:top w:val="nil"/>
              <w:left w:val="nil"/>
              <w:bottom w:val="single" w:sz="8" w:space="0" w:color="BFBFBF"/>
              <w:right w:val="single" w:sz="8" w:space="0" w:color="BFBFBF"/>
            </w:tcBorders>
            <w:shd w:val="clear" w:color="000000" w:fill="FFFFFF"/>
            <w:noWrap/>
            <w:vAlign w:val="center"/>
            <w:hideMark/>
          </w:tcPr>
          <w:p w14:paraId="67788486"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w:t>
            </w:r>
          </w:p>
        </w:tc>
      </w:tr>
      <w:tr w:rsidR="000F6852" w:rsidRPr="009A501D" w14:paraId="5A4B29A3" w14:textId="77777777" w:rsidTr="00430123">
        <w:trPr>
          <w:trHeight w:val="110"/>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0DD7CA79"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Anual de Servicios Privados no Financieros (EASPNF)</w:t>
            </w:r>
          </w:p>
        </w:tc>
        <w:tc>
          <w:tcPr>
            <w:tcW w:w="992" w:type="dxa"/>
            <w:tcBorders>
              <w:top w:val="nil"/>
              <w:left w:val="nil"/>
              <w:bottom w:val="single" w:sz="8" w:space="0" w:color="BFBFBF"/>
              <w:right w:val="single" w:sz="8" w:space="0" w:color="BFBFBF"/>
            </w:tcBorders>
            <w:shd w:val="clear" w:color="000000" w:fill="FFFFFF"/>
            <w:noWrap/>
            <w:vAlign w:val="center"/>
            <w:hideMark/>
          </w:tcPr>
          <w:p w14:paraId="2A7F3B2E"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6E0E2887"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1134" w:type="dxa"/>
            <w:tcBorders>
              <w:top w:val="nil"/>
              <w:left w:val="nil"/>
              <w:bottom w:val="single" w:sz="8" w:space="0" w:color="BFBFBF"/>
              <w:right w:val="single" w:sz="8" w:space="0" w:color="BFBFBF"/>
            </w:tcBorders>
            <w:shd w:val="clear" w:color="000000" w:fill="FFFFFF"/>
            <w:noWrap/>
            <w:vAlign w:val="center"/>
            <w:hideMark/>
          </w:tcPr>
          <w:p w14:paraId="3035B490"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25%</w:t>
            </w:r>
          </w:p>
        </w:tc>
        <w:tc>
          <w:tcPr>
            <w:tcW w:w="1134" w:type="dxa"/>
            <w:tcBorders>
              <w:top w:val="nil"/>
              <w:left w:val="nil"/>
              <w:bottom w:val="single" w:sz="8" w:space="0" w:color="BFBFBF"/>
              <w:right w:val="single" w:sz="8" w:space="0" w:color="BFBFBF"/>
            </w:tcBorders>
            <w:shd w:val="clear" w:color="000000" w:fill="FFFFFF"/>
            <w:noWrap/>
            <w:vAlign w:val="center"/>
            <w:hideMark/>
          </w:tcPr>
          <w:p w14:paraId="175CB2FC"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20%</w:t>
            </w:r>
          </w:p>
        </w:tc>
      </w:tr>
      <w:tr w:rsidR="000F6852" w:rsidRPr="009A501D" w14:paraId="30B4DD7C"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108945FB"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Anual de Transportes (EAT)</w:t>
            </w:r>
          </w:p>
        </w:tc>
        <w:tc>
          <w:tcPr>
            <w:tcW w:w="992" w:type="dxa"/>
            <w:tcBorders>
              <w:top w:val="nil"/>
              <w:left w:val="nil"/>
              <w:bottom w:val="single" w:sz="8" w:space="0" w:color="BFBFBF"/>
              <w:right w:val="single" w:sz="8" w:space="0" w:color="BFBFBF"/>
            </w:tcBorders>
            <w:shd w:val="clear" w:color="000000" w:fill="FFFFFF"/>
            <w:noWrap/>
            <w:vAlign w:val="center"/>
            <w:hideMark/>
          </w:tcPr>
          <w:p w14:paraId="7D4E7A02"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46AB9809"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1134" w:type="dxa"/>
            <w:tcBorders>
              <w:top w:val="nil"/>
              <w:left w:val="nil"/>
              <w:bottom w:val="single" w:sz="8" w:space="0" w:color="BFBFBF"/>
              <w:right w:val="single" w:sz="8" w:space="0" w:color="BFBFBF"/>
            </w:tcBorders>
            <w:shd w:val="clear" w:color="000000" w:fill="FFFFFF"/>
            <w:noWrap/>
            <w:vAlign w:val="center"/>
            <w:hideMark/>
          </w:tcPr>
          <w:p w14:paraId="3FF46E1B"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39%</w:t>
            </w:r>
          </w:p>
        </w:tc>
        <w:tc>
          <w:tcPr>
            <w:tcW w:w="1134" w:type="dxa"/>
            <w:tcBorders>
              <w:top w:val="nil"/>
              <w:left w:val="nil"/>
              <w:bottom w:val="single" w:sz="8" w:space="0" w:color="BFBFBF"/>
              <w:right w:val="single" w:sz="8" w:space="0" w:color="BFBFBF"/>
            </w:tcBorders>
            <w:shd w:val="clear" w:color="000000" w:fill="FFFFFF"/>
            <w:noWrap/>
            <w:vAlign w:val="center"/>
            <w:hideMark/>
          </w:tcPr>
          <w:p w14:paraId="1F30DDAC"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33%</w:t>
            </w:r>
          </w:p>
        </w:tc>
      </w:tr>
      <w:tr w:rsidR="000F6852" w:rsidRPr="009A501D" w14:paraId="5061A8F2"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25A1BB42"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Mensual sobre Empresas Comerciales (EMEC)</w:t>
            </w:r>
          </w:p>
        </w:tc>
        <w:tc>
          <w:tcPr>
            <w:tcW w:w="992" w:type="dxa"/>
            <w:tcBorders>
              <w:top w:val="nil"/>
              <w:left w:val="nil"/>
              <w:bottom w:val="single" w:sz="8" w:space="0" w:color="BFBFBF"/>
              <w:right w:val="single" w:sz="8" w:space="0" w:color="BFBFBF"/>
            </w:tcBorders>
            <w:shd w:val="clear" w:color="000000" w:fill="FFFFFF"/>
            <w:noWrap/>
            <w:vAlign w:val="center"/>
            <w:hideMark/>
          </w:tcPr>
          <w:p w14:paraId="4899AB51"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6%</w:t>
            </w:r>
          </w:p>
        </w:tc>
        <w:tc>
          <w:tcPr>
            <w:tcW w:w="992" w:type="dxa"/>
            <w:tcBorders>
              <w:top w:val="nil"/>
              <w:left w:val="nil"/>
              <w:bottom w:val="single" w:sz="8" w:space="0" w:color="BFBFBF"/>
              <w:right w:val="single" w:sz="8" w:space="0" w:color="BFBFBF"/>
            </w:tcBorders>
            <w:shd w:val="clear" w:color="000000" w:fill="FFFFFF"/>
            <w:noWrap/>
            <w:vAlign w:val="center"/>
            <w:hideMark/>
          </w:tcPr>
          <w:p w14:paraId="4A4E222F"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22%</w:t>
            </w:r>
          </w:p>
        </w:tc>
        <w:tc>
          <w:tcPr>
            <w:tcW w:w="1134" w:type="dxa"/>
            <w:tcBorders>
              <w:top w:val="nil"/>
              <w:left w:val="nil"/>
              <w:bottom w:val="single" w:sz="8" w:space="0" w:color="BFBFBF"/>
              <w:right w:val="single" w:sz="8" w:space="0" w:color="BFBFBF"/>
            </w:tcBorders>
            <w:shd w:val="clear" w:color="000000" w:fill="FFFFFF"/>
            <w:noWrap/>
            <w:vAlign w:val="center"/>
            <w:hideMark/>
          </w:tcPr>
          <w:p w14:paraId="32824429"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23%</w:t>
            </w:r>
          </w:p>
        </w:tc>
        <w:tc>
          <w:tcPr>
            <w:tcW w:w="1134" w:type="dxa"/>
            <w:tcBorders>
              <w:top w:val="nil"/>
              <w:left w:val="nil"/>
              <w:bottom w:val="single" w:sz="8" w:space="0" w:color="BFBFBF"/>
              <w:right w:val="single" w:sz="8" w:space="0" w:color="BFBFBF"/>
            </w:tcBorders>
            <w:shd w:val="clear" w:color="000000" w:fill="FFFFFF"/>
            <w:noWrap/>
            <w:vAlign w:val="center"/>
            <w:hideMark/>
          </w:tcPr>
          <w:p w14:paraId="4A7D9FA0"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13%</w:t>
            </w:r>
          </w:p>
        </w:tc>
      </w:tr>
      <w:tr w:rsidR="000F6852" w:rsidRPr="009A501D" w14:paraId="75CA9B6F"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4D9B345D"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Mensual de la Industria Manufacturera (EMIM)</w:t>
            </w:r>
          </w:p>
        </w:tc>
        <w:tc>
          <w:tcPr>
            <w:tcW w:w="992" w:type="dxa"/>
            <w:tcBorders>
              <w:top w:val="nil"/>
              <w:left w:val="nil"/>
              <w:bottom w:val="single" w:sz="8" w:space="0" w:color="BFBFBF"/>
              <w:right w:val="single" w:sz="8" w:space="0" w:color="BFBFBF"/>
            </w:tcBorders>
            <w:shd w:val="clear" w:color="000000" w:fill="FFFFFF"/>
            <w:noWrap/>
            <w:vAlign w:val="center"/>
            <w:hideMark/>
          </w:tcPr>
          <w:p w14:paraId="5634B591"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5%</w:t>
            </w:r>
          </w:p>
        </w:tc>
        <w:tc>
          <w:tcPr>
            <w:tcW w:w="992" w:type="dxa"/>
            <w:tcBorders>
              <w:top w:val="nil"/>
              <w:left w:val="nil"/>
              <w:bottom w:val="single" w:sz="8" w:space="0" w:color="BFBFBF"/>
              <w:right w:val="single" w:sz="8" w:space="0" w:color="BFBFBF"/>
            </w:tcBorders>
            <w:shd w:val="clear" w:color="000000" w:fill="FFFFFF"/>
            <w:noWrap/>
            <w:vAlign w:val="center"/>
            <w:hideMark/>
          </w:tcPr>
          <w:p w14:paraId="3F265717"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15%</w:t>
            </w:r>
          </w:p>
        </w:tc>
        <w:tc>
          <w:tcPr>
            <w:tcW w:w="1134" w:type="dxa"/>
            <w:tcBorders>
              <w:top w:val="nil"/>
              <w:left w:val="nil"/>
              <w:bottom w:val="single" w:sz="8" w:space="0" w:color="BFBFBF"/>
              <w:right w:val="single" w:sz="8" w:space="0" w:color="BFBFBF"/>
            </w:tcBorders>
            <w:shd w:val="clear" w:color="000000" w:fill="FFFFFF"/>
            <w:noWrap/>
            <w:vAlign w:val="center"/>
            <w:hideMark/>
          </w:tcPr>
          <w:p w14:paraId="3CE7D7E9"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15%</w:t>
            </w:r>
          </w:p>
        </w:tc>
        <w:tc>
          <w:tcPr>
            <w:tcW w:w="1134" w:type="dxa"/>
            <w:tcBorders>
              <w:top w:val="nil"/>
              <w:left w:val="nil"/>
              <w:bottom w:val="single" w:sz="8" w:space="0" w:color="BFBFBF"/>
              <w:right w:val="single" w:sz="8" w:space="0" w:color="BFBFBF"/>
            </w:tcBorders>
            <w:shd w:val="clear" w:color="000000" w:fill="FFFFFF"/>
            <w:noWrap/>
            <w:vAlign w:val="center"/>
            <w:hideMark/>
          </w:tcPr>
          <w:p w14:paraId="2552D538"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11%</w:t>
            </w:r>
          </w:p>
        </w:tc>
      </w:tr>
      <w:tr w:rsidR="000F6852" w:rsidRPr="009A501D" w14:paraId="6E9C8C63"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78B9E636"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lastRenderedPageBreak/>
              <w:t>Encuesta Mensual de Opinión Empresarial (EMOE) - COMERCIO</w:t>
            </w:r>
          </w:p>
        </w:tc>
        <w:tc>
          <w:tcPr>
            <w:tcW w:w="992" w:type="dxa"/>
            <w:tcBorders>
              <w:top w:val="nil"/>
              <w:left w:val="nil"/>
              <w:bottom w:val="single" w:sz="8" w:space="0" w:color="BFBFBF"/>
              <w:right w:val="single" w:sz="8" w:space="0" w:color="BFBFBF"/>
            </w:tcBorders>
            <w:shd w:val="clear" w:color="000000" w:fill="FFFFFF"/>
            <w:noWrap/>
            <w:vAlign w:val="center"/>
            <w:hideMark/>
          </w:tcPr>
          <w:p w14:paraId="0EC18D3F"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32546575"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15%</w:t>
            </w:r>
          </w:p>
        </w:tc>
        <w:tc>
          <w:tcPr>
            <w:tcW w:w="1134" w:type="dxa"/>
            <w:tcBorders>
              <w:top w:val="nil"/>
              <w:left w:val="nil"/>
              <w:bottom w:val="single" w:sz="8" w:space="0" w:color="BFBFBF"/>
              <w:right w:val="single" w:sz="8" w:space="0" w:color="BFBFBF"/>
            </w:tcBorders>
            <w:shd w:val="clear" w:color="000000" w:fill="FFFFFF"/>
            <w:noWrap/>
            <w:vAlign w:val="center"/>
            <w:hideMark/>
          </w:tcPr>
          <w:p w14:paraId="6AC4FC7D"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15%</w:t>
            </w:r>
          </w:p>
        </w:tc>
        <w:tc>
          <w:tcPr>
            <w:tcW w:w="1134" w:type="dxa"/>
            <w:vMerge w:val="restart"/>
            <w:tcBorders>
              <w:top w:val="nil"/>
              <w:left w:val="single" w:sz="8" w:space="0" w:color="BFBFBF"/>
              <w:bottom w:val="single" w:sz="8" w:space="0" w:color="BFBFBF"/>
              <w:right w:val="single" w:sz="8" w:space="0" w:color="BFBFBF"/>
            </w:tcBorders>
            <w:shd w:val="clear" w:color="000000" w:fill="FFFFFF"/>
            <w:noWrap/>
            <w:vAlign w:val="center"/>
            <w:hideMark/>
          </w:tcPr>
          <w:p w14:paraId="22173016"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18%</w:t>
            </w:r>
          </w:p>
        </w:tc>
      </w:tr>
      <w:tr w:rsidR="000F6852" w:rsidRPr="009A501D" w14:paraId="0ED9FA5F" w14:textId="77777777" w:rsidTr="00430123">
        <w:trPr>
          <w:trHeight w:val="168"/>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06C2AE5A"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Mensual de Opinión Empresarial (EMOE) - CONSTRUCCIÓN</w:t>
            </w:r>
          </w:p>
        </w:tc>
        <w:tc>
          <w:tcPr>
            <w:tcW w:w="992" w:type="dxa"/>
            <w:tcBorders>
              <w:top w:val="nil"/>
              <w:left w:val="nil"/>
              <w:bottom w:val="single" w:sz="8" w:space="0" w:color="BFBFBF"/>
              <w:right w:val="single" w:sz="8" w:space="0" w:color="BFBFBF"/>
            </w:tcBorders>
            <w:shd w:val="clear" w:color="000000" w:fill="FFFFFF"/>
            <w:noWrap/>
            <w:vAlign w:val="center"/>
            <w:hideMark/>
          </w:tcPr>
          <w:p w14:paraId="75A753E3"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2F4A1737"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20%</w:t>
            </w:r>
          </w:p>
        </w:tc>
        <w:tc>
          <w:tcPr>
            <w:tcW w:w="1134" w:type="dxa"/>
            <w:tcBorders>
              <w:top w:val="nil"/>
              <w:left w:val="nil"/>
              <w:bottom w:val="single" w:sz="8" w:space="0" w:color="BFBFBF"/>
              <w:right w:val="single" w:sz="8" w:space="0" w:color="BFBFBF"/>
            </w:tcBorders>
            <w:shd w:val="clear" w:color="000000" w:fill="FFFFFF"/>
            <w:noWrap/>
            <w:vAlign w:val="center"/>
            <w:hideMark/>
          </w:tcPr>
          <w:p w14:paraId="48695440"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22%</w:t>
            </w:r>
          </w:p>
        </w:tc>
        <w:tc>
          <w:tcPr>
            <w:tcW w:w="1134" w:type="dxa"/>
            <w:vMerge/>
            <w:tcBorders>
              <w:top w:val="nil"/>
              <w:left w:val="single" w:sz="8" w:space="0" w:color="BFBFBF"/>
              <w:bottom w:val="single" w:sz="8" w:space="0" w:color="BFBFBF"/>
              <w:right w:val="single" w:sz="8" w:space="0" w:color="BFBFBF"/>
            </w:tcBorders>
            <w:vAlign w:val="center"/>
            <w:hideMark/>
          </w:tcPr>
          <w:p w14:paraId="0BD1E8BB"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p>
        </w:tc>
      </w:tr>
      <w:tr w:rsidR="000F6852" w:rsidRPr="009A501D" w14:paraId="7630ECFA" w14:textId="77777777" w:rsidTr="00430123">
        <w:trPr>
          <w:trHeight w:val="101"/>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5B66B6F9"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Mensual de Opinión Empresarial (EMOE) - MANUFACTURA</w:t>
            </w:r>
          </w:p>
        </w:tc>
        <w:tc>
          <w:tcPr>
            <w:tcW w:w="992" w:type="dxa"/>
            <w:tcBorders>
              <w:top w:val="nil"/>
              <w:left w:val="nil"/>
              <w:bottom w:val="single" w:sz="8" w:space="0" w:color="BFBFBF"/>
              <w:right w:val="single" w:sz="8" w:space="0" w:color="BFBFBF"/>
            </w:tcBorders>
            <w:shd w:val="clear" w:color="000000" w:fill="FFFFFF"/>
            <w:noWrap/>
            <w:vAlign w:val="center"/>
            <w:hideMark/>
          </w:tcPr>
          <w:p w14:paraId="0E864B99"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510ED797"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8%</w:t>
            </w:r>
          </w:p>
        </w:tc>
        <w:tc>
          <w:tcPr>
            <w:tcW w:w="1134" w:type="dxa"/>
            <w:tcBorders>
              <w:top w:val="nil"/>
              <w:left w:val="nil"/>
              <w:bottom w:val="single" w:sz="8" w:space="0" w:color="BFBFBF"/>
              <w:right w:val="single" w:sz="8" w:space="0" w:color="BFBFBF"/>
            </w:tcBorders>
            <w:shd w:val="clear" w:color="000000" w:fill="FFFFFF"/>
            <w:noWrap/>
            <w:vAlign w:val="center"/>
            <w:hideMark/>
          </w:tcPr>
          <w:p w14:paraId="41719FBC"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w:t>
            </w:r>
          </w:p>
        </w:tc>
        <w:tc>
          <w:tcPr>
            <w:tcW w:w="1134" w:type="dxa"/>
            <w:vMerge/>
            <w:tcBorders>
              <w:top w:val="nil"/>
              <w:left w:val="single" w:sz="8" w:space="0" w:color="BFBFBF"/>
              <w:bottom w:val="single" w:sz="8" w:space="0" w:color="BFBFBF"/>
              <w:right w:val="single" w:sz="8" w:space="0" w:color="BFBFBF"/>
            </w:tcBorders>
            <w:vAlign w:val="center"/>
            <w:hideMark/>
          </w:tcPr>
          <w:p w14:paraId="3F09CE02"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p>
        </w:tc>
      </w:tr>
      <w:tr w:rsidR="000F6852" w:rsidRPr="009A501D" w14:paraId="3018E4CD"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4E00333F"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Mensual de Opinión Empresarial (EMOE) - SERVICIOS</w:t>
            </w:r>
          </w:p>
        </w:tc>
        <w:tc>
          <w:tcPr>
            <w:tcW w:w="992" w:type="dxa"/>
            <w:tcBorders>
              <w:top w:val="nil"/>
              <w:left w:val="nil"/>
              <w:bottom w:val="single" w:sz="8" w:space="0" w:color="BFBFBF"/>
              <w:right w:val="single" w:sz="8" w:space="0" w:color="BFBFBF"/>
            </w:tcBorders>
            <w:shd w:val="clear" w:color="000000" w:fill="FFFFFF"/>
            <w:noWrap/>
            <w:vAlign w:val="center"/>
            <w:hideMark/>
          </w:tcPr>
          <w:p w14:paraId="78BADE9C"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33FB0800"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25%</w:t>
            </w:r>
          </w:p>
        </w:tc>
        <w:tc>
          <w:tcPr>
            <w:tcW w:w="1134" w:type="dxa"/>
            <w:tcBorders>
              <w:top w:val="nil"/>
              <w:left w:val="nil"/>
              <w:bottom w:val="single" w:sz="8" w:space="0" w:color="BFBFBF"/>
              <w:right w:val="single" w:sz="8" w:space="0" w:color="BFBFBF"/>
            </w:tcBorders>
            <w:shd w:val="clear" w:color="000000" w:fill="FFFFFF"/>
            <w:noWrap/>
            <w:vAlign w:val="center"/>
            <w:hideMark/>
          </w:tcPr>
          <w:p w14:paraId="406EAF42"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24%</w:t>
            </w:r>
          </w:p>
        </w:tc>
        <w:tc>
          <w:tcPr>
            <w:tcW w:w="1134" w:type="dxa"/>
            <w:vMerge/>
            <w:tcBorders>
              <w:top w:val="nil"/>
              <w:left w:val="single" w:sz="8" w:space="0" w:color="BFBFBF"/>
              <w:bottom w:val="single" w:sz="8" w:space="0" w:color="BFBFBF"/>
              <w:right w:val="single" w:sz="8" w:space="0" w:color="BFBFBF"/>
            </w:tcBorders>
            <w:vAlign w:val="center"/>
            <w:hideMark/>
          </w:tcPr>
          <w:p w14:paraId="714646D9"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p>
        </w:tc>
      </w:tr>
      <w:tr w:rsidR="000F6852" w:rsidRPr="009A501D" w14:paraId="026C796E"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460E4A97"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Mensual de Servicios (EMS)</w:t>
            </w:r>
          </w:p>
        </w:tc>
        <w:tc>
          <w:tcPr>
            <w:tcW w:w="992" w:type="dxa"/>
            <w:tcBorders>
              <w:top w:val="nil"/>
              <w:left w:val="nil"/>
              <w:bottom w:val="single" w:sz="8" w:space="0" w:color="BFBFBF"/>
              <w:right w:val="single" w:sz="8" w:space="0" w:color="BFBFBF"/>
            </w:tcBorders>
            <w:shd w:val="clear" w:color="000000" w:fill="FFFFFF"/>
            <w:noWrap/>
            <w:vAlign w:val="center"/>
            <w:hideMark/>
          </w:tcPr>
          <w:p w14:paraId="2D504C96"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w:t>
            </w:r>
          </w:p>
        </w:tc>
        <w:tc>
          <w:tcPr>
            <w:tcW w:w="992" w:type="dxa"/>
            <w:tcBorders>
              <w:top w:val="nil"/>
              <w:left w:val="nil"/>
              <w:bottom w:val="single" w:sz="8" w:space="0" w:color="BFBFBF"/>
              <w:right w:val="single" w:sz="8" w:space="0" w:color="BFBFBF"/>
            </w:tcBorders>
            <w:shd w:val="clear" w:color="000000" w:fill="FFFFFF"/>
            <w:noWrap/>
            <w:vAlign w:val="center"/>
            <w:hideMark/>
          </w:tcPr>
          <w:p w14:paraId="7C96E623"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31%</w:t>
            </w:r>
          </w:p>
        </w:tc>
        <w:tc>
          <w:tcPr>
            <w:tcW w:w="1134" w:type="dxa"/>
            <w:tcBorders>
              <w:top w:val="nil"/>
              <w:left w:val="nil"/>
              <w:bottom w:val="single" w:sz="8" w:space="0" w:color="BFBFBF"/>
              <w:right w:val="single" w:sz="8" w:space="0" w:color="BFBFBF"/>
            </w:tcBorders>
            <w:shd w:val="clear" w:color="000000" w:fill="FFFFFF"/>
            <w:noWrap/>
            <w:vAlign w:val="center"/>
            <w:hideMark/>
          </w:tcPr>
          <w:p w14:paraId="4407D024"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33%</w:t>
            </w:r>
          </w:p>
        </w:tc>
        <w:tc>
          <w:tcPr>
            <w:tcW w:w="1134" w:type="dxa"/>
            <w:tcBorders>
              <w:top w:val="nil"/>
              <w:left w:val="nil"/>
              <w:bottom w:val="single" w:sz="8" w:space="0" w:color="BFBFBF"/>
              <w:right w:val="single" w:sz="8" w:space="0" w:color="BFBFBF"/>
            </w:tcBorders>
            <w:shd w:val="clear" w:color="000000" w:fill="FFFFFF"/>
            <w:noWrap/>
            <w:vAlign w:val="center"/>
            <w:hideMark/>
          </w:tcPr>
          <w:p w14:paraId="7AC8BFA1"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33%</w:t>
            </w:r>
          </w:p>
        </w:tc>
      </w:tr>
      <w:tr w:rsidR="000F6852" w:rsidRPr="009A501D" w14:paraId="3196936F" w14:textId="77777777" w:rsidTr="00430123">
        <w:trPr>
          <w:trHeight w:val="53"/>
          <w:jc w:val="center"/>
        </w:trPr>
        <w:tc>
          <w:tcPr>
            <w:tcW w:w="5519" w:type="dxa"/>
            <w:tcBorders>
              <w:top w:val="nil"/>
              <w:left w:val="single" w:sz="8" w:space="0" w:color="BFBFBF"/>
              <w:bottom w:val="single" w:sz="8" w:space="0" w:color="BFBFBF"/>
              <w:right w:val="single" w:sz="8" w:space="0" w:color="BFBFBF"/>
            </w:tcBorders>
            <w:shd w:val="clear" w:color="000000" w:fill="FFFFFF"/>
            <w:noWrap/>
            <w:vAlign w:val="center"/>
            <w:hideMark/>
          </w:tcPr>
          <w:p w14:paraId="167B20D8" w14:textId="77777777" w:rsidR="000F6852" w:rsidRPr="009A501D" w:rsidRDefault="000F6852" w:rsidP="00430123">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de Empresas Constructoras (ENEC)</w:t>
            </w:r>
          </w:p>
        </w:tc>
        <w:tc>
          <w:tcPr>
            <w:tcW w:w="992" w:type="dxa"/>
            <w:tcBorders>
              <w:top w:val="nil"/>
              <w:left w:val="nil"/>
              <w:bottom w:val="single" w:sz="8" w:space="0" w:color="BFBFBF"/>
              <w:right w:val="single" w:sz="8" w:space="0" w:color="BFBFBF"/>
            </w:tcBorders>
            <w:shd w:val="clear" w:color="000000" w:fill="FFFFFF"/>
            <w:noWrap/>
            <w:vAlign w:val="center"/>
            <w:hideMark/>
          </w:tcPr>
          <w:p w14:paraId="0CA7B493"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NR</w:t>
            </w:r>
          </w:p>
        </w:tc>
        <w:tc>
          <w:tcPr>
            <w:tcW w:w="992" w:type="dxa"/>
            <w:tcBorders>
              <w:top w:val="nil"/>
              <w:left w:val="nil"/>
              <w:bottom w:val="single" w:sz="8" w:space="0" w:color="BFBFBF"/>
              <w:right w:val="single" w:sz="8" w:space="0" w:color="BFBFBF"/>
            </w:tcBorders>
            <w:shd w:val="clear" w:color="000000" w:fill="FFFFFF"/>
            <w:noWrap/>
            <w:vAlign w:val="center"/>
            <w:hideMark/>
          </w:tcPr>
          <w:p w14:paraId="18C71511"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14%</w:t>
            </w:r>
          </w:p>
        </w:tc>
        <w:tc>
          <w:tcPr>
            <w:tcW w:w="1134" w:type="dxa"/>
            <w:tcBorders>
              <w:top w:val="nil"/>
              <w:left w:val="nil"/>
              <w:bottom w:val="single" w:sz="8" w:space="0" w:color="BFBFBF"/>
              <w:right w:val="single" w:sz="8" w:space="0" w:color="BFBFBF"/>
            </w:tcBorders>
            <w:shd w:val="clear" w:color="000000" w:fill="FFFFFF"/>
            <w:noWrap/>
            <w:vAlign w:val="center"/>
            <w:hideMark/>
          </w:tcPr>
          <w:p w14:paraId="287FE05B"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13%</w:t>
            </w:r>
          </w:p>
        </w:tc>
        <w:tc>
          <w:tcPr>
            <w:tcW w:w="1134" w:type="dxa"/>
            <w:tcBorders>
              <w:top w:val="nil"/>
              <w:left w:val="nil"/>
              <w:bottom w:val="single" w:sz="8" w:space="0" w:color="BFBFBF"/>
              <w:right w:val="single" w:sz="8" w:space="0" w:color="BFBFBF"/>
            </w:tcBorders>
            <w:shd w:val="clear" w:color="000000" w:fill="FFFFFF"/>
            <w:noWrap/>
            <w:vAlign w:val="center"/>
            <w:hideMark/>
          </w:tcPr>
          <w:p w14:paraId="4CCEB8DB" w14:textId="77777777" w:rsidR="000F6852" w:rsidRPr="009A501D" w:rsidRDefault="000F6852" w:rsidP="00430123">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14%</w:t>
            </w:r>
          </w:p>
        </w:tc>
      </w:tr>
    </w:tbl>
    <w:p w14:paraId="78A2D60C" w14:textId="77777777" w:rsidR="000F6852" w:rsidRPr="009A501D" w:rsidRDefault="000F6852" w:rsidP="000F6852">
      <w:pPr>
        <w:spacing w:after="0"/>
        <w:ind w:left="567"/>
        <w:jc w:val="both"/>
        <w:rPr>
          <w:rFonts w:ascii="Century Gothic" w:hAnsi="Century Gothic" w:cstheme="minorHAnsi"/>
          <w:sz w:val="14"/>
          <w:szCs w:val="14"/>
        </w:rPr>
      </w:pPr>
      <w:r w:rsidRPr="009A501D">
        <w:rPr>
          <w:rFonts w:ascii="Century Gothic" w:hAnsi="Century Gothic" w:cstheme="minorHAnsi"/>
          <w:sz w:val="14"/>
          <w:szCs w:val="14"/>
        </w:rPr>
        <w:t>NR: no reportó.</w:t>
      </w:r>
    </w:p>
    <w:p w14:paraId="73E524E6" w14:textId="6CE01F5E" w:rsidR="00361920" w:rsidRPr="009A501D" w:rsidRDefault="000F6852" w:rsidP="00361920">
      <w:pPr>
        <w:spacing w:after="0"/>
        <w:ind w:left="567" w:right="594"/>
        <w:jc w:val="both"/>
        <w:rPr>
          <w:rFonts w:ascii="Century Gothic" w:hAnsi="Century Gothic" w:cstheme="minorHAnsi"/>
          <w:sz w:val="14"/>
          <w:szCs w:val="14"/>
        </w:rPr>
      </w:pPr>
      <w:r w:rsidRPr="009A501D">
        <w:rPr>
          <w:rFonts w:ascii="Century Gothic" w:hAnsi="Century Gothic" w:cstheme="minorHAnsi"/>
          <w:sz w:val="14"/>
          <w:szCs w:val="14"/>
        </w:rPr>
        <w:t>*</w:t>
      </w:r>
      <w:bookmarkStart w:id="1" w:name="_Hlk130826230"/>
      <w:r w:rsidRPr="009A501D">
        <w:rPr>
          <w:rFonts w:ascii="Century Gothic" w:hAnsi="Century Gothic" w:cstheme="minorHAnsi"/>
          <w:sz w:val="14"/>
          <w:szCs w:val="14"/>
        </w:rPr>
        <w:t>Para el cálculo en 2022 únicamente se considera el agregado Nacional por encuesta. En contraste, para los años 2019, 2020 y 2021, el cálculo considera el total de dominios de estudio a excepción del agregado Nacional.</w:t>
      </w:r>
      <w:bookmarkEnd w:id="1"/>
    </w:p>
    <w:p w14:paraId="093F94E3" w14:textId="2E4F2E18" w:rsidR="00361920" w:rsidRPr="009A501D" w:rsidRDefault="00361920">
      <w:pPr>
        <w:rPr>
          <w:rFonts w:ascii="Century Gothic" w:hAnsi="Century Gothic" w:cstheme="minorHAnsi"/>
          <w:sz w:val="14"/>
          <w:szCs w:val="14"/>
        </w:rPr>
      </w:pPr>
      <w:bookmarkStart w:id="2" w:name="_GoBack"/>
      <w:bookmarkEnd w:id="2"/>
    </w:p>
    <w:p w14:paraId="51417783" w14:textId="6FD4BB0F" w:rsidR="00514E11" w:rsidRPr="009A501D" w:rsidRDefault="00514E11" w:rsidP="00664A1D">
      <w:pPr>
        <w:pStyle w:val="Ttulo2"/>
        <w:rPr>
          <w:rFonts w:ascii="Century Gothic" w:eastAsiaTheme="minorHAnsi" w:hAnsi="Century Gothic" w:cstheme="minorBidi"/>
          <w:bCs/>
          <w:color w:val="0079BF"/>
          <w:sz w:val="24"/>
          <w:szCs w:val="24"/>
        </w:rPr>
      </w:pPr>
      <w:bookmarkStart w:id="3" w:name="_Toc131161816"/>
      <w:r w:rsidRPr="009A501D">
        <w:rPr>
          <w:rFonts w:ascii="Century Gothic" w:hAnsi="Century Gothic"/>
          <w:color w:val="0079BF"/>
          <w:sz w:val="24"/>
        </w:rPr>
        <w:t xml:space="preserve">Anexo </w:t>
      </w:r>
      <w:r w:rsidR="00AE6C80" w:rsidRPr="009A501D">
        <w:rPr>
          <w:rFonts w:ascii="Century Gothic" w:hAnsi="Century Gothic"/>
          <w:color w:val="0079BF"/>
          <w:sz w:val="24"/>
        </w:rPr>
        <w:t>5</w:t>
      </w:r>
      <w:r w:rsidRPr="009A501D">
        <w:rPr>
          <w:rFonts w:ascii="Century Gothic" w:hAnsi="Century Gothic"/>
          <w:color w:val="0079BF"/>
          <w:sz w:val="24"/>
        </w:rPr>
        <w:t xml:space="preserve">: </w:t>
      </w:r>
      <w:r w:rsidR="00704337" w:rsidRPr="009A501D">
        <w:rPr>
          <w:rFonts w:ascii="Century Gothic" w:hAnsi="Century Gothic"/>
          <w:color w:val="0079BF"/>
          <w:sz w:val="24"/>
        </w:rPr>
        <w:t>Resultados de los i</w:t>
      </w:r>
      <w:r w:rsidRPr="009A501D">
        <w:rPr>
          <w:rFonts w:ascii="Century Gothic" w:hAnsi="Century Gothic"/>
          <w:color w:val="0079BF"/>
          <w:sz w:val="24"/>
        </w:rPr>
        <w:t>ndicadores de precisión y confiabilidad en encuestas</w:t>
      </w:r>
      <w:bookmarkEnd w:id="3"/>
    </w:p>
    <w:p w14:paraId="6A4D877F" w14:textId="33737ADF" w:rsidR="005A1399" w:rsidRPr="009A501D" w:rsidRDefault="005A1399" w:rsidP="00A32765">
      <w:pPr>
        <w:spacing w:before="240"/>
        <w:jc w:val="both"/>
        <w:rPr>
          <w:rFonts w:ascii="Century Gothic" w:hAnsi="Century Gothic" w:cstheme="minorHAnsi"/>
          <w:sz w:val="19"/>
          <w:szCs w:val="19"/>
        </w:rPr>
      </w:pPr>
      <w:r w:rsidRPr="009A501D">
        <w:rPr>
          <w:rFonts w:ascii="Century Gothic" w:hAnsi="Century Gothic" w:cstheme="minorHAnsi"/>
          <w:sz w:val="19"/>
          <w:szCs w:val="19"/>
        </w:rPr>
        <w:t>En 2017 y 2018 el Comité aprobó nueve indicadores para medir la precisión en encuestas. Los indicadores aprobados se diferenciaron entre uso externo y uso interno</w:t>
      </w:r>
      <w:r w:rsidR="00D71EE0" w:rsidRPr="009A501D">
        <w:rPr>
          <w:rFonts w:ascii="Century Gothic" w:hAnsi="Century Gothic" w:cstheme="minorHAnsi"/>
          <w:sz w:val="19"/>
          <w:szCs w:val="19"/>
        </w:rPr>
        <w:t xml:space="preserve"> (ver cuadro A.5.1)</w:t>
      </w:r>
      <w:r w:rsidRPr="009A501D">
        <w:rPr>
          <w:rFonts w:ascii="Century Gothic" w:hAnsi="Century Gothic" w:cstheme="minorHAnsi"/>
          <w:sz w:val="19"/>
          <w:szCs w:val="19"/>
        </w:rPr>
        <w:t xml:space="preserve">. Ambos deben reportarse en los metadatos de los </w:t>
      </w:r>
      <w:r w:rsidR="00EC4113" w:rsidRPr="009A501D">
        <w:rPr>
          <w:rFonts w:ascii="Century Gothic" w:hAnsi="Century Gothic" w:cstheme="minorHAnsi"/>
          <w:sz w:val="19"/>
          <w:szCs w:val="19"/>
        </w:rPr>
        <w:t>procesos de producción</w:t>
      </w:r>
      <w:r w:rsidRPr="009A501D">
        <w:rPr>
          <w:rFonts w:ascii="Century Gothic" w:hAnsi="Century Gothic" w:cstheme="minorHAnsi"/>
          <w:sz w:val="19"/>
          <w:szCs w:val="19"/>
        </w:rPr>
        <w:t>, pero los de uso externo están disponibles para los usuarios a través de la Red Nacional de Metadatos.</w:t>
      </w:r>
    </w:p>
    <w:p w14:paraId="200729DA" w14:textId="6AF8676B" w:rsidR="005A1399" w:rsidRPr="009A501D" w:rsidRDefault="005A1399" w:rsidP="00A32765">
      <w:pPr>
        <w:spacing w:before="240"/>
        <w:jc w:val="center"/>
        <w:rPr>
          <w:rFonts w:ascii="Century Gothic" w:hAnsi="Century Gothic" w:cstheme="majorHAnsi"/>
          <w:b/>
          <w:sz w:val="19"/>
          <w:szCs w:val="19"/>
        </w:rPr>
      </w:pPr>
      <w:r w:rsidRPr="009A501D">
        <w:rPr>
          <w:rFonts w:ascii="Century Gothic" w:hAnsi="Century Gothic" w:cstheme="majorHAnsi"/>
          <w:b/>
          <w:sz w:val="19"/>
          <w:szCs w:val="19"/>
        </w:rPr>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.1. Indicadores de precisión y confiabilidad estadística aprobados según tipo de uso</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4825"/>
        <w:gridCol w:w="7082"/>
      </w:tblGrid>
      <w:tr w:rsidR="005A1399" w:rsidRPr="009A501D" w14:paraId="35DEAAD0" w14:textId="77777777" w:rsidTr="00317772">
        <w:trPr>
          <w:jc w:val="center"/>
        </w:trPr>
        <w:tc>
          <w:tcPr>
            <w:tcW w:w="4825" w:type="dxa"/>
            <w:shd w:val="clear" w:color="auto" w:fill="1F3864" w:themeFill="accent5" w:themeFillShade="80"/>
          </w:tcPr>
          <w:p w14:paraId="4DDD64A4" w14:textId="77777777" w:rsidR="005A1399" w:rsidRPr="009A501D" w:rsidRDefault="005A1399" w:rsidP="00911C27">
            <w:pPr>
              <w:spacing w:after="0"/>
              <w:ind w:left="357"/>
              <w:jc w:val="center"/>
              <w:rPr>
                <w:rFonts w:ascii="Century Gothic" w:eastAsia="Calibri" w:hAnsi="Century Gothic"/>
                <w:color w:val="FFFFFF" w:themeColor="background1"/>
                <w:sz w:val="16"/>
                <w:szCs w:val="20"/>
              </w:rPr>
            </w:pPr>
            <w:r w:rsidRPr="009A501D">
              <w:rPr>
                <w:rFonts w:ascii="Century Gothic" w:eastAsia="Calibri" w:hAnsi="Century Gothic"/>
                <w:b/>
                <w:bCs/>
                <w:color w:val="FFFFFF" w:themeColor="background1"/>
                <w:sz w:val="16"/>
                <w:szCs w:val="20"/>
              </w:rPr>
              <w:t>Uso externo:</w:t>
            </w:r>
          </w:p>
        </w:tc>
        <w:tc>
          <w:tcPr>
            <w:tcW w:w="7082" w:type="dxa"/>
            <w:shd w:val="clear" w:color="auto" w:fill="1F3864" w:themeFill="accent5" w:themeFillShade="80"/>
          </w:tcPr>
          <w:p w14:paraId="416AB641" w14:textId="77777777" w:rsidR="005A1399" w:rsidRPr="009A501D" w:rsidRDefault="005A1399" w:rsidP="00911C27">
            <w:pPr>
              <w:spacing w:after="0"/>
              <w:ind w:left="357"/>
              <w:jc w:val="center"/>
              <w:rPr>
                <w:rFonts w:ascii="Century Gothic" w:eastAsia="Calibri" w:hAnsi="Century Gothic"/>
                <w:color w:val="FFFFFF" w:themeColor="background1"/>
                <w:sz w:val="16"/>
                <w:szCs w:val="20"/>
              </w:rPr>
            </w:pPr>
            <w:r w:rsidRPr="009A501D">
              <w:rPr>
                <w:rFonts w:ascii="Century Gothic" w:eastAsia="Calibri" w:hAnsi="Century Gothic"/>
                <w:b/>
                <w:bCs/>
                <w:color w:val="FFFFFF" w:themeColor="background1"/>
                <w:sz w:val="16"/>
                <w:szCs w:val="20"/>
              </w:rPr>
              <w:t>Uso Interno:</w:t>
            </w:r>
          </w:p>
        </w:tc>
      </w:tr>
      <w:tr w:rsidR="005A1399" w:rsidRPr="009A501D" w14:paraId="459D748B" w14:textId="77777777" w:rsidTr="00A32765">
        <w:trPr>
          <w:trHeight w:val="1584"/>
          <w:jc w:val="center"/>
        </w:trPr>
        <w:tc>
          <w:tcPr>
            <w:tcW w:w="4825" w:type="dxa"/>
            <w:shd w:val="clear" w:color="auto" w:fill="FFFFFF" w:themeFill="background1"/>
            <w:vAlign w:val="center"/>
          </w:tcPr>
          <w:p w14:paraId="3A4BC72D" w14:textId="77777777" w:rsidR="005A1399" w:rsidRPr="009A501D" w:rsidRDefault="005A1399" w:rsidP="00A32765">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Coeficiente de Variación (CV)</w:t>
            </w:r>
          </w:p>
          <w:p w14:paraId="0824EC7B" w14:textId="77777777" w:rsidR="005A1399" w:rsidRPr="009A501D" w:rsidRDefault="005A1399" w:rsidP="00A32765">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Error Estándar (SE)</w:t>
            </w:r>
          </w:p>
          <w:p w14:paraId="0B90EA14" w14:textId="4ABB9FCA" w:rsidR="005A1399" w:rsidRPr="009A501D" w:rsidRDefault="005A1399" w:rsidP="00A32765">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Intervalos de confianza (IC)</w:t>
            </w:r>
          </w:p>
          <w:p w14:paraId="5170A801" w14:textId="77777777" w:rsidR="005A1399" w:rsidRPr="009A501D" w:rsidRDefault="005A1399" w:rsidP="00A32765">
            <w:pPr>
              <w:numPr>
                <w:ilvl w:val="0"/>
                <w:numId w:val="2"/>
              </w:numPr>
              <w:tabs>
                <w:tab w:val="clear" w:pos="720"/>
                <w:tab w:val="num" w:pos="317"/>
              </w:tabs>
              <w:spacing w:after="0" w:line="240" w:lineRule="auto"/>
              <w:ind w:left="317" w:hanging="283"/>
              <w:jc w:val="both"/>
              <w:rPr>
                <w:rFonts w:ascii="Century Gothic" w:eastAsia="Calibri" w:hAnsi="Century Gothic"/>
                <w:sz w:val="16"/>
                <w:szCs w:val="20"/>
              </w:rPr>
            </w:pPr>
            <w:r w:rsidRPr="009A501D">
              <w:rPr>
                <w:rFonts w:ascii="Century Gothic" w:eastAsia="Calibri" w:hAnsi="Century Gothic"/>
                <w:sz w:val="16"/>
                <w:szCs w:val="20"/>
              </w:rPr>
              <w:t>Cobertura de la variable de diseño (CVD)</w:t>
            </w:r>
            <w:r w:rsidRPr="009A501D">
              <w:rPr>
                <w:rFonts w:ascii="Century Gothic" w:eastAsia="Calibri" w:hAnsi="Century Gothic"/>
                <w:sz w:val="16"/>
                <w:szCs w:val="20"/>
              </w:rPr>
              <w:br/>
              <w:t>(sólo para encuestas con muestreo no probabilístico)</w:t>
            </w:r>
          </w:p>
        </w:tc>
        <w:tc>
          <w:tcPr>
            <w:tcW w:w="7082" w:type="dxa"/>
            <w:shd w:val="clear" w:color="auto" w:fill="FFFFFF" w:themeFill="background1"/>
            <w:vAlign w:val="center"/>
          </w:tcPr>
          <w:p w14:paraId="69EA04AE" w14:textId="77777777" w:rsidR="005A1399" w:rsidRPr="009A501D" w:rsidRDefault="005A1399" w:rsidP="00A32765">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no respuesta antes de imputación a nivel unidad de observación (TNR_AI)</w:t>
            </w:r>
          </w:p>
          <w:p w14:paraId="51C26AA4" w14:textId="77777777" w:rsidR="005A1399" w:rsidRPr="009A501D" w:rsidRDefault="005A1399" w:rsidP="00A32765">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cumplimiento de la muestra mínima antes de imputación (TCMM)</w:t>
            </w:r>
          </w:p>
          <w:p w14:paraId="2A81F0D8" w14:textId="77777777" w:rsidR="005A1399" w:rsidRPr="009A501D" w:rsidRDefault="005A1399" w:rsidP="00A32765">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no respuesta después de imputación a nivel unidad de observación (TNR_DI)</w:t>
            </w:r>
          </w:p>
          <w:p w14:paraId="56014B16" w14:textId="77777777" w:rsidR="005A1399" w:rsidRPr="009A501D" w:rsidRDefault="005A1399" w:rsidP="00A32765">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imputación a nivel unidad de observación (TI)</w:t>
            </w:r>
          </w:p>
          <w:p w14:paraId="0AAA62D0" w14:textId="77777777" w:rsidR="005A1399" w:rsidRPr="009A501D" w:rsidRDefault="005A1399" w:rsidP="00A32765">
            <w:pPr>
              <w:numPr>
                <w:ilvl w:val="0"/>
                <w:numId w:val="3"/>
              </w:numPr>
              <w:tabs>
                <w:tab w:val="clear" w:pos="720"/>
                <w:tab w:val="num" w:pos="316"/>
              </w:tabs>
              <w:spacing w:after="0" w:line="240" w:lineRule="auto"/>
              <w:ind w:left="316" w:hanging="283"/>
              <w:jc w:val="both"/>
              <w:rPr>
                <w:rFonts w:ascii="Century Gothic" w:eastAsia="Calibri" w:hAnsi="Century Gothic"/>
                <w:sz w:val="16"/>
                <w:szCs w:val="20"/>
              </w:rPr>
            </w:pPr>
            <w:r w:rsidRPr="009A501D">
              <w:rPr>
                <w:rFonts w:ascii="Century Gothic" w:eastAsia="Calibri" w:hAnsi="Century Gothic"/>
                <w:sz w:val="16"/>
                <w:szCs w:val="20"/>
              </w:rPr>
              <w:t>Tasa de sobrecobertura a nivel unidad de observación (TSC)</w:t>
            </w:r>
          </w:p>
        </w:tc>
      </w:tr>
    </w:tbl>
    <w:p w14:paraId="2E2B9CA2" w14:textId="2EE38B2D"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El universo de encuestas por muestreo que para 2022 publicaron resultados conforme al Inventario de Programas de Información (IPI) y, por tanto, debieron calcular y reportar los indicadores antes mencionados fue de 116 ciclos correspondientes a 30 </w:t>
      </w:r>
      <w:r w:rsidR="00EC4113" w:rsidRPr="009A501D">
        <w:rPr>
          <w:rFonts w:ascii="Century Gothic" w:hAnsi="Century Gothic" w:cstheme="minorHAnsi"/>
          <w:sz w:val="19"/>
          <w:szCs w:val="19"/>
        </w:rPr>
        <w:t>p</w:t>
      </w:r>
      <w:r w:rsidRPr="009A501D">
        <w:rPr>
          <w:rFonts w:ascii="Century Gothic" w:hAnsi="Century Gothic" w:cstheme="minorHAnsi"/>
          <w:sz w:val="19"/>
          <w:szCs w:val="19"/>
        </w:rPr>
        <w:t xml:space="preserve">rocesos de </w:t>
      </w:r>
      <w:r w:rsidR="00911C27" w:rsidRPr="009A501D">
        <w:rPr>
          <w:rFonts w:ascii="Century Gothic" w:hAnsi="Century Gothic" w:cstheme="minorHAnsi"/>
          <w:sz w:val="19"/>
          <w:szCs w:val="19"/>
        </w:rPr>
        <w:t>producción</w:t>
      </w:r>
      <w:r w:rsidRPr="009A501D">
        <w:rPr>
          <w:rFonts w:ascii="Century Gothic" w:hAnsi="Century Gothic" w:cstheme="minorHAnsi"/>
          <w:sz w:val="19"/>
          <w:szCs w:val="19"/>
        </w:rPr>
        <w:t xml:space="preserve"> (ver cuadro A.</w:t>
      </w:r>
      <w:r w:rsidR="0006343F" w:rsidRPr="009A501D">
        <w:rPr>
          <w:rFonts w:ascii="Century Gothic" w:hAnsi="Century Gothic" w:cstheme="minorHAnsi"/>
          <w:sz w:val="19"/>
          <w:szCs w:val="19"/>
        </w:rPr>
        <w:t>5</w:t>
      </w:r>
      <w:r w:rsidRPr="009A501D">
        <w:rPr>
          <w:rFonts w:ascii="Century Gothic" w:hAnsi="Century Gothic" w:cstheme="minorHAnsi"/>
          <w:sz w:val="19"/>
          <w:szCs w:val="19"/>
        </w:rPr>
        <w:t xml:space="preserve">.2). Por primera ocasión se tuvo un 100% de </w:t>
      </w:r>
      <w:r w:rsidR="00044F5A" w:rsidRPr="009A501D">
        <w:rPr>
          <w:rFonts w:ascii="Century Gothic" w:hAnsi="Century Gothic" w:cstheme="minorHAnsi"/>
          <w:sz w:val="19"/>
          <w:szCs w:val="19"/>
        </w:rPr>
        <w:t>reporte</w:t>
      </w:r>
      <w:r w:rsidRPr="009A501D">
        <w:rPr>
          <w:rFonts w:ascii="Century Gothic" w:hAnsi="Century Gothic" w:cstheme="minorHAnsi"/>
          <w:sz w:val="19"/>
          <w:szCs w:val="19"/>
        </w:rPr>
        <w:t xml:space="preserve"> de indicadores, 84% reportados “En Tiempo” y 16% </w:t>
      </w:r>
      <w:r w:rsidR="0078764E" w:rsidRPr="009A501D">
        <w:rPr>
          <w:rFonts w:ascii="Century Gothic" w:hAnsi="Century Gothic" w:cstheme="minorHAnsi"/>
          <w:sz w:val="19"/>
          <w:szCs w:val="19"/>
        </w:rPr>
        <w:t xml:space="preserve">con </w:t>
      </w:r>
      <w:r w:rsidRPr="009A501D">
        <w:rPr>
          <w:rFonts w:ascii="Century Gothic" w:hAnsi="Century Gothic" w:cstheme="minorHAnsi"/>
          <w:sz w:val="19"/>
          <w:szCs w:val="19"/>
        </w:rPr>
        <w:t>“Retraso”</w:t>
      </w:r>
      <w:r w:rsidR="0063138A" w:rsidRPr="009A501D">
        <w:rPr>
          <w:rStyle w:val="Refdenotaalpie"/>
          <w:rFonts w:ascii="Century Gothic" w:hAnsi="Century Gothic" w:cstheme="minorHAnsi"/>
          <w:sz w:val="19"/>
          <w:szCs w:val="19"/>
        </w:rPr>
        <w:footnoteReference w:id="5"/>
      </w:r>
      <w:r w:rsidRPr="009A501D">
        <w:rPr>
          <w:rFonts w:ascii="Century Gothic" w:hAnsi="Century Gothic" w:cstheme="minorHAnsi"/>
          <w:sz w:val="19"/>
          <w:szCs w:val="19"/>
        </w:rPr>
        <w:t>.</w:t>
      </w:r>
    </w:p>
    <w:p w14:paraId="4BDCACE0" w14:textId="734034DC"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Cabe señalar que los </w:t>
      </w:r>
      <w:r w:rsidRPr="009A501D">
        <w:rPr>
          <w:rFonts w:ascii="Century Gothic" w:hAnsi="Century Gothic" w:cstheme="minorHAnsi"/>
          <w:i/>
          <w:sz w:val="19"/>
          <w:szCs w:val="19"/>
        </w:rPr>
        <w:t xml:space="preserve">Lineamientos de </w:t>
      </w:r>
      <w:r w:rsidR="00977CE4" w:rsidRPr="009A501D">
        <w:rPr>
          <w:rFonts w:ascii="Century Gothic" w:hAnsi="Century Gothic" w:cstheme="minorHAnsi"/>
          <w:i/>
          <w:sz w:val="19"/>
          <w:szCs w:val="19"/>
        </w:rPr>
        <w:t>C</w:t>
      </w:r>
      <w:r w:rsidRPr="009A501D">
        <w:rPr>
          <w:rFonts w:ascii="Century Gothic" w:hAnsi="Century Gothic" w:cstheme="minorHAnsi"/>
          <w:i/>
          <w:sz w:val="19"/>
          <w:szCs w:val="19"/>
        </w:rPr>
        <w:t xml:space="preserve">ambios a la </w:t>
      </w:r>
      <w:r w:rsidR="00977CE4" w:rsidRPr="009A501D">
        <w:rPr>
          <w:rFonts w:ascii="Century Gothic" w:hAnsi="Century Gothic" w:cstheme="minorHAnsi"/>
          <w:i/>
          <w:sz w:val="19"/>
          <w:szCs w:val="19"/>
        </w:rPr>
        <w:t>I</w:t>
      </w:r>
      <w:r w:rsidRPr="009A501D">
        <w:rPr>
          <w:rFonts w:ascii="Century Gothic" w:hAnsi="Century Gothic" w:cstheme="minorHAnsi"/>
          <w:i/>
          <w:sz w:val="19"/>
          <w:szCs w:val="19"/>
        </w:rPr>
        <w:t xml:space="preserve">nformación </w:t>
      </w:r>
      <w:r w:rsidR="00977CE4" w:rsidRPr="009A501D">
        <w:rPr>
          <w:rFonts w:ascii="Century Gothic" w:hAnsi="Century Gothic" w:cstheme="minorHAnsi"/>
          <w:i/>
          <w:sz w:val="19"/>
          <w:szCs w:val="19"/>
        </w:rPr>
        <w:t>D</w:t>
      </w:r>
      <w:r w:rsidRPr="009A501D">
        <w:rPr>
          <w:rFonts w:ascii="Century Gothic" w:hAnsi="Century Gothic" w:cstheme="minorHAnsi"/>
          <w:i/>
          <w:sz w:val="19"/>
          <w:szCs w:val="19"/>
        </w:rPr>
        <w:t xml:space="preserve">ivulgada en las </w:t>
      </w:r>
      <w:r w:rsidR="00977CE4" w:rsidRPr="009A501D">
        <w:rPr>
          <w:rFonts w:ascii="Century Gothic" w:hAnsi="Century Gothic" w:cstheme="minorHAnsi"/>
          <w:i/>
          <w:sz w:val="19"/>
          <w:szCs w:val="19"/>
        </w:rPr>
        <w:t>P</w:t>
      </w:r>
      <w:r w:rsidRPr="009A501D">
        <w:rPr>
          <w:rFonts w:ascii="Century Gothic" w:hAnsi="Century Gothic" w:cstheme="minorHAnsi"/>
          <w:i/>
          <w:sz w:val="19"/>
          <w:szCs w:val="19"/>
        </w:rPr>
        <w:t xml:space="preserve">ublicaciones </w:t>
      </w:r>
      <w:r w:rsidR="00977CE4" w:rsidRPr="009A501D">
        <w:rPr>
          <w:rFonts w:ascii="Century Gothic" w:hAnsi="Century Gothic" w:cstheme="minorHAnsi"/>
          <w:i/>
          <w:sz w:val="19"/>
          <w:szCs w:val="19"/>
        </w:rPr>
        <w:t>E</w:t>
      </w:r>
      <w:r w:rsidRPr="009A501D">
        <w:rPr>
          <w:rFonts w:ascii="Century Gothic" w:hAnsi="Century Gothic" w:cstheme="minorHAnsi"/>
          <w:i/>
          <w:sz w:val="19"/>
          <w:szCs w:val="19"/>
        </w:rPr>
        <w:t xml:space="preserve">stadísticas y </w:t>
      </w:r>
      <w:r w:rsidR="00977CE4" w:rsidRPr="009A501D">
        <w:rPr>
          <w:rFonts w:ascii="Century Gothic" w:hAnsi="Century Gothic" w:cstheme="minorHAnsi"/>
          <w:i/>
          <w:sz w:val="19"/>
          <w:szCs w:val="19"/>
        </w:rPr>
        <w:t>G</w:t>
      </w:r>
      <w:r w:rsidRPr="009A501D">
        <w:rPr>
          <w:rFonts w:ascii="Century Gothic" w:hAnsi="Century Gothic" w:cstheme="minorHAnsi"/>
          <w:i/>
          <w:sz w:val="19"/>
          <w:szCs w:val="19"/>
        </w:rPr>
        <w:t>eográficas</w:t>
      </w:r>
      <w:r w:rsidRPr="009A501D">
        <w:rPr>
          <w:rFonts w:ascii="Century Gothic" w:hAnsi="Century Gothic" w:cstheme="minorHAnsi"/>
          <w:sz w:val="19"/>
          <w:szCs w:val="19"/>
        </w:rPr>
        <w:t xml:space="preserve"> especifican cinco estatus de los datos que se publican (preliminares, revisados, definitivos, ajustados y corregidos). Cada vez que se sustituye información en el sitio web conforme a estos estatus, se deben reportar los indicadores de precisión, por lo que sufrieron reemplazos el 15% de los indicadores esperados, lo que significa una disminución considerable comparado contra el año anterior, en el que se registr</w:t>
      </w:r>
      <w:r w:rsidR="004E60B9" w:rsidRPr="009A501D">
        <w:rPr>
          <w:rFonts w:ascii="Century Gothic" w:hAnsi="Century Gothic" w:cstheme="minorHAnsi"/>
          <w:sz w:val="19"/>
          <w:szCs w:val="19"/>
        </w:rPr>
        <w:t>aron</w:t>
      </w:r>
      <w:r w:rsidRPr="009A501D">
        <w:rPr>
          <w:rFonts w:ascii="Century Gothic" w:hAnsi="Century Gothic" w:cstheme="minorHAnsi"/>
          <w:sz w:val="19"/>
          <w:szCs w:val="19"/>
        </w:rPr>
        <w:t xml:space="preserve"> reemplazos </w:t>
      </w:r>
      <w:r w:rsidR="004E60B9" w:rsidRPr="009A501D">
        <w:rPr>
          <w:rFonts w:ascii="Century Gothic" w:hAnsi="Century Gothic" w:cstheme="minorHAnsi"/>
          <w:sz w:val="19"/>
          <w:szCs w:val="19"/>
        </w:rPr>
        <w:t>para</w:t>
      </w:r>
      <w:r w:rsidRPr="009A501D">
        <w:rPr>
          <w:rFonts w:ascii="Century Gothic" w:hAnsi="Century Gothic" w:cstheme="minorHAnsi"/>
          <w:sz w:val="19"/>
          <w:szCs w:val="19"/>
        </w:rPr>
        <w:t xml:space="preserve"> 59% de los indicadores.</w:t>
      </w:r>
    </w:p>
    <w:p w14:paraId="5B011DA7" w14:textId="54DB7FD6" w:rsidR="00D858E6" w:rsidRPr="009A501D" w:rsidRDefault="00D858E6">
      <w:pPr>
        <w:rPr>
          <w:rFonts w:ascii="Century Gothic" w:hAnsi="Century Gothic" w:cstheme="minorHAnsi"/>
          <w:sz w:val="19"/>
          <w:szCs w:val="19"/>
        </w:rPr>
      </w:pPr>
      <w:r w:rsidRPr="009A501D">
        <w:rPr>
          <w:rFonts w:ascii="Century Gothic" w:hAnsi="Century Gothic" w:cstheme="minorHAnsi"/>
          <w:sz w:val="19"/>
          <w:szCs w:val="19"/>
        </w:rPr>
        <w:br w:type="page"/>
      </w:r>
    </w:p>
    <w:p w14:paraId="617CCB2C" w14:textId="7C2B840F" w:rsidR="005A1399" w:rsidRPr="009A501D" w:rsidRDefault="005A1399" w:rsidP="00664A1D">
      <w:pPr>
        <w:spacing w:before="240"/>
        <w:jc w:val="center"/>
        <w:rPr>
          <w:rFonts w:ascii="Century Gothic" w:hAnsi="Century Gothic"/>
          <w:b/>
          <w:sz w:val="19"/>
          <w:szCs w:val="19"/>
        </w:rPr>
      </w:pPr>
      <w:r w:rsidRPr="009A501D">
        <w:rPr>
          <w:rFonts w:ascii="Century Gothic" w:hAnsi="Century Gothic" w:cstheme="majorHAnsi"/>
          <w:b/>
          <w:sz w:val="19"/>
          <w:szCs w:val="19"/>
        </w:rPr>
        <w:lastRenderedPageBreak/>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 xml:space="preserve">.2. </w:t>
      </w:r>
      <w:r w:rsidRPr="009A501D">
        <w:rPr>
          <w:rFonts w:ascii="Century Gothic" w:hAnsi="Century Gothic"/>
          <w:b/>
          <w:sz w:val="19"/>
          <w:szCs w:val="19"/>
        </w:rPr>
        <w:t>Encuestas publicadas en 2022 y que debieron reportar indicadores de precisión estadística</w:t>
      </w:r>
    </w:p>
    <w:tbl>
      <w:tblPr>
        <w:tblW w:w="12920" w:type="dxa"/>
        <w:jc w:val="center"/>
        <w:tblCellMar>
          <w:left w:w="0" w:type="dxa"/>
          <w:right w:w="0" w:type="dxa"/>
        </w:tblCellMar>
        <w:tblLook w:val="04A0" w:firstRow="1" w:lastRow="0" w:firstColumn="1" w:lastColumn="0" w:noHBand="0" w:noVBand="1"/>
      </w:tblPr>
      <w:tblGrid>
        <w:gridCol w:w="860"/>
        <w:gridCol w:w="1220"/>
        <w:gridCol w:w="1220"/>
        <w:gridCol w:w="1460"/>
        <w:gridCol w:w="1240"/>
        <w:gridCol w:w="1000"/>
        <w:gridCol w:w="960"/>
        <w:gridCol w:w="1240"/>
        <w:gridCol w:w="1240"/>
        <w:gridCol w:w="1240"/>
        <w:gridCol w:w="1240"/>
      </w:tblGrid>
      <w:tr w:rsidR="005A1399" w:rsidRPr="009A501D" w14:paraId="4B7BDA93" w14:textId="77777777" w:rsidTr="00D858E6">
        <w:trPr>
          <w:trHeight w:val="227"/>
          <w:tblHeader/>
          <w:jc w:val="center"/>
        </w:trPr>
        <w:tc>
          <w:tcPr>
            <w:tcW w:w="8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0B8B4E93"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2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7A520CFB" w14:textId="5DD9E1A2"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12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38C8E023"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Tipo de encuesta</w:t>
            </w:r>
          </w:p>
        </w:tc>
        <w:tc>
          <w:tcPr>
            <w:tcW w:w="14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0D4B685F"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Periodicidad</w:t>
            </w:r>
          </w:p>
        </w:tc>
        <w:tc>
          <w:tcPr>
            <w:tcW w:w="12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20EFCD32"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Ciclos publicados 2022</w:t>
            </w:r>
          </w:p>
        </w:tc>
        <w:tc>
          <w:tcPr>
            <w:tcW w:w="692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2A9FB1FC"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Reporte de Indicadores de Precisión Estadística (IPE)</w:t>
            </w:r>
          </w:p>
        </w:tc>
      </w:tr>
      <w:tr w:rsidR="005A1399" w:rsidRPr="009A501D" w14:paraId="50C93408" w14:textId="77777777" w:rsidTr="00D858E6">
        <w:trPr>
          <w:trHeight w:val="227"/>
          <w:tblHeader/>
          <w:jc w:val="center"/>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7D24EC" w14:textId="77777777" w:rsidR="005A1399" w:rsidRPr="009A501D" w:rsidRDefault="005A1399" w:rsidP="00D858E6">
            <w:pPr>
              <w:spacing w:after="0"/>
              <w:contextualSpacing/>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FE64AE" w14:textId="77777777" w:rsidR="005A1399" w:rsidRPr="009A501D" w:rsidRDefault="005A1399" w:rsidP="00D858E6">
            <w:pPr>
              <w:spacing w:after="0"/>
              <w:contextualSpacing/>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690CC0" w14:textId="77777777" w:rsidR="005A1399" w:rsidRPr="009A501D" w:rsidRDefault="005A1399" w:rsidP="00D858E6">
            <w:pPr>
              <w:spacing w:after="0"/>
              <w:contextualSpacing/>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1AFBAA" w14:textId="77777777" w:rsidR="005A1399" w:rsidRPr="009A501D" w:rsidRDefault="005A1399" w:rsidP="00D858E6">
            <w:pPr>
              <w:spacing w:after="0"/>
              <w:contextualSpacing/>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358CDE" w14:textId="77777777" w:rsidR="005A1399" w:rsidRPr="009A501D" w:rsidRDefault="005A1399" w:rsidP="00D858E6">
            <w:pPr>
              <w:spacing w:after="0"/>
              <w:contextualSpacing/>
              <w:rPr>
                <w:rFonts w:ascii="Century Gothic" w:hAnsi="Century Gothic" w:cs="Calibri"/>
                <w:b/>
                <w:color w:val="FFFFFF"/>
                <w:sz w:val="16"/>
                <w:szCs w:val="16"/>
              </w:rPr>
            </w:pP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7269C789" w14:textId="0051097B" w:rsidR="005A1399" w:rsidRPr="009A501D" w:rsidRDefault="00777F2C"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E</w:t>
            </w:r>
            <w:r w:rsidR="005A1399" w:rsidRPr="009A501D">
              <w:rPr>
                <w:rFonts w:ascii="Century Gothic" w:hAnsi="Century Gothic" w:cs="Calibri"/>
                <w:b/>
                <w:bCs/>
                <w:color w:val="FFFFFF"/>
                <w:sz w:val="16"/>
                <w:szCs w:val="16"/>
              </w:rPr>
              <w:t>sperados</w:t>
            </w:r>
          </w:p>
        </w:tc>
        <w:tc>
          <w:tcPr>
            <w:tcW w:w="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5F18B706" w14:textId="7D1A94F4" w:rsidR="005A1399" w:rsidRPr="009A501D" w:rsidRDefault="00777F2C"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R</w:t>
            </w:r>
            <w:r w:rsidR="005A1399" w:rsidRPr="009A501D">
              <w:rPr>
                <w:rFonts w:ascii="Century Gothic" w:hAnsi="Century Gothic" w:cs="Calibri"/>
                <w:b/>
                <w:bCs/>
                <w:color w:val="FFFFFF"/>
                <w:sz w:val="16"/>
                <w:szCs w:val="16"/>
              </w:rPr>
              <w:t xml:space="preserve">ecibidos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2EFDA"/>
            <w:tcMar>
              <w:top w:w="15" w:type="dxa"/>
              <w:left w:w="15" w:type="dxa"/>
              <w:bottom w:w="0" w:type="dxa"/>
              <w:right w:w="15" w:type="dxa"/>
            </w:tcMar>
            <w:vAlign w:val="center"/>
            <w:hideMark/>
          </w:tcPr>
          <w:p w14:paraId="52323C84" w14:textId="77777777" w:rsidR="005A1399" w:rsidRPr="009A501D" w:rsidRDefault="005A1399" w:rsidP="00D858E6">
            <w:pPr>
              <w:spacing w:after="0"/>
              <w:contextualSpacing/>
              <w:jc w:val="center"/>
              <w:rPr>
                <w:rFonts w:ascii="Century Gothic" w:hAnsi="Century Gothic" w:cs="Calibri"/>
                <w:b/>
                <w:sz w:val="16"/>
                <w:szCs w:val="16"/>
              </w:rPr>
            </w:pPr>
            <w:r w:rsidRPr="009A501D">
              <w:rPr>
                <w:rFonts w:ascii="Century Gothic" w:hAnsi="Century Gothic" w:cs="Calibri"/>
                <w:b/>
                <w:sz w:val="16"/>
                <w:szCs w:val="16"/>
              </w:rPr>
              <w:t>En Tiempo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tcMar>
              <w:top w:w="15" w:type="dxa"/>
              <w:left w:w="15" w:type="dxa"/>
              <w:bottom w:w="0" w:type="dxa"/>
              <w:right w:w="15" w:type="dxa"/>
            </w:tcMar>
            <w:vAlign w:val="center"/>
            <w:hideMark/>
          </w:tcPr>
          <w:p w14:paraId="6C487DE6" w14:textId="77777777" w:rsidR="005A1399" w:rsidRPr="009A501D" w:rsidRDefault="005A1399" w:rsidP="00D858E6">
            <w:pPr>
              <w:spacing w:after="0"/>
              <w:contextualSpacing/>
              <w:jc w:val="center"/>
              <w:rPr>
                <w:rFonts w:ascii="Century Gothic" w:hAnsi="Century Gothic" w:cs="Calibri"/>
                <w:b/>
                <w:sz w:val="16"/>
                <w:szCs w:val="16"/>
              </w:rPr>
            </w:pPr>
            <w:r w:rsidRPr="009A501D">
              <w:rPr>
                <w:rFonts w:ascii="Century Gothic" w:hAnsi="Century Gothic" w:cs="Calibri"/>
                <w:b/>
                <w:sz w:val="16"/>
                <w:szCs w:val="16"/>
              </w:rPr>
              <w:t>Retraso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CE4D6"/>
            <w:tcMar>
              <w:top w:w="15" w:type="dxa"/>
              <w:left w:w="15" w:type="dxa"/>
              <w:bottom w:w="0" w:type="dxa"/>
              <w:right w:w="15" w:type="dxa"/>
            </w:tcMar>
            <w:vAlign w:val="center"/>
            <w:hideMark/>
          </w:tcPr>
          <w:p w14:paraId="3412DA9D" w14:textId="77777777" w:rsidR="005A1399" w:rsidRPr="009A501D" w:rsidRDefault="005A1399" w:rsidP="00D858E6">
            <w:pPr>
              <w:spacing w:after="0"/>
              <w:contextualSpacing/>
              <w:jc w:val="center"/>
              <w:rPr>
                <w:rFonts w:ascii="Century Gothic" w:hAnsi="Century Gothic" w:cs="Calibri"/>
                <w:b/>
                <w:sz w:val="16"/>
                <w:szCs w:val="16"/>
              </w:rPr>
            </w:pPr>
            <w:r w:rsidRPr="009A501D">
              <w:rPr>
                <w:rFonts w:ascii="Century Gothic" w:hAnsi="Century Gothic" w:cs="Calibri"/>
                <w:b/>
                <w:sz w:val="16"/>
                <w:szCs w:val="16"/>
              </w:rPr>
              <w:t>No Entregado</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52598ED4" w14:textId="22F1CFFD" w:rsidR="005A1399" w:rsidRPr="009A501D" w:rsidRDefault="00777F2C"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R</w:t>
            </w:r>
            <w:r w:rsidR="005A1399" w:rsidRPr="009A501D">
              <w:rPr>
                <w:rFonts w:ascii="Century Gothic" w:hAnsi="Century Gothic" w:cs="Calibri"/>
                <w:b/>
                <w:bCs/>
                <w:color w:val="FFFFFF"/>
                <w:sz w:val="16"/>
                <w:szCs w:val="16"/>
              </w:rPr>
              <w:t>eemplazados</w:t>
            </w:r>
          </w:p>
        </w:tc>
      </w:tr>
      <w:tr w:rsidR="005A1399" w:rsidRPr="009A501D" w14:paraId="3FB58DB1"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1DDE8A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DGIAI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9332F0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BIARE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B9FE9A6"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D3516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Semestral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5E7D7C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A4DDFE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894AA3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A52EA6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9F6626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C29069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CEEC98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2245A14B"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30996B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1E8CFE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EAEC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B7C21A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42352D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2CE54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764CE5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14C37D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4063BD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E31BA8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CDEC1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E8064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58ADD5D9"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449895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427D42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ECIS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702E9C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5CF833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4E880A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69BA98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CC3A8B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92C33F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FD19F0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7CFDBB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2BD59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3E9F7CC9"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F1D76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BE2322A"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ENDUTIH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FAB2643"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E7AA3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97AAE1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75909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338710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7541B2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A1FD8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1873E5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C70635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2F0552EF"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7830636"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91FB4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EMOE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613BA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439D78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A0EEEF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9F1B8F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952C48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749A01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8E9B2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FE2B4A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7395F2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77</w:t>
            </w:r>
          </w:p>
        </w:tc>
      </w:tr>
      <w:tr w:rsidR="005A1399" w:rsidRPr="009A501D" w14:paraId="196668AF"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A4B71E3"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B5D143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ENEC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CDD5A7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E49B4A"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7263CB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0F4730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CEE9E8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9437A1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CB0287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D0C273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649D46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r>
      <w:tr w:rsidR="005A1399" w:rsidRPr="009A501D" w14:paraId="75C4986E"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CABF5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1A53A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ENAFIN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08F81A"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922D8A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DD9AD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8AEC3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4951BA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753951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C8B53A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814B4E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D6E266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3E34521D"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18B1B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65A55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EAC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E851D33"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3BE0D8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D19283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928A6B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790811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DB420B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573D5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7D9AD1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4D22DC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36216019"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3EFC5F"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64C08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EAIM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B3B946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7B8E93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BD7CD0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0E07A0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B6302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E61A78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363ABD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1C46F3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7EB3A1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72FFDBD1"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97078B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D327C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EASPNF</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1AA7C8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477079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56B754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67E85C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EDE731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6F3013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3837BF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637A7C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02BFFC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6C41D8F7"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CA0C40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8E32EA"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EAT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440F1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E034476"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6646A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4B20C3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D8BDB7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96E7E4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EE555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84D8AC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1D1E4C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7AC3E55F"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2D6A8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5D868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EMEC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0FDD03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428ACAA"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774A67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122D94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F56B0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17D24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6EA7C1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CA7E5E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02AF34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r>
      <w:tr w:rsidR="005A1399" w:rsidRPr="009A501D" w14:paraId="581898D0"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43740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EC64C5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EMIM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6C6B3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25B131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AF87D6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9EE96E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11F08C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E9FDE3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61C681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AD286E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98E6DD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27</w:t>
            </w:r>
          </w:p>
        </w:tc>
      </w:tr>
      <w:tr w:rsidR="005A1399" w:rsidRPr="009A501D" w14:paraId="1B543290"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2AB36E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D65555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EMS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87D14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Mixta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C73A4F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B8CAFC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3F945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52BD3C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678BB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869092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913D8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EF1BFB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r>
      <w:tr w:rsidR="005A1399" w:rsidRPr="009A501D" w14:paraId="626E7207"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246D9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8D2B4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ENIF</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AC2DC9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095B94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AF13DD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3DD6C2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08A980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FF718C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7DD0F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6C6BC0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127E44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19276B3A"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21973C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57A543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MODECULT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FE403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4F23D3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C2372D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6FAB39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AC7CAD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BE96E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AF869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FCA251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8FCE69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05289EF2"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8495C6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16B789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MOLEC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2FE457F"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FBCF0A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E69168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091128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881943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E1F2E5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D426FD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C86A1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B9A9A9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672BA40D"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2665D7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C1C76DF"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MOPRADEF</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B091E4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7DB95C3"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E0D190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78519E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840556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719A5D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FB026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1978A6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DA53D4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19887B70"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04184D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C91876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ENOE-NE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603E10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DDC408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5A542D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002990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EB5C11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DBC780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254831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35390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7D9CC8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1D66896E"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3F43F1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C25598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ENCO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FE879C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94396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56C1A1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3191C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BB1C28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D8082F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62D3A5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023D1C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933A5A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4D85629F"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1B2F65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9A01B2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ENOE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3D801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8676DD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2EE6EA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01805C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4A2D97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67CB3B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906800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969F6D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12E6FD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r>
      <w:tr w:rsidR="005A1399" w:rsidRPr="009A501D" w14:paraId="45E865AA"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1254D9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F1EA64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ENAPE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DD8E0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9F01D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21606F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2153F1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42232A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EFD9CE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78A31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915BD3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0932A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09DBA29D"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F910B69"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A6FC77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ENDISEG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D44C22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D83CF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FA876F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E8153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8340D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C5A573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0D1735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E4187B9"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3009ED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2A4420E0"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9FA0D1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8D5241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ENDIREH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3D56B8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D8BF615"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Quinquenal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D6C791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6F468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8F229C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3869C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83E54D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A490D9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F9AA1F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4D40F3ED"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2AE084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980F3B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ENCIG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11D453"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E0B33C3"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CDC83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786899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F588A9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2C9B9E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EE37E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E34FF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B808A2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2E629409"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FDAAB4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EAB1DF"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ENVE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0B6660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0749587"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99090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FB1E3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CC3FC5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B36BB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F393A6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1826E3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3CB03E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3A25CD65"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6D5D731"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4AD35F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ENVIPE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FB0870"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07F78C4"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48ED5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9C6F3D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086080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EFBF5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88CB75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963323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D895F9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r>
      <w:tr w:rsidR="005A1399" w:rsidRPr="009A501D" w14:paraId="5AB5E221"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74580D8"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6CC08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MOCIBA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723B226"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F7615DF"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32037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9BB1AE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0519A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B67C9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D704B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ADD12C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E2774B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4546826E"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B0EEA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4C0F86E"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ENSU</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A07536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Probabilística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61850A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DDB825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923413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88A4C2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9928B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ABC1AE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D60AD4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0E4D18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764BA727" w14:textId="77777777" w:rsidTr="00D858E6">
        <w:trPr>
          <w:trHeight w:val="227"/>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D0688C2"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B9494D"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ECADEFI-CHIH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53DEC1B"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Determinística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97BF8C" w14:textId="77777777" w:rsidR="005A1399" w:rsidRPr="009A501D" w:rsidRDefault="005A1399" w:rsidP="00D858E6">
            <w:pPr>
              <w:spacing w:after="0"/>
              <w:contextualSpacing/>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F9C1B6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2D3109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63014B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D98BD7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7A8CB5B"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18E2F1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6B12E5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r>
      <w:tr w:rsidR="005A1399" w:rsidRPr="009A501D" w14:paraId="50B8C943" w14:textId="77777777" w:rsidTr="00D858E6">
        <w:trPr>
          <w:trHeight w:val="227"/>
          <w:jc w:val="center"/>
        </w:trPr>
        <w:tc>
          <w:tcPr>
            <w:tcW w:w="0" w:type="auto"/>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4F58846B" w14:textId="77777777" w:rsidR="005A1399" w:rsidRPr="009A501D" w:rsidRDefault="005A1399" w:rsidP="00D858E6">
            <w:pPr>
              <w:spacing w:after="0"/>
              <w:contextualSpacing/>
              <w:jc w:val="right"/>
              <w:rPr>
                <w:rFonts w:ascii="Century Gothic" w:hAnsi="Century Gothic" w:cs="Calibri"/>
                <w:b/>
                <w:color w:val="FFFFFF"/>
                <w:sz w:val="16"/>
                <w:szCs w:val="16"/>
              </w:rPr>
            </w:pPr>
            <w:r w:rsidRPr="009A501D">
              <w:rPr>
                <w:rFonts w:ascii="Century Gothic" w:hAnsi="Century Gothic" w:cs="Calibri"/>
                <w:b/>
                <w:color w:val="FFFFFF"/>
                <w:sz w:val="16"/>
                <w:szCs w:val="16"/>
              </w:rPr>
              <w:t>Total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11DCE373"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620E7FCD"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932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6149D12F"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932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67EADF9F"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785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3891D804"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147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4E18D197"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292D7A47"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139</w:t>
            </w:r>
          </w:p>
        </w:tc>
      </w:tr>
      <w:tr w:rsidR="005A1399" w:rsidRPr="009A501D" w14:paraId="5E885CE5" w14:textId="77777777" w:rsidTr="00D858E6">
        <w:trPr>
          <w:trHeight w:val="227"/>
          <w:jc w:val="center"/>
        </w:trPr>
        <w:tc>
          <w:tcPr>
            <w:tcW w:w="0" w:type="auto"/>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5C0DF684" w14:textId="77777777" w:rsidR="005A1399" w:rsidRPr="009A501D" w:rsidRDefault="005A1399" w:rsidP="00D858E6">
            <w:pPr>
              <w:spacing w:after="0"/>
              <w:contextualSpacing/>
              <w:jc w:val="right"/>
              <w:rPr>
                <w:rFonts w:ascii="Century Gothic" w:hAnsi="Century Gothic" w:cs="Calibri"/>
                <w:b/>
                <w:color w:val="FFFFFF"/>
                <w:sz w:val="16"/>
                <w:szCs w:val="16"/>
              </w:rPr>
            </w:pPr>
            <w:r w:rsidRPr="009A501D">
              <w:rPr>
                <w:rFonts w:ascii="Century Gothic" w:hAnsi="Century Gothic" w:cs="Calibri"/>
                <w:b/>
                <w:color w:val="FFFFFF"/>
                <w:sz w:val="16"/>
                <w:szCs w:val="16"/>
              </w:rPr>
              <w:t>Porcentaje del total esperados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1EB7045D"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6E2F3887"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24987D98"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84%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0916EF16"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4FDEE1AD"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34849D03"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15%</w:t>
            </w:r>
          </w:p>
        </w:tc>
      </w:tr>
    </w:tbl>
    <w:p w14:paraId="3060B11B" w14:textId="69ABA3F8" w:rsidR="005A1399" w:rsidRPr="009A501D" w:rsidRDefault="005A1399" w:rsidP="00664A1D">
      <w:pPr>
        <w:tabs>
          <w:tab w:val="left" w:pos="13608"/>
        </w:tabs>
        <w:spacing w:after="0"/>
        <w:ind w:left="426" w:right="933"/>
        <w:jc w:val="both"/>
        <w:rPr>
          <w:rFonts w:ascii="Century Gothic" w:hAnsi="Century Gothic" w:cstheme="majorHAnsi"/>
          <w:sz w:val="15"/>
          <w:szCs w:val="15"/>
        </w:rPr>
      </w:pPr>
      <w:r w:rsidRPr="009A501D">
        <w:rPr>
          <w:rFonts w:ascii="Century Gothic" w:hAnsi="Century Gothic" w:cs="Calibri"/>
          <w:sz w:val="15"/>
          <w:szCs w:val="15"/>
        </w:rPr>
        <w:t xml:space="preserve"> </w:t>
      </w:r>
    </w:p>
    <w:p w14:paraId="5FDBFC1B" w14:textId="7AC34696" w:rsidR="005A1399" w:rsidRPr="009A501D" w:rsidRDefault="00D76730" w:rsidP="00664A1D">
      <w:pPr>
        <w:spacing w:before="240"/>
        <w:jc w:val="both"/>
        <w:rPr>
          <w:rFonts w:ascii="Century Gothic" w:hAnsi="Century Gothic" w:cstheme="minorHAnsi"/>
          <w:bCs/>
          <w:sz w:val="19"/>
          <w:szCs w:val="19"/>
        </w:rPr>
      </w:pPr>
      <w:r w:rsidRPr="009A501D">
        <w:rPr>
          <w:rFonts w:ascii="Century Gothic" w:hAnsi="Century Gothic" w:cstheme="minorHAnsi"/>
          <w:bCs/>
          <w:sz w:val="19"/>
          <w:szCs w:val="19"/>
        </w:rPr>
        <w:lastRenderedPageBreak/>
        <w:t>En</w:t>
      </w:r>
      <w:r w:rsidR="005A1399" w:rsidRPr="009A501D">
        <w:rPr>
          <w:rFonts w:ascii="Century Gothic" w:hAnsi="Century Gothic" w:cstheme="minorHAnsi"/>
          <w:bCs/>
          <w:sz w:val="19"/>
          <w:szCs w:val="19"/>
        </w:rPr>
        <w:t xml:space="preserve"> 2022, </w:t>
      </w:r>
      <w:r w:rsidR="00EC4113" w:rsidRPr="009A501D">
        <w:rPr>
          <w:rFonts w:ascii="Century Gothic" w:hAnsi="Century Gothic" w:cstheme="minorHAnsi"/>
          <w:bCs/>
          <w:sz w:val="19"/>
          <w:szCs w:val="19"/>
        </w:rPr>
        <w:t>procesos de producción</w:t>
      </w:r>
      <w:r w:rsidR="005A1399" w:rsidRPr="009A501D">
        <w:rPr>
          <w:rFonts w:ascii="Century Gothic" w:hAnsi="Century Gothic" w:cstheme="minorHAnsi"/>
          <w:bCs/>
          <w:sz w:val="19"/>
          <w:szCs w:val="19"/>
        </w:rPr>
        <w:t xml:space="preserve"> como la Encuesta Nacional sobre la Dinámica de las Relaciones en los Hogares (ENDRIEH), Encuesta Nacional sobre Diversidad Sexual y de Género (ENDISEG), Encuesta Nacional sobre Acceso y Permanencia en la Educación (ENAPE) y Encuesta de Comercio Internacional de Servicios (ECIS) realizaron, por primera vez, el reporte de indicadores de precisión. De igual manera, la Encuesta Nacional de Ocupación y Empleo (ENOE), en su proceso con periodicidad </w:t>
      </w:r>
      <w:r w:rsidR="00E435CD" w:rsidRPr="009A501D">
        <w:rPr>
          <w:rFonts w:ascii="Century Gothic" w:hAnsi="Century Gothic" w:cstheme="minorHAnsi"/>
          <w:bCs/>
          <w:sz w:val="19"/>
          <w:szCs w:val="19"/>
        </w:rPr>
        <w:t>m</w:t>
      </w:r>
      <w:r w:rsidR="005A1399" w:rsidRPr="009A501D">
        <w:rPr>
          <w:rFonts w:ascii="Century Gothic" w:hAnsi="Century Gothic" w:cstheme="minorHAnsi"/>
          <w:bCs/>
          <w:sz w:val="19"/>
          <w:szCs w:val="19"/>
        </w:rPr>
        <w:t>ensual, realizó el reporte de</w:t>
      </w:r>
      <w:r w:rsidR="00985A3B" w:rsidRPr="009A501D">
        <w:rPr>
          <w:rFonts w:ascii="Century Gothic" w:hAnsi="Century Gothic" w:cstheme="minorHAnsi"/>
          <w:bCs/>
          <w:sz w:val="19"/>
          <w:szCs w:val="19"/>
        </w:rPr>
        <w:t xml:space="preserve"> indicadores de precisión</w:t>
      </w:r>
      <w:r w:rsidR="005A1399" w:rsidRPr="009A501D">
        <w:rPr>
          <w:rFonts w:ascii="Century Gothic" w:hAnsi="Century Gothic" w:cstheme="minorHAnsi"/>
          <w:bCs/>
          <w:sz w:val="19"/>
          <w:szCs w:val="19"/>
        </w:rPr>
        <w:t xml:space="preserve"> por primera ocasión, en adición al proceso trimestral que </w:t>
      </w:r>
      <w:r w:rsidR="00A568BE" w:rsidRPr="009A501D">
        <w:rPr>
          <w:rFonts w:ascii="Century Gothic" w:hAnsi="Century Gothic" w:cstheme="minorHAnsi"/>
          <w:bCs/>
          <w:sz w:val="19"/>
          <w:szCs w:val="19"/>
        </w:rPr>
        <w:t xml:space="preserve">reporta </w:t>
      </w:r>
      <w:r w:rsidR="005A1399" w:rsidRPr="009A501D">
        <w:rPr>
          <w:rFonts w:ascii="Century Gothic" w:hAnsi="Century Gothic" w:cstheme="minorHAnsi"/>
          <w:bCs/>
          <w:sz w:val="19"/>
          <w:szCs w:val="19"/>
        </w:rPr>
        <w:t>desde 2018.</w:t>
      </w:r>
    </w:p>
    <w:p w14:paraId="239898A4" w14:textId="5768B00F" w:rsidR="005A1399" w:rsidRPr="009A501D" w:rsidRDefault="009D604A" w:rsidP="00664A1D">
      <w:pPr>
        <w:spacing w:before="240"/>
        <w:jc w:val="both"/>
        <w:rPr>
          <w:rFonts w:ascii="Century Gothic" w:hAnsi="Century Gothic" w:cstheme="minorHAnsi"/>
          <w:bCs/>
          <w:sz w:val="19"/>
          <w:szCs w:val="19"/>
        </w:rPr>
      </w:pPr>
      <w:r w:rsidRPr="009A501D">
        <w:rPr>
          <w:rFonts w:ascii="Century Gothic" w:hAnsi="Century Gothic" w:cstheme="minorHAnsi"/>
          <w:bCs/>
          <w:sz w:val="19"/>
          <w:szCs w:val="19"/>
        </w:rPr>
        <w:t>Por otra parte, en la tabla A.5.3 se presentan las encuestas que en 2022 reportaron indicadores de precisión estadística como alcances a información publicada en años anteriores</w:t>
      </w:r>
      <w:r w:rsidR="0086376E" w:rsidRPr="009A501D">
        <w:rPr>
          <w:rFonts w:ascii="Century Gothic" w:hAnsi="Century Gothic" w:cstheme="minorHAnsi"/>
          <w:bCs/>
          <w:sz w:val="19"/>
          <w:szCs w:val="19"/>
        </w:rPr>
        <w:t xml:space="preserve">, </w:t>
      </w:r>
      <w:r w:rsidRPr="009A501D">
        <w:rPr>
          <w:rFonts w:ascii="Century Gothic" w:hAnsi="Century Gothic" w:cstheme="minorHAnsi"/>
          <w:bCs/>
          <w:sz w:val="19"/>
          <w:szCs w:val="19"/>
        </w:rPr>
        <w:t xml:space="preserve">cuando se hicieron cambios a la información, tal y como está señalado en los </w:t>
      </w:r>
      <w:r w:rsidRPr="009A501D">
        <w:rPr>
          <w:rFonts w:ascii="Century Gothic" w:hAnsi="Century Gothic" w:cstheme="minorHAnsi"/>
          <w:bCs/>
          <w:i/>
          <w:iCs/>
          <w:sz w:val="19"/>
          <w:szCs w:val="19"/>
        </w:rPr>
        <w:t>Lineamientos de cambios a la información divulgada en las publicaciones estadísticas y geográficas</w:t>
      </w:r>
      <w:r w:rsidRPr="009A501D">
        <w:rPr>
          <w:rFonts w:ascii="Century Gothic" w:hAnsi="Century Gothic" w:cstheme="minorHAnsi"/>
          <w:bCs/>
          <w:sz w:val="19"/>
          <w:szCs w:val="19"/>
        </w:rPr>
        <w:t>.</w:t>
      </w:r>
    </w:p>
    <w:p w14:paraId="07557DC8" w14:textId="24E605C7" w:rsidR="005A1399" w:rsidRPr="009A501D" w:rsidRDefault="005A1399" w:rsidP="00664A1D">
      <w:pPr>
        <w:spacing w:before="240"/>
        <w:jc w:val="center"/>
        <w:rPr>
          <w:rFonts w:ascii="Century Gothic" w:hAnsi="Century Gothic"/>
          <w:b/>
          <w:sz w:val="19"/>
          <w:szCs w:val="19"/>
        </w:rPr>
      </w:pPr>
      <w:r w:rsidRPr="009A501D">
        <w:rPr>
          <w:rFonts w:ascii="Century Gothic" w:hAnsi="Century Gothic" w:cstheme="majorHAnsi"/>
          <w:b/>
          <w:sz w:val="19"/>
          <w:szCs w:val="19"/>
        </w:rPr>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 xml:space="preserve">.3. </w:t>
      </w:r>
      <w:r w:rsidR="00304B7B" w:rsidRPr="009A501D">
        <w:rPr>
          <w:rFonts w:ascii="Century Gothic" w:hAnsi="Century Gothic"/>
          <w:b/>
          <w:sz w:val="19"/>
          <w:szCs w:val="19"/>
        </w:rPr>
        <w:t>Número</w:t>
      </w:r>
      <w:r w:rsidRPr="009A501D">
        <w:rPr>
          <w:rFonts w:ascii="Century Gothic" w:hAnsi="Century Gothic"/>
          <w:b/>
          <w:sz w:val="19"/>
          <w:szCs w:val="19"/>
        </w:rPr>
        <w:t xml:space="preserve"> indicadores de precisión </w:t>
      </w:r>
      <w:r w:rsidR="002752B5" w:rsidRPr="009A501D">
        <w:rPr>
          <w:rFonts w:ascii="Century Gothic" w:hAnsi="Century Gothic"/>
          <w:b/>
          <w:sz w:val="19"/>
          <w:szCs w:val="19"/>
        </w:rPr>
        <w:t>con cambios</w:t>
      </w:r>
      <w:r w:rsidRPr="009A501D">
        <w:rPr>
          <w:rFonts w:ascii="Century Gothic" w:hAnsi="Century Gothic"/>
          <w:b/>
          <w:sz w:val="19"/>
          <w:szCs w:val="19"/>
        </w:rPr>
        <w:t xml:space="preserve"> recibidos en 2022</w:t>
      </w:r>
    </w:p>
    <w:tbl>
      <w:tblPr>
        <w:tblW w:w="11076" w:type="dxa"/>
        <w:jc w:val="center"/>
        <w:tblCellMar>
          <w:left w:w="70" w:type="dxa"/>
          <w:right w:w="70" w:type="dxa"/>
        </w:tblCellMar>
        <w:tblLook w:val="04A0" w:firstRow="1" w:lastRow="0" w:firstColumn="1" w:lastColumn="0" w:noHBand="0" w:noVBand="1"/>
      </w:tblPr>
      <w:tblGrid>
        <w:gridCol w:w="1129"/>
        <w:gridCol w:w="1701"/>
        <w:gridCol w:w="2046"/>
        <w:gridCol w:w="1240"/>
        <w:gridCol w:w="1240"/>
        <w:gridCol w:w="1240"/>
        <w:gridCol w:w="1240"/>
        <w:gridCol w:w="1240"/>
      </w:tblGrid>
      <w:tr w:rsidR="005A1399" w:rsidRPr="009A501D" w14:paraId="0E711FFE" w14:textId="77777777" w:rsidTr="00D858E6">
        <w:trPr>
          <w:trHeight w:val="227"/>
          <w:jc w:val="center"/>
        </w:trPr>
        <w:tc>
          <w:tcPr>
            <w:tcW w:w="112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5C71A4D"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7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248E219" w14:textId="03CAA32A"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204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116C919"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Periodicidad</w:t>
            </w:r>
          </w:p>
        </w:tc>
        <w:tc>
          <w:tcPr>
            <w:tcW w:w="49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22DB334"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Año de referencia de la información</w:t>
            </w:r>
          </w:p>
        </w:tc>
        <w:tc>
          <w:tcPr>
            <w:tcW w:w="12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E4093C0" w14:textId="011581F6"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Total</w:t>
            </w:r>
          </w:p>
        </w:tc>
      </w:tr>
      <w:tr w:rsidR="005A1399" w:rsidRPr="009A501D" w14:paraId="4E517F42" w14:textId="77777777" w:rsidTr="00D858E6">
        <w:trPr>
          <w:trHeight w:val="227"/>
          <w:jc w:val="center"/>
        </w:trPr>
        <w:tc>
          <w:tcPr>
            <w:tcW w:w="112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E514D6" w14:textId="77777777" w:rsidR="005A1399" w:rsidRPr="009A501D" w:rsidRDefault="005A1399" w:rsidP="00D858E6">
            <w:pPr>
              <w:spacing w:after="0"/>
              <w:contextualSpacing/>
              <w:rPr>
                <w:rFonts w:ascii="Century Gothic" w:hAnsi="Century Gothic" w:cs="Calibri"/>
                <w:b/>
                <w:color w:val="FFFFFF"/>
                <w:sz w:val="16"/>
                <w:szCs w:val="16"/>
              </w:rPr>
            </w:pPr>
          </w:p>
        </w:tc>
        <w:tc>
          <w:tcPr>
            <w:tcW w:w="17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5D2D1D" w14:textId="77777777" w:rsidR="005A1399" w:rsidRPr="009A501D" w:rsidRDefault="005A1399" w:rsidP="00D858E6">
            <w:pPr>
              <w:spacing w:after="0"/>
              <w:contextualSpacing/>
              <w:rPr>
                <w:rFonts w:ascii="Century Gothic" w:hAnsi="Century Gothic" w:cs="Calibri"/>
                <w:b/>
                <w:color w:val="FFFFFF"/>
                <w:sz w:val="16"/>
                <w:szCs w:val="16"/>
              </w:rPr>
            </w:pPr>
          </w:p>
        </w:tc>
        <w:tc>
          <w:tcPr>
            <w:tcW w:w="204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985D12" w14:textId="77777777" w:rsidR="005A1399" w:rsidRPr="009A501D" w:rsidRDefault="005A1399" w:rsidP="00D858E6">
            <w:pPr>
              <w:spacing w:after="0"/>
              <w:contextualSpacing/>
              <w:rPr>
                <w:rFonts w:ascii="Century Gothic" w:hAnsi="Century Gothic" w:cs="Calibri"/>
                <w:b/>
                <w:color w:val="FFFFFF"/>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78374378"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2018</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7B243AD1"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37F1573E"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40ACADFB" w14:textId="77777777" w:rsidR="005A1399" w:rsidRPr="009A501D" w:rsidRDefault="005A1399"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12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9B4276" w14:textId="77777777" w:rsidR="005A1399" w:rsidRPr="009A501D" w:rsidRDefault="005A1399" w:rsidP="00D858E6">
            <w:pPr>
              <w:spacing w:after="0"/>
              <w:contextualSpacing/>
              <w:rPr>
                <w:rFonts w:ascii="Century Gothic" w:hAnsi="Century Gothic" w:cs="Calibri"/>
                <w:b/>
                <w:color w:val="FFFFFF"/>
                <w:sz w:val="16"/>
                <w:szCs w:val="16"/>
              </w:rPr>
            </w:pPr>
          </w:p>
        </w:tc>
      </w:tr>
      <w:tr w:rsidR="005A1399" w:rsidRPr="009A501D" w14:paraId="528EE12F"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8BF160"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DGIAI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B7C704"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BIARE</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5AC7CF"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Semestral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B0247E" w14:textId="5C27C540" w:rsidR="005A1399" w:rsidRPr="009A501D" w:rsidRDefault="004C29F1"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474DCE1" w14:textId="3B092C4C" w:rsidR="005A1399" w:rsidRPr="009A501D" w:rsidRDefault="00F6713F"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5</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24A54D2" w14:textId="6C3AA6D6" w:rsidR="005A1399" w:rsidRPr="009A501D" w:rsidRDefault="00F6713F"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8A4AECA" w14:textId="5CB9A5B4" w:rsidR="005A1399" w:rsidRPr="009A501D" w:rsidRDefault="00F6713F"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D2658E" w14:textId="7F36CB4C" w:rsidR="005A1399" w:rsidRPr="009A501D" w:rsidRDefault="004C29F1"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17</w:t>
            </w:r>
          </w:p>
        </w:tc>
      </w:tr>
      <w:tr w:rsidR="005A1399" w:rsidRPr="009A501D" w14:paraId="045F258F"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E61B7CB"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5D4B9EB"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EAC</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CED37AD"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37DB061"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7E44C7D"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C57035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127253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5CAE92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r>
      <w:tr w:rsidR="005A1399" w:rsidRPr="009A501D" w14:paraId="5F29909C"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1308ED4"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E4377A"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EAEC</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3122B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C0D3600"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DD52F9"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C5046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46DDA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B126C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r>
      <w:tr w:rsidR="005A1399" w:rsidRPr="009A501D" w14:paraId="366CC5FA"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89D9539"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72A2C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EAIM</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8DB2B18"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B111527"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9656669"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216C3E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E66552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6DC8F2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r>
      <w:tr w:rsidR="005A1399" w:rsidRPr="009A501D" w14:paraId="361A283D"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F3D680"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78955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EASPNF</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05DDDC"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1CFDAF"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3D2EB1"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035098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BC4A7A"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B82058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r>
      <w:tr w:rsidR="005A1399" w:rsidRPr="009A501D" w14:paraId="2B303CB6"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4868819"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81FFC0D"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EAT</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E1557D0"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3D69F46"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BA94309"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77D547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E1E027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507F4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r>
      <w:tr w:rsidR="005A1399" w:rsidRPr="009A501D" w14:paraId="0F68674C"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95CB23"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19EEEB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ENDUTIH</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386C4C"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49F719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D53008" w14:textId="77777777" w:rsidR="005A1399" w:rsidRPr="009A501D" w:rsidRDefault="005A1399" w:rsidP="00D858E6">
            <w:pPr>
              <w:spacing w:after="0"/>
              <w:contextualSpacing/>
              <w:jc w:val="center"/>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A060A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A88D8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4B64D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r>
      <w:tr w:rsidR="005A1399" w:rsidRPr="009A501D" w14:paraId="6EFFEC23"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34F8442"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C91B3EB"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EMEC</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CAFECFA"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4230BEA"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F8CC25D"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6091FA8"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71060DF"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A613A2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30</w:t>
            </w:r>
          </w:p>
        </w:tc>
      </w:tr>
      <w:tr w:rsidR="005A1399" w:rsidRPr="009A501D" w14:paraId="6F0460F1"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12E6FC"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F343D8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EMIM</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228E76B"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42AE05"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1AA77F"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987705"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1AEA6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9E9D4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30</w:t>
            </w:r>
          </w:p>
        </w:tc>
      </w:tr>
      <w:tr w:rsidR="005A1399" w:rsidRPr="009A501D" w14:paraId="3DF0EB50"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607E794"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84BCD24"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EMS</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F09B6A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2B0A63E"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DE66B3E"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BAD17BE"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A74B54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A5B5C4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60</w:t>
            </w:r>
          </w:p>
        </w:tc>
      </w:tr>
      <w:tr w:rsidR="005A1399" w:rsidRPr="009A501D" w14:paraId="3C7A99EF"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E8020C5"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76150F"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ENEC</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12C513"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1F6801"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E5E32D"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9491614"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36</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E0EA3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30</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685F7A6"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66</w:t>
            </w:r>
          </w:p>
        </w:tc>
      </w:tr>
      <w:tr w:rsidR="005A1399" w:rsidRPr="009A501D" w14:paraId="53628D0A"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6703E9D"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B1EF03D"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ENTI</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CF340E1"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B0CE715"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909E753"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BFC14B2" w14:textId="77777777" w:rsidR="005A1399" w:rsidRPr="009A501D" w:rsidRDefault="005A1399" w:rsidP="00D858E6">
            <w:pPr>
              <w:spacing w:after="0"/>
              <w:contextualSpacing/>
              <w:jc w:val="center"/>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0B2DDB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8EF678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r>
      <w:tr w:rsidR="005A1399" w:rsidRPr="009A501D" w14:paraId="0C7BAFB4"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6C995EC"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8937AD"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ENOE</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29E9D8"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FD095D"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5D2567"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70BA8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0B1C72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F312C4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27</w:t>
            </w:r>
          </w:p>
        </w:tc>
      </w:tr>
      <w:tr w:rsidR="005A1399" w:rsidRPr="009A501D" w14:paraId="457416C6"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104A10"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BF5E7BC"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ENOE-NE</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3C7D94F"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4E8942B" w14:textId="77777777" w:rsidR="005A1399" w:rsidRPr="009A501D" w:rsidRDefault="005A1399" w:rsidP="00D858E6">
            <w:pPr>
              <w:spacing w:after="0"/>
              <w:contextualSpacing/>
              <w:rPr>
                <w:rFonts w:ascii="Century Gothic" w:hAnsi="Century Gothic" w:cs="Calibri"/>
                <w:color w:val="000000"/>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9890F9B" w14:textId="77777777" w:rsidR="005A1399" w:rsidRPr="009A501D" w:rsidRDefault="005A1399" w:rsidP="00D858E6">
            <w:pPr>
              <w:spacing w:after="0"/>
              <w:contextualSpacing/>
              <w:jc w:val="center"/>
              <w:rPr>
                <w:sz w:val="16"/>
                <w:szCs w:val="16"/>
              </w:rPr>
            </w:pP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A28B34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672A24E"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6C95950"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9</w:t>
            </w:r>
          </w:p>
        </w:tc>
      </w:tr>
      <w:tr w:rsidR="005A1399" w:rsidRPr="009A501D" w14:paraId="61C34B38" w14:textId="77777777" w:rsidTr="00D858E6">
        <w:trPr>
          <w:trHeight w:val="227"/>
          <w:jc w:val="center"/>
        </w:trPr>
        <w:tc>
          <w:tcPr>
            <w:tcW w:w="11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9A7310"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3CEB13"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ENCO</w:t>
            </w:r>
          </w:p>
        </w:tc>
        <w:tc>
          <w:tcPr>
            <w:tcW w:w="20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1335EE" w14:textId="77777777" w:rsidR="005A1399" w:rsidRPr="009A501D" w:rsidRDefault="005A1399" w:rsidP="001739EA">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08D961"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8849FC"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8B2A08"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FD83472"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460D475" w14:textId="77777777" w:rsidR="005A1399" w:rsidRPr="009A501D" w:rsidRDefault="005A1399" w:rsidP="00D858E6">
            <w:pPr>
              <w:spacing w:after="0"/>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6</w:t>
            </w:r>
          </w:p>
        </w:tc>
      </w:tr>
      <w:tr w:rsidR="005A1399" w:rsidRPr="009A501D" w14:paraId="51FAD4DE" w14:textId="77777777" w:rsidTr="00D858E6">
        <w:trPr>
          <w:trHeight w:val="227"/>
          <w:jc w:val="center"/>
        </w:trPr>
        <w:tc>
          <w:tcPr>
            <w:tcW w:w="48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hideMark/>
          </w:tcPr>
          <w:p w14:paraId="1C297E76" w14:textId="2440F9F5" w:rsidR="005A1399" w:rsidRPr="009A501D" w:rsidRDefault="005A1399" w:rsidP="00D858E6">
            <w:pPr>
              <w:spacing w:after="0"/>
              <w:contextualSpacing/>
              <w:jc w:val="right"/>
              <w:rPr>
                <w:rFonts w:ascii="Century Gothic" w:hAnsi="Century Gothic" w:cs="Calibri"/>
                <w:b/>
                <w:color w:val="FFFFFF"/>
                <w:sz w:val="16"/>
                <w:szCs w:val="16"/>
              </w:rPr>
            </w:pPr>
            <w:r w:rsidRPr="009A501D">
              <w:rPr>
                <w:rFonts w:ascii="Century Gothic" w:hAnsi="Century Gothic" w:cs="Calibri"/>
                <w:b/>
                <w:color w:val="FFFFFF"/>
                <w:sz w:val="16"/>
                <w:szCs w:val="16"/>
              </w:rPr>
              <w:t>Total</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tcPr>
          <w:p w14:paraId="7EE5238B" w14:textId="10315353" w:rsidR="005A1399" w:rsidRPr="009A501D" w:rsidRDefault="00304B7B"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18</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tcPr>
          <w:p w14:paraId="379191EB" w14:textId="3C3A2FC7" w:rsidR="005A1399" w:rsidRPr="009A501D" w:rsidRDefault="00304B7B"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25</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tcPr>
          <w:p w14:paraId="6697B91D" w14:textId="6B7D7FAF" w:rsidR="005A1399" w:rsidRPr="009A501D" w:rsidRDefault="00304B7B"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91</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tcPr>
          <w:p w14:paraId="65A57815" w14:textId="446E4E8C" w:rsidR="005A1399" w:rsidRPr="009A501D" w:rsidRDefault="00304B7B"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165</w:t>
            </w:r>
          </w:p>
        </w:tc>
        <w:tc>
          <w:tcPr>
            <w:tcW w:w="1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vAlign w:val="center"/>
          </w:tcPr>
          <w:p w14:paraId="17FCA2B6" w14:textId="1D2AE405" w:rsidR="005A1399" w:rsidRPr="009A501D" w:rsidRDefault="00304B7B" w:rsidP="00D858E6">
            <w:pPr>
              <w:spacing w:after="0"/>
              <w:contextualSpacing/>
              <w:jc w:val="center"/>
              <w:rPr>
                <w:rFonts w:ascii="Century Gothic" w:hAnsi="Century Gothic" w:cs="Calibri"/>
                <w:b/>
                <w:color w:val="FFFFFF"/>
                <w:sz w:val="16"/>
                <w:szCs w:val="16"/>
              </w:rPr>
            </w:pPr>
            <w:r w:rsidRPr="009A501D">
              <w:rPr>
                <w:rFonts w:ascii="Century Gothic" w:hAnsi="Century Gothic" w:cs="Calibri"/>
                <w:b/>
                <w:color w:val="FFFFFF"/>
                <w:sz w:val="16"/>
                <w:szCs w:val="16"/>
              </w:rPr>
              <w:t>299</w:t>
            </w:r>
          </w:p>
        </w:tc>
      </w:tr>
    </w:tbl>
    <w:p w14:paraId="23BB7105" w14:textId="77777777" w:rsidR="005A1399" w:rsidRPr="009A501D" w:rsidRDefault="005A1399" w:rsidP="00664A1D">
      <w:pPr>
        <w:spacing w:before="240"/>
        <w:jc w:val="both"/>
        <w:rPr>
          <w:rFonts w:ascii="Century Gothic" w:hAnsi="Century Gothic" w:cstheme="minorHAnsi"/>
          <w:b/>
          <w:sz w:val="19"/>
          <w:szCs w:val="19"/>
        </w:rPr>
      </w:pPr>
      <w:r w:rsidRPr="009A501D">
        <w:rPr>
          <w:rFonts w:ascii="Century Gothic" w:hAnsi="Century Gothic" w:cstheme="minorHAnsi"/>
          <w:b/>
          <w:sz w:val="19"/>
          <w:szCs w:val="19"/>
        </w:rPr>
        <w:t>INDICADORES DE USO EXTERNO</w:t>
      </w:r>
    </w:p>
    <w:p w14:paraId="2E0FEA22" w14:textId="1DD1F13D"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Para los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s con muestreo mixto se presenta un resumen del </w:t>
      </w:r>
      <w:r w:rsidRPr="009A501D">
        <w:rPr>
          <w:rFonts w:ascii="Century Gothic" w:hAnsi="Century Gothic" w:cstheme="minorHAnsi"/>
          <w:i/>
          <w:iCs/>
          <w:sz w:val="19"/>
          <w:szCs w:val="19"/>
        </w:rPr>
        <w:t>indicador cobertura de la variable de diseño</w:t>
      </w:r>
      <w:r w:rsidRPr="009A501D">
        <w:rPr>
          <w:rFonts w:ascii="Century Gothic" w:hAnsi="Century Gothic" w:cstheme="minorHAnsi"/>
          <w:sz w:val="19"/>
          <w:szCs w:val="19"/>
        </w:rPr>
        <w:t xml:space="preserve"> (cuadro A.</w:t>
      </w:r>
      <w:r w:rsidR="0006343F" w:rsidRPr="009A501D">
        <w:rPr>
          <w:rFonts w:ascii="Century Gothic" w:hAnsi="Century Gothic" w:cstheme="minorHAnsi"/>
          <w:sz w:val="19"/>
          <w:szCs w:val="19"/>
        </w:rPr>
        <w:t>5</w:t>
      </w:r>
      <w:r w:rsidRPr="009A501D">
        <w:rPr>
          <w:rFonts w:ascii="Century Gothic" w:hAnsi="Century Gothic" w:cstheme="minorHAnsi"/>
          <w:sz w:val="19"/>
          <w:szCs w:val="19"/>
        </w:rPr>
        <w:t>.4).  La cobertura representa el porcentaje alcanzado de la variable de diseño con respecto al marco estadístico. Esta es la variable en la que se basa la selecci</w:t>
      </w:r>
      <w:r w:rsidRPr="009A501D">
        <w:rPr>
          <w:rFonts w:ascii="Century Gothic" w:hAnsi="Century Gothic" w:cs="Century Gothic"/>
          <w:sz w:val="19"/>
          <w:szCs w:val="19"/>
        </w:rPr>
        <w:t>ó</w:t>
      </w:r>
      <w:r w:rsidRPr="009A501D">
        <w:rPr>
          <w:rFonts w:ascii="Century Gothic" w:hAnsi="Century Gothic" w:cstheme="minorHAnsi"/>
          <w:sz w:val="19"/>
          <w:szCs w:val="19"/>
        </w:rPr>
        <w:t>n no probabil</w:t>
      </w:r>
      <w:r w:rsidRPr="009A501D">
        <w:rPr>
          <w:rFonts w:ascii="Century Gothic" w:hAnsi="Century Gothic" w:cs="Century Gothic"/>
          <w:sz w:val="19"/>
          <w:szCs w:val="19"/>
        </w:rPr>
        <w:t>í</w:t>
      </w:r>
      <w:r w:rsidRPr="009A501D">
        <w:rPr>
          <w:rFonts w:ascii="Century Gothic" w:hAnsi="Century Gothic" w:cstheme="minorHAnsi"/>
          <w:sz w:val="19"/>
          <w:szCs w:val="19"/>
        </w:rPr>
        <w:t>stica de la muestra y refleja la cobertura alcanzada de la misma con respecto al marco y, por tanto, la precisión en el valor reportado.  En caso de que no se logre el nivel de cobertura esperado o deseado, y con el fin de mejorar el valor de la cobertura, se pued</w:t>
      </w:r>
      <w:r w:rsidR="00F833E6" w:rsidRPr="009A501D">
        <w:rPr>
          <w:rFonts w:ascii="Century Gothic" w:hAnsi="Century Gothic" w:cstheme="minorHAnsi"/>
          <w:sz w:val="19"/>
          <w:szCs w:val="19"/>
        </w:rPr>
        <w:t>e</w:t>
      </w:r>
      <w:r w:rsidRPr="009A501D">
        <w:rPr>
          <w:rFonts w:ascii="Century Gothic" w:hAnsi="Century Gothic" w:cstheme="minorHAnsi"/>
          <w:sz w:val="19"/>
          <w:szCs w:val="19"/>
        </w:rPr>
        <w:t xml:space="preserve"> analizar la conveniencia de aumentar el tamaño de la muestra, lo que podría tener un impacto tanto operativo como presupuestal.</w:t>
      </w:r>
    </w:p>
    <w:p w14:paraId="1AD9EC92" w14:textId="42C0A625"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En el cuadro A.</w:t>
      </w:r>
      <w:r w:rsidR="00AE6C80" w:rsidRPr="009A501D">
        <w:rPr>
          <w:rFonts w:ascii="Century Gothic" w:hAnsi="Century Gothic" w:cstheme="minorHAnsi"/>
          <w:sz w:val="19"/>
          <w:szCs w:val="19"/>
        </w:rPr>
        <w:t>5</w:t>
      </w:r>
      <w:r w:rsidRPr="009A501D">
        <w:rPr>
          <w:rFonts w:ascii="Century Gothic" w:hAnsi="Century Gothic" w:cstheme="minorHAnsi"/>
          <w:sz w:val="19"/>
          <w:szCs w:val="19"/>
        </w:rPr>
        <w:t xml:space="preserve">.4 el número de casos corresponde al número de indicadores-objetivo en cada dominio de estudio conforme a la periodicidad del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 Adicionalmente, se muestra la distribución de casos en que la </w:t>
      </w:r>
      <w:r w:rsidRPr="009A501D">
        <w:rPr>
          <w:rFonts w:ascii="Century Gothic" w:hAnsi="Century Gothic" w:cstheme="minorHAnsi"/>
          <w:i/>
          <w:iCs/>
          <w:sz w:val="19"/>
          <w:szCs w:val="19"/>
        </w:rPr>
        <w:t>cobertura de la variable de diseño</w:t>
      </w:r>
      <w:r w:rsidRPr="009A501D">
        <w:rPr>
          <w:rFonts w:ascii="Century Gothic" w:hAnsi="Century Gothic" w:cstheme="minorHAnsi"/>
          <w:sz w:val="19"/>
          <w:szCs w:val="19"/>
        </w:rPr>
        <w:t xml:space="preserve"> presenta valores considerados de alta precisión (≥80%), de </w:t>
      </w:r>
      <w:r w:rsidRPr="009A501D">
        <w:rPr>
          <w:rFonts w:ascii="Century Gothic" w:hAnsi="Century Gothic" w:cstheme="minorHAnsi"/>
          <w:sz w:val="19"/>
          <w:szCs w:val="19"/>
        </w:rPr>
        <w:lastRenderedPageBreak/>
        <w:t xml:space="preserve">precisión moderada (60%-80%) y baja precisión (&lt;60%).  La </w:t>
      </w:r>
      <w:r w:rsidRPr="009A501D">
        <w:rPr>
          <w:rFonts w:ascii="Century Gothic" w:hAnsi="Century Gothic" w:cstheme="minorHAnsi"/>
          <w:i/>
          <w:iCs/>
          <w:sz w:val="19"/>
          <w:szCs w:val="19"/>
        </w:rPr>
        <w:t>cobertura de la variable de diseño</w:t>
      </w:r>
      <w:r w:rsidRPr="009A501D">
        <w:rPr>
          <w:rFonts w:ascii="Century Gothic" w:hAnsi="Century Gothic" w:cstheme="minorHAnsi"/>
          <w:sz w:val="19"/>
          <w:szCs w:val="19"/>
        </w:rPr>
        <w:t xml:space="preserve"> en 2022 es prácticamente igual a 2020 y 2018, lo cual muestra el esfuerzo realizado para mantener la calidad en este indicador a lo largo del tiempo, aunque aún mantienen un alto porcentaje de dominios de estudio en los indicadores-objetivo publicados con precisión moderada, destacando la Encuesta Anual de Comercio (EAC), Encuesta Mensual sobre Empresas Comerciales (EMEC) y Encuesta Anual de Servicios Privados no Financieros (EASPNF) como los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s con menor número de casos con alta precisión estadística.</w:t>
      </w:r>
    </w:p>
    <w:p w14:paraId="265A79FA" w14:textId="4FCBC005" w:rsidR="005A1399" w:rsidRPr="009A501D" w:rsidRDefault="005A1399" w:rsidP="00664A1D">
      <w:pPr>
        <w:spacing w:before="240"/>
        <w:jc w:val="center"/>
        <w:rPr>
          <w:rFonts w:ascii="Century Gothic" w:hAnsi="Century Gothic" w:cstheme="minorHAnsi"/>
          <w:b/>
          <w:sz w:val="19"/>
          <w:szCs w:val="19"/>
        </w:rPr>
      </w:pPr>
      <w:r w:rsidRPr="009A501D">
        <w:rPr>
          <w:rFonts w:ascii="Century Gothic" w:hAnsi="Century Gothic" w:cstheme="majorHAnsi"/>
          <w:b/>
          <w:sz w:val="19"/>
          <w:szCs w:val="19"/>
        </w:rPr>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 xml:space="preserve">.4. Frecuencias de la cobertura de la variable de diseño en encuestas en unidades económicas de acuerdo con los umbrales aprobados en el Comité por </w:t>
      </w:r>
      <w:r w:rsidR="00EC4113" w:rsidRPr="009A501D">
        <w:rPr>
          <w:rFonts w:ascii="Century Gothic" w:hAnsi="Century Gothic" w:cstheme="majorHAnsi"/>
          <w:b/>
          <w:sz w:val="19"/>
          <w:szCs w:val="19"/>
        </w:rPr>
        <w:t>proceso</w:t>
      </w:r>
    </w:p>
    <w:tbl>
      <w:tblPr>
        <w:tblW w:w="13800" w:type="dxa"/>
        <w:jc w:val="center"/>
        <w:tblCellMar>
          <w:left w:w="70" w:type="dxa"/>
          <w:right w:w="70" w:type="dxa"/>
        </w:tblCellMar>
        <w:tblLook w:val="04A0" w:firstRow="1" w:lastRow="0" w:firstColumn="1" w:lastColumn="0" w:noHBand="0" w:noVBand="1"/>
      </w:tblPr>
      <w:tblGrid>
        <w:gridCol w:w="876"/>
        <w:gridCol w:w="1519"/>
        <w:gridCol w:w="1358"/>
        <w:gridCol w:w="1096"/>
        <w:gridCol w:w="737"/>
        <w:gridCol w:w="738"/>
        <w:gridCol w:w="1175"/>
        <w:gridCol w:w="698"/>
        <w:gridCol w:w="658"/>
        <w:gridCol w:w="1195"/>
        <w:gridCol w:w="658"/>
        <w:gridCol w:w="678"/>
        <w:gridCol w:w="1057"/>
        <w:gridCol w:w="658"/>
        <w:gridCol w:w="678"/>
        <w:gridCol w:w="146"/>
      </w:tblGrid>
      <w:tr w:rsidR="005A1399" w:rsidRPr="009A501D" w14:paraId="588AEDA2" w14:textId="77777777" w:rsidTr="00317772">
        <w:trPr>
          <w:gridAfter w:val="1"/>
          <w:wAfter w:w="36" w:type="dxa"/>
          <w:trHeight w:val="284"/>
          <w:tblHeader/>
          <w:jc w:val="center"/>
        </w:trPr>
        <w:tc>
          <w:tcPr>
            <w:tcW w:w="86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8064548"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51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239CD6B7"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Periodicidad</w:t>
            </w:r>
          </w:p>
        </w:tc>
        <w:tc>
          <w:tcPr>
            <w:tcW w:w="135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2E5F230" w14:textId="355A97DB"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257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A88EEC2" w14:textId="0C4E538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Indicadores publicados en el Informe de resultados del </w:t>
            </w:r>
            <w:r w:rsidR="005E61B3" w:rsidRPr="009A501D">
              <w:rPr>
                <w:rFonts w:ascii="Century Gothic" w:hAnsi="Century Gothic" w:cs="Calibri"/>
                <w:b/>
                <w:color w:val="FFFFFF"/>
                <w:sz w:val="16"/>
                <w:szCs w:val="16"/>
              </w:rPr>
              <w:t>Comité</w:t>
            </w:r>
            <w:r w:rsidRPr="009A501D">
              <w:rPr>
                <w:rFonts w:ascii="Century Gothic" w:hAnsi="Century Gothic" w:cs="Calibri"/>
                <w:b/>
                <w:color w:val="FFFFFF"/>
                <w:sz w:val="16"/>
                <w:szCs w:val="16"/>
              </w:rPr>
              <w:t xml:space="preserve"> 2018 - Línea base</w:t>
            </w:r>
          </w:p>
        </w:tc>
        <w:tc>
          <w:tcPr>
            <w:tcW w:w="25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23C61B7" w14:textId="091C9FE1"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Indicadores publicados en el Informe de resultados del </w:t>
            </w:r>
            <w:r w:rsidR="005E61B3" w:rsidRPr="009A501D">
              <w:rPr>
                <w:rFonts w:ascii="Century Gothic" w:hAnsi="Century Gothic" w:cs="Calibri"/>
                <w:b/>
                <w:color w:val="FFFFFF"/>
                <w:sz w:val="16"/>
                <w:szCs w:val="16"/>
              </w:rPr>
              <w:t>Comité</w:t>
            </w:r>
            <w:r w:rsidRPr="009A501D">
              <w:rPr>
                <w:rFonts w:ascii="Century Gothic" w:hAnsi="Century Gothic" w:cs="Calibri"/>
                <w:b/>
                <w:color w:val="FFFFFF"/>
                <w:sz w:val="16"/>
                <w:szCs w:val="16"/>
              </w:rPr>
              <w:t xml:space="preserve"> 2019</w:t>
            </w:r>
          </w:p>
        </w:tc>
        <w:tc>
          <w:tcPr>
            <w:tcW w:w="25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17D9021" w14:textId="4A7BB0F6"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Indicadores publicados en el Informe de resultados del </w:t>
            </w:r>
            <w:r w:rsidR="005E61B3" w:rsidRPr="009A501D">
              <w:rPr>
                <w:rFonts w:ascii="Century Gothic" w:hAnsi="Century Gothic" w:cs="Calibri"/>
                <w:b/>
                <w:color w:val="FFFFFF"/>
                <w:sz w:val="16"/>
                <w:szCs w:val="16"/>
              </w:rPr>
              <w:t>Comité</w:t>
            </w:r>
            <w:r w:rsidRPr="009A501D">
              <w:rPr>
                <w:rFonts w:ascii="Century Gothic" w:hAnsi="Century Gothic" w:cs="Calibri"/>
                <w:b/>
                <w:color w:val="FFFFFF"/>
                <w:sz w:val="16"/>
                <w:szCs w:val="16"/>
              </w:rPr>
              <w:t xml:space="preserve"> 2021</w:t>
            </w:r>
          </w:p>
        </w:tc>
        <w:tc>
          <w:tcPr>
            <w:tcW w:w="23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90F3C58"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Indicadores publicados en 2022*</w:t>
            </w:r>
          </w:p>
        </w:tc>
      </w:tr>
      <w:tr w:rsidR="005A1399" w:rsidRPr="009A501D" w14:paraId="5633F7A1" w14:textId="77777777" w:rsidTr="00317772">
        <w:trPr>
          <w:gridAfter w:val="1"/>
          <w:wAfter w:w="36" w:type="dxa"/>
          <w:trHeight w:val="450"/>
          <w:tblHeader/>
          <w:jc w:val="center"/>
        </w:trPr>
        <w:tc>
          <w:tcPr>
            <w:tcW w:w="86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CB4ED2" w14:textId="77777777" w:rsidR="005A1399" w:rsidRPr="009A501D" w:rsidRDefault="005A1399" w:rsidP="007F5C1B">
            <w:pPr>
              <w:spacing w:after="0" w:line="240" w:lineRule="auto"/>
              <w:rPr>
                <w:rFonts w:ascii="Century Gothic" w:hAnsi="Century Gothic" w:cs="Calibri"/>
                <w:b/>
                <w:color w:val="FFFFFF"/>
                <w:sz w:val="16"/>
                <w:szCs w:val="16"/>
              </w:rPr>
            </w:pPr>
          </w:p>
        </w:tc>
        <w:tc>
          <w:tcPr>
            <w:tcW w:w="151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9BA880" w14:textId="77777777" w:rsidR="005A1399" w:rsidRPr="009A501D" w:rsidRDefault="005A1399" w:rsidP="007F5C1B">
            <w:pPr>
              <w:spacing w:after="0" w:line="240" w:lineRule="auto"/>
              <w:rPr>
                <w:rFonts w:ascii="Century Gothic" w:hAnsi="Century Gothic" w:cs="Calibri"/>
                <w:b/>
                <w:color w:val="FFFFFF"/>
                <w:sz w:val="16"/>
                <w:szCs w:val="16"/>
              </w:rPr>
            </w:pPr>
          </w:p>
        </w:tc>
        <w:tc>
          <w:tcPr>
            <w:tcW w:w="135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9C2B03" w14:textId="77777777" w:rsidR="005A1399" w:rsidRPr="009A501D" w:rsidRDefault="005A1399" w:rsidP="007F5C1B">
            <w:pPr>
              <w:spacing w:after="0" w:line="240" w:lineRule="auto"/>
              <w:rPr>
                <w:rFonts w:ascii="Century Gothic" w:hAnsi="Century Gothic" w:cs="Calibri"/>
                <w:b/>
                <w:color w:val="FFFFFF"/>
                <w:sz w:val="16"/>
                <w:szCs w:val="16"/>
              </w:rPr>
            </w:pPr>
          </w:p>
        </w:tc>
        <w:tc>
          <w:tcPr>
            <w:tcW w:w="10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E2AFD3E" w14:textId="69214D84"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Número de </w:t>
            </w:r>
            <w:r w:rsidR="00B46281" w:rsidRPr="009A501D">
              <w:rPr>
                <w:rFonts w:ascii="Century Gothic" w:hAnsi="Century Gothic" w:cs="Calibri"/>
                <w:b/>
                <w:color w:val="FFFFFF"/>
                <w:sz w:val="16"/>
                <w:szCs w:val="16"/>
              </w:rPr>
              <w:t>c</w:t>
            </w:r>
            <w:r w:rsidRPr="009A501D">
              <w:rPr>
                <w:rFonts w:ascii="Century Gothic" w:hAnsi="Century Gothic" w:cs="Calibri"/>
                <w:b/>
                <w:color w:val="FFFFFF"/>
                <w:sz w:val="16"/>
                <w:szCs w:val="16"/>
              </w:rPr>
              <w:t>asos**</w:t>
            </w:r>
          </w:p>
        </w:tc>
        <w:tc>
          <w:tcPr>
            <w:tcW w:w="73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41DD69"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Alta</w:t>
            </w:r>
            <w:r w:rsidRPr="009A501D">
              <w:rPr>
                <w:rFonts w:ascii="Century Gothic" w:hAnsi="Century Gothic" w:cs="Calibri"/>
                <w:b/>
                <w:color w:val="000000"/>
                <w:sz w:val="16"/>
                <w:szCs w:val="16"/>
              </w:rPr>
              <w:br/>
              <w:t>≥80</w:t>
            </w:r>
            <w:r w:rsidRPr="009A501D">
              <w:rPr>
                <w:rFonts w:ascii="Century Gothic" w:hAnsi="Century Gothic" w:cs="Calibri"/>
                <w:b/>
                <w:color w:val="000000"/>
                <w:sz w:val="16"/>
                <w:szCs w:val="16"/>
                <w:vertAlign w:val="superscript"/>
              </w:rPr>
              <w:t>a/</w:t>
            </w:r>
          </w:p>
        </w:tc>
        <w:tc>
          <w:tcPr>
            <w:tcW w:w="73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53D7CD3A"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Baja</w:t>
            </w:r>
            <w:r w:rsidRPr="009A501D">
              <w:rPr>
                <w:rFonts w:ascii="Century Gothic" w:hAnsi="Century Gothic" w:cs="Calibri"/>
                <w:b/>
                <w:color w:val="000000"/>
                <w:sz w:val="16"/>
                <w:szCs w:val="16"/>
              </w:rPr>
              <w:br/>
              <w:t>&lt;60</w:t>
            </w:r>
            <w:r w:rsidRPr="009A501D">
              <w:rPr>
                <w:rFonts w:ascii="Century Gothic" w:hAnsi="Century Gothic" w:cs="Calibri"/>
                <w:b/>
                <w:color w:val="000000"/>
                <w:sz w:val="16"/>
                <w:szCs w:val="16"/>
                <w:vertAlign w:val="superscript"/>
              </w:rPr>
              <w:t>a/</w:t>
            </w:r>
          </w:p>
        </w:tc>
        <w:tc>
          <w:tcPr>
            <w:tcW w:w="11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8E8F9DF" w14:textId="2DAA9E6C"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Número de </w:t>
            </w:r>
            <w:r w:rsidR="00B46281" w:rsidRPr="009A501D">
              <w:rPr>
                <w:rFonts w:ascii="Century Gothic" w:hAnsi="Century Gothic" w:cs="Calibri"/>
                <w:b/>
                <w:color w:val="FFFFFF"/>
                <w:sz w:val="16"/>
                <w:szCs w:val="16"/>
              </w:rPr>
              <w:t>c</w:t>
            </w:r>
            <w:r w:rsidRPr="009A501D">
              <w:rPr>
                <w:rFonts w:ascii="Century Gothic" w:hAnsi="Century Gothic" w:cs="Calibri"/>
                <w:b/>
                <w:color w:val="FFFFFF"/>
                <w:sz w:val="16"/>
                <w:szCs w:val="16"/>
              </w:rPr>
              <w:t>asos</w:t>
            </w:r>
          </w:p>
        </w:tc>
        <w:tc>
          <w:tcPr>
            <w:tcW w:w="6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CC6A4A6"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Alta</w:t>
            </w:r>
            <w:r w:rsidRPr="009A501D">
              <w:rPr>
                <w:rFonts w:ascii="Century Gothic" w:hAnsi="Century Gothic" w:cs="Calibri"/>
                <w:b/>
                <w:color w:val="000000"/>
                <w:sz w:val="16"/>
                <w:szCs w:val="16"/>
              </w:rPr>
              <w:br/>
              <w:t>≥80</w:t>
            </w:r>
            <w:r w:rsidRPr="009A501D">
              <w:rPr>
                <w:rFonts w:ascii="Century Gothic" w:hAnsi="Century Gothic" w:cs="Calibri"/>
                <w:b/>
                <w:color w:val="000000"/>
                <w:sz w:val="16"/>
                <w:szCs w:val="16"/>
                <w:vertAlign w:val="superscript"/>
              </w:rPr>
              <w:t>a/</w:t>
            </w:r>
          </w:p>
        </w:tc>
        <w:tc>
          <w:tcPr>
            <w:tcW w:w="65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2BA73678"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Baja</w:t>
            </w:r>
            <w:r w:rsidRPr="009A501D">
              <w:rPr>
                <w:rFonts w:ascii="Century Gothic" w:hAnsi="Century Gothic" w:cs="Calibri"/>
                <w:b/>
                <w:color w:val="000000"/>
                <w:sz w:val="16"/>
                <w:szCs w:val="16"/>
              </w:rPr>
              <w:br/>
              <w:t>&lt;60</w:t>
            </w:r>
            <w:r w:rsidRPr="009A501D">
              <w:rPr>
                <w:rFonts w:ascii="Century Gothic" w:hAnsi="Century Gothic" w:cs="Calibri"/>
                <w:b/>
                <w:color w:val="000000"/>
                <w:sz w:val="16"/>
                <w:szCs w:val="16"/>
                <w:vertAlign w:val="superscript"/>
              </w:rPr>
              <w:t>a/</w:t>
            </w:r>
          </w:p>
        </w:tc>
        <w:tc>
          <w:tcPr>
            <w:tcW w:w="119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8E15BFB" w14:textId="36AEE27E"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Número de </w:t>
            </w:r>
            <w:r w:rsidR="006D1623">
              <w:rPr>
                <w:rFonts w:ascii="Century Gothic" w:hAnsi="Century Gothic" w:cs="Calibri"/>
                <w:b/>
                <w:color w:val="FFFFFF"/>
                <w:sz w:val="16"/>
                <w:szCs w:val="16"/>
              </w:rPr>
              <w:t>c</w:t>
            </w:r>
            <w:r w:rsidRPr="009A501D">
              <w:rPr>
                <w:rFonts w:ascii="Century Gothic" w:hAnsi="Century Gothic" w:cs="Calibri"/>
                <w:b/>
                <w:color w:val="FFFFFF"/>
                <w:sz w:val="16"/>
                <w:szCs w:val="16"/>
              </w:rPr>
              <w:t>asos</w:t>
            </w:r>
          </w:p>
        </w:tc>
        <w:tc>
          <w:tcPr>
            <w:tcW w:w="65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892837B"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Alta</w:t>
            </w:r>
            <w:r w:rsidRPr="009A501D">
              <w:rPr>
                <w:rFonts w:ascii="Century Gothic" w:hAnsi="Century Gothic" w:cs="Calibri"/>
                <w:b/>
                <w:color w:val="000000"/>
                <w:sz w:val="16"/>
                <w:szCs w:val="16"/>
              </w:rPr>
              <w:br/>
              <w:t>≥80</w:t>
            </w:r>
            <w:r w:rsidRPr="009A501D">
              <w:rPr>
                <w:rFonts w:ascii="Century Gothic" w:hAnsi="Century Gothic" w:cs="Calibri"/>
                <w:b/>
                <w:color w:val="000000"/>
                <w:sz w:val="16"/>
                <w:szCs w:val="16"/>
                <w:vertAlign w:val="superscript"/>
              </w:rPr>
              <w:t>a/</w:t>
            </w:r>
          </w:p>
        </w:tc>
        <w:tc>
          <w:tcPr>
            <w:tcW w:w="67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77CAAA3F"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Baja</w:t>
            </w:r>
            <w:r w:rsidRPr="009A501D">
              <w:rPr>
                <w:rFonts w:ascii="Century Gothic" w:hAnsi="Century Gothic" w:cs="Calibri"/>
                <w:b/>
                <w:color w:val="000000"/>
                <w:sz w:val="16"/>
                <w:szCs w:val="16"/>
              </w:rPr>
              <w:br/>
              <w:t>&lt;60</w:t>
            </w:r>
            <w:r w:rsidRPr="009A501D">
              <w:rPr>
                <w:rFonts w:ascii="Century Gothic" w:hAnsi="Century Gothic" w:cs="Calibri"/>
                <w:b/>
                <w:color w:val="000000"/>
                <w:sz w:val="16"/>
                <w:szCs w:val="16"/>
                <w:vertAlign w:val="superscript"/>
              </w:rPr>
              <w:t>a/</w:t>
            </w:r>
          </w:p>
        </w:tc>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4F2254E" w14:textId="2D1A4DC0"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Número de </w:t>
            </w:r>
            <w:r w:rsidR="00B46281" w:rsidRPr="009A501D">
              <w:rPr>
                <w:rFonts w:ascii="Century Gothic" w:hAnsi="Century Gothic" w:cs="Calibri"/>
                <w:b/>
                <w:color w:val="FFFFFF"/>
                <w:sz w:val="16"/>
                <w:szCs w:val="16"/>
              </w:rPr>
              <w:t>c</w:t>
            </w:r>
            <w:r w:rsidRPr="009A501D">
              <w:rPr>
                <w:rFonts w:ascii="Century Gothic" w:hAnsi="Century Gothic" w:cs="Calibri"/>
                <w:b/>
                <w:color w:val="FFFFFF"/>
                <w:sz w:val="16"/>
                <w:szCs w:val="16"/>
              </w:rPr>
              <w:t>asos</w:t>
            </w:r>
          </w:p>
        </w:tc>
        <w:tc>
          <w:tcPr>
            <w:tcW w:w="65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88DE2E6"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Alta</w:t>
            </w:r>
            <w:r w:rsidRPr="009A501D">
              <w:rPr>
                <w:rFonts w:ascii="Century Gothic" w:hAnsi="Century Gothic" w:cs="Calibri"/>
                <w:b/>
                <w:color w:val="000000"/>
                <w:sz w:val="16"/>
                <w:szCs w:val="16"/>
              </w:rPr>
              <w:br/>
              <w:t>≥80</w:t>
            </w:r>
            <w:r w:rsidRPr="009A501D">
              <w:rPr>
                <w:rFonts w:ascii="Century Gothic" w:hAnsi="Century Gothic" w:cs="Calibri"/>
                <w:b/>
                <w:color w:val="000000"/>
                <w:sz w:val="16"/>
                <w:szCs w:val="16"/>
                <w:vertAlign w:val="superscript"/>
              </w:rPr>
              <w:t>a/</w:t>
            </w:r>
          </w:p>
        </w:tc>
        <w:tc>
          <w:tcPr>
            <w:tcW w:w="67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064668ED" w14:textId="77777777" w:rsidR="005A1399" w:rsidRPr="009A501D" w:rsidRDefault="005A1399" w:rsidP="007F5C1B">
            <w:pPr>
              <w:spacing w:after="0" w:line="240" w:lineRule="auto"/>
              <w:jc w:val="center"/>
              <w:rPr>
                <w:rFonts w:ascii="Century Gothic" w:hAnsi="Century Gothic" w:cs="Calibri"/>
                <w:b/>
                <w:color w:val="000000"/>
                <w:sz w:val="16"/>
                <w:szCs w:val="16"/>
              </w:rPr>
            </w:pPr>
            <w:r w:rsidRPr="009A501D">
              <w:rPr>
                <w:rFonts w:ascii="Century Gothic" w:hAnsi="Century Gothic" w:cs="Calibri"/>
                <w:b/>
                <w:color w:val="000000"/>
                <w:sz w:val="16"/>
                <w:szCs w:val="16"/>
              </w:rPr>
              <w:t>Baja</w:t>
            </w:r>
            <w:r w:rsidRPr="009A501D">
              <w:rPr>
                <w:rFonts w:ascii="Century Gothic" w:hAnsi="Century Gothic" w:cs="Calibri"/>
                <w:b/>
                <w:color w:val="000000"/>
                <w:sz w:val="16"/>
                <w:szCs w:val="16"/>
              </w:rPr>
              <w:br/>
              <w:t>&lt;60</w:t>
            </w:r>
            <w:r w:rsidRPr="009A501D">
              <w:rPr>
                <w:rFonts w:ascii="Century Gothic" w:hAnsi="Century Gothic" w:cs="Calibri"/>
                <w:b/>
                <w:color w:val="000000"/>
                <w:sz w:val="16"/>
                <w:szCs w:val="16"/>
                <w:vertAlign w:val="superscript"/>
              </w:rPr>
              <w:t>a/</w:t>
            </w:r>
          </w:p>
        </w:tc>
      </w:tr>
      <w:tr w:rsidR="005A1399" w:rsidRPr="009A501D" w14:paraId="496CD105" w14:textId="77777777" w:rsidTr="00317772">
        <w:trPr>
          <w:trHeight w:val="284"/>
          <w:tblHeader/>
          <w:jc w:val="center"/>
        </w:trPr>
        <w:tc>
          <w:tcPr>
            <w:tcW w:w="86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AFC9C9" w14:textId="77777777" w:rsidR="005A1399" w:rsidRPr="009A501D" w:rsidRDefault="005A1399" w:rsidP="007F5C1B">
            <w:pPr>
              <w:spacing w:after="0" w:line="240" w:lineRule="auto"/>
              <w:rPr>
                <w:rFonts w:ascii="Century Gothic" w:hAnsi="Century Gothic" w:cs="Calibri"/>
                <w:b/>
                <w:color w:val="FFFFFF"/>
                <w:sz w:val="16"/>
                <w:szCs w:val="16"/>
              </w:rPr>
            </w:pPr>
          </w:p>
        </w:tc>
        <w:tc>
          <w:tcPr>
            <w:tcW w:w="151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DCE5E2" w14:textId="77777777" w:rsidR="005A1399" w:rsidRPr="009A501D" w:rsidRDefault="005A1399" w:rsidP="007F5C1B">
            <w:pPr>
              <w:spacing w:after="0" w:line="240" w:lineRule="auto"/>
              <w:rPr>
                <w:rFonts w:ascii="Century Gothic" w:hAnsi="Century Gothic" w:cs="Calibri"/>
                <w:b/>
                <w:color w:val="FFFFFF"/>
                <w:sz w:val="16"/>
                <w:szCs w:val="16"/>
              </w:rPr>
            </w:pPr>
          </w:p>
        </w:tc>
        <w:tc>
          <w:tcPr>
            <w:tcW w:w="135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6BDBFA" w14:textId="77777777" w:rsidR="005A1399" w:rsidRPr="009A501D" w:rsidRDefault="005A1399" w:rsidP="007F5C1B">
            <w:pPr>
              <w:spacing w:after="0" w:line="240" w:lineRule="auto"/>
              <w:rPr>
                <w:rFonts w:ascii="Century Gothic" w:hAnsi="Century Gothic" w:cs="Calibri"/>
                <w:b/>
                <w:color w:val="FFFFFF"/>
                <w:sz w:val="16"/>
                <w:szCs w:val="16"/>
              </w:rPr>
            </w:pPr>
          </w:p>
        </w:tc>
        <w:tc>
          <w:tcPr>
            <w:tcW w:w="109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E2ED99" w14:textId="77777777" w:rsidR="005A1399" w:rsidRPr="009A501D" w:rsidRDefault="005A1399" w:rsidP="007F5C1B">
            <w:pPr>
              <w:spacing w:after="0" w:line="240" w:lineRule="auto"/>
              <w:rPr>
                <w:rFonts w:ascii="Century Gothic" w:hAnsi="Century Gothic" w:cs="Calibri"/>
                <w:b/>
                <w:color w:val="FFFFFF"/>
                <w:sz w:val="16"/>
                <w:szCs w:val="16"/>
              </w:rPr>
            </w:pPr>
          </w:p>
        </w:tc>
        <w:tc>
          <w:tcPr>
            <w:tcW w:w="73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C1D002" w14:textId="77777777" w:rsidR="005A1399" w:rsidRPr="009A501D" w:rsidRDefault="005A1399" w:rsidP="007F5C1B">
            <w:pPr>
              <w:spacing w:after="0" w:line="240" w:lineRule="auto"/>
              <w:rPr>
                <w:rFonts w:ascii="Century Gothic" w:hAnsi="Century Gothic" w:cs="Calibri"/>
                <w:b/>
                <w:color w:val="000000"/>
                <w:sz w:val="16"/>
                <w:szCs w:val="16"/>
              </w:rPr>
            </w:pPr>
          </w:p>
        </w:tc>
        <w:tc>
          <w:tcPr>
            <w:tcW w:w="73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55DD3A" w14:textId="77777777" w:rsidR="005A1399" w:rsidRPr="009A501D" w:rsidRDefault="005A1399" w:rsidP="007F5C1B">
            <w:pPr>
              <w:spacing w:after="0" w:line="240" w:lineRule="auto"/>
              <w:rPr>
                <w:rFonts w:ascii="Century Gothic" w:hAnsi="Century Gothic" w:cs="Calibri"/>
                <w:b/>
                <w:color w:val="000000"/>
                <w:sz w:val="16"/>
                <w:szCs w:val="16"/>
              </w:rPr>
            </w:pPr>
          </w:p>
        </w:tc>
        <w:tc>
          <w:tcPr>
            <w:tcW w:w="11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14E79E" w14:textId="77777777" w:rsidR="005A1399" w:rsidRPr="009A501D" w:rsidRDefault="005A1399" w:rsidP="007F5C1B">
            <w:pPr>
              <w:spacing w:after="0" w:line="240" w:lineRule="auto"/>
              <w:rPr>
                <w:rFonts w:ascii="Century Gothic" w:hAnsi="Century Gothic" w:cs="Calibri"/>
                <w:b/>
                <w:color w:val="FFFFFF"/>
                <w:sz w:val="16"/>
                <w:szCs w:val="16"/>
              </w:rPr>
            </w:pPr>
          </w:p>
        </w:tc>
        <w:tc>
          <w:tcPr>
            <w:tcW w:w="6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06614E" w14:textId="77777777" w:rsidR="005A1399" w:rsidRPr="009A501D" w:rsidRDefault="005A1399" w:rsidP="007F5C1B">
            <w:pPr>
              <w:spacing w:after="0" w:line="240" w:lineRule="auto"/>
              <w:rPr>
                <w:rFonts w:ascii="Century Gothic" w:hAnsi="Century Gothic" w:cs="Calibri"/>
                <w:b/>
                <w:color w:val="000000"/>
                <w:sz w:val="16"/>
                <w:szCs w:val="16"/>
              </w:rPr>
            </w:pPr>
          </w:p>
        </w:tc>
        <w:tc>
          <w:tcPr>
            <w:tcW w:w="65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CFBD10" w14:textId="77777777" w:rsidR="005A1399" w:rsidRPr="009A501D" w:rsidRDefault="005A1399" w:rsidP="007F5C1B">
            <w:pPr>
              <w:spacing w:after="0" w:line="240" w:lineRule="auto"/>
              <w:rPr>
                <w:rFonts w:ascii="Century Gothic" w:hAnsi="Century Gothic" w:cs="Calibri"/>
                <w:b/>
                <w:color w:val="000000"/>
                <w:sz w:val="16"/>
                <w:szCs w:val="16"/>
              </w:rPr>
            </w:pPr>
          </w:p>
        </w:tc>
        <w:tc>
          <w:tcPr>
            <w:tcW w:w="119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94CC7B" w14:textId="77777777" w:rsidR="005A1399" w:rsidRPr="009A501D" w:rsidRDefault="005A1399" w:rsidP="007F5C1B">
            <w:pPr>
              <w:spacing w:after="0" w:line="240" w:lineRule="auto"/>
              <w:rPr>
                <w:rFonts w:ascii="Century Gothic" w:hAnsi="Century Gothic" w:cs="Calibri"/>
                <w:b/>
                <w:color w:val="FFFFFF"/>
                <w:sz w:val="16"/>
                <w:szCs w:val="16"/>
              </w:rPr>
            </w:pPr>
          </w:p>
        </w:tc>
        <w:tc>
          <w:tcPr>
            <w:tcW w:w="65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7550F7" w14:textId="77777777" w:rsidR="005A1399" w:rsidRPr="009A501D" w:rsidRDefault="005A1399" w:rsidP="007F5C1B">
            <w:pPr>
              <w:spacing w:after="0" w:line="240" w:lineRule="auto"/>
              <w:rPr>
                <w:rFonts w:ascii="Century Gothic" w:hAnsi="Century Gothic" w:cs="Calibri"/>
                <w:b/>
                <w:color w:val="000000"/>
                <w:sz w:val="16"/>
                <w:szCs w:val="16"/>
              </w:rPr>
            </w:pPr>
          </w:p>
        </w:tc>
        <w:tc>
          <w:tcPr>
            <w:tcW w:w="67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AFFC1C" w14:textId="77777777" w:rsidR="005A1399" w:rsidRPr="009A501D" w:rsidRDefault="005A1399" w:rsidP="007F5C1B">
            <w:pPr>
              <w:spacing w:after="0" w:line="240" w:lineRule="auto"/>
              <w:rPr>
                <w:rFonts w:ascii="Century Gothic" w:hAnsi="Century Gothic" w:cs="Calibri"/>
                <w:b/>
                <w:color w:val="000000"/>
                <w:sz w:val="16"/>
                <w:szCs w:val="16"/>
              </w:rPr>
            </w:pPr>
          </w:p>
        </w:tc>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67729F" w14:textId="77777777" w:rsidR="005A1399" w:rsidRPr="009A501D" w:rsidRDefault="005A1399" w:rsidP="007F5C1B">
            <w:pPr>
              <w:spacing w:after="0" w:line="240" w:lineRule="auto"/>
              <w:rPr>
                <w:rFonts w:ascii="Century Gothic" w:hAnsi="Century Gothic" w:cs="Calibri"/>
                <w:b/>
                <w:color w:val="FFFFFF"/>
                <w:sz w:val="16"/>
                <w:szCs w:val="16"/>
              </w:rPr>
            </w:pPr>
          </w:p>
        </w:tc>
        <w:tc>
          <w:tcPr>
            <w:tcW w:w="65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A51D4C" w14:textId="77777777" w:rsidR="005A1399" w:rsidRPr="009A501D" w:rsidRDefault="005A1399" w:rsidP="007F5C1B">
            <w:pPr>
              <w:spacing w:after="0" w:line="240" w:lineRule="auto"/>
              <w:rPr>
                <w:rFonts w:ascii="Century Gothic" w:hAnsi="Century Gothic" w:cs="Calibri"/>
                <w:b/>
                <w:color w:val="000000"/>
                <w:sz w:val="16"/>
                <w:szCs w:val="16"/>
              </w:rPr>
            </w:pPr>
          </w:p>
        </w:tc>
        <w:tc>
          <w:tcPr>
            <w:tcW w:w="67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61B6CA" w14:textId="77777777" w:rsidR="005A1399" w:rsidRPr="009A501D" w:rsidRDefault="005A1399" w:rsidP="007F5C1B">
            <w:pPr>
              <w:spacing w:after="0" w:line="240" w:lineRule="auto"/>
              <w:rPr>
                <w:rFonts w:ascii="Century Gothic" w:hAnsi="Century Gothic" w:cs="Calibri"/>
                <w:b/>
                <w:color w:val="000000"/>
                <w:sz w:val="16"/>
                <w:szCs w:val="16"/>
              </w:rPr>
            </w:pPr>
          </w:p>
        </w:tc>
        <w:tc>
          <w:tcPr>
            <w:tcW w:w="36" w:type="dxa"/>
            <w:tcBorders>
              <w:top w:val="nil"/>
              <w:left w:val="single" w:sz="4" w:space="0" w:color="BFBFBF" w:themeColor="background1" w:themeShade="BF"/>
              <w:bottom w:val="nil"/>
              <w:right w:val="nil"/>
            </w:tcBorders>
            <w:shd w:val="clear" w:color="auto" w:fill="auto"/>
            <w:noWrap/>
            <w:vAlign w:val="bottom"/>
            <w:hideMark/>
          </w:tcPr>
          <w:p w14:paraId="2FAE367B" w14:textId="77777777" w:rsidR="005A1399" w:rsidRPr="009A501D" w:rsidRDefault="005A1399" w:rsidP="007F5C1B">
            <w:pPr>
              <w:spacing w:after="0" w:line="240" w:lineRule="auto"/>
              <w:jc w:val="center"/>
              <w:rPr>
                <w:rFonts w:ascii="Century Gothic" w:hAnsi="Century Gothic" w:cs="Calibri"/>
                <w:b/>
                <w:color w:val="000000"/>
                <w:sz w:val="16"/>
                <w:szCs w:val="16"/>
              </w:rPr>
            </w:pPr>
          </w:p>
        </w:tc>
      </w:tr>
      <w:tr w:rsidR="005A1399" w:rsidRPr="009A501D" w14:paraId="302AD1E6" w14:textId="77777777" w:rsidTr="004C2495">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E9B7977"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D8FC377"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F4A822C"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EAC</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870B8F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77398D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8BB5F2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35%</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73E15F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DE54F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6D66B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0A20B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A95189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DC4C9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273157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40C7E6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E5A2A8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shd w:val="clear" w:color="auto" w:fill="F2F2F2" w:themeFill="background1" w:themeFillShade="F2"/>
            <w:vAlign w:val="center"/>
            <w:hideMark/>
          </w:tcPr>
          <w:p w14:paraId="541E7993" w14:textId="77777777" w:rsidR="005A1399" w:rsidRPr="009A501D" w:rsidRDefault="005A1399" w:rsidP="007F5C1B">
            <w:pPr>
              <w:spacing w:after="0" w:line="240" w:lineRule="auto"/>
              <w:rPr>
                <w:sz w:val="16"/>
                <w:szCs w:val="16"/>
              </w:rPr>
            </w:pPr>
          </w:p>
        </w:tc>
      </w:tr>
      <w:tr w:rsidR="005A1399" w:rsidRPr="009A501D" w14:paraId="7760901F" w14:textId="77777777" w:rsidTr="00317772">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C321B1"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9F08BE5"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33AF1F"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EAIM</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D23DC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236</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9915D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61%</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E8DB4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31601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219</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40A47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78%</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F1DC4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9C0CA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9DFE0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78%</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26C4C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57102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12B10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78%</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1E611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vAlign w:val="center"/>
            <w:hideMark/>
          </w:tcPr>
          <w:p w14:paraId="2A7F7963" w14:textId="77777777" w:rsidR="005A1399" w:rsidRPr="009A501D" w:rsidRDefault="005A1399" w:rsidP="007F5C1B">
            <w:pPr>
              <w:spacing w:after="0" w:line="240" w:lineRule="auto"/>
              <w:rPr>
                <w:sz w:val="16"/>
                <w:szCs w:val="16"/>
              </w:rPr>
            </w:pPr>
          </w:p>
        </w:tc>
      </w:tr>
      <w:tr w:rsidR="005A1399" w:rsidRPr="009A501D" w14:paraId="46998A0A" w14:textId="77777777" w:rsidTr="004C2495">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E85E833"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229DEF2"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5AAB67"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EASPNF</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6E5ED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48</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53864F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56%</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F857CC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13%</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10634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49</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BD649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67%</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6C9183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BB2357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EBA076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67%</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B9ABF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07F90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E86B0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67%</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E5E2F2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shd w:val="clear" w:color="auto" w:fill="F2F2F2" w:themeFill="background1" w:themeFillShade="F2"/>
            <w:vAlign w:val="center"/>
            <w:hideMark/>
          </w:tcPr>
          <w:p w14:paraId="3E43B592" w14:textId="77777777" w:rsidR="005A1399" w:rsidRPr="009A501D" w:rsidRDefault="005A1399" w:rsidP="007F5C1B">
            <w:pPr>
              <w:spacing w:after="0" w:line="240" w:lineRule="auto"/>
              <w:rPr>
                <w:sz w:val="16"/>
                <w:szCs w:val="16"/>
              </w:rPr>
            </w:pPr>
          </w:p>
        </w:tc>
      </w:tr>
      <w:tr w:rsidR="005A1399" w:rsidRPr="009A501D" w14:paraId="436384F2" w14:textId="77777777" w:rsidTr="00317772">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517FF9"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A71ADE"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BEA552"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EAT</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D8F92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7DA45A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57%</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ADCE7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14%</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D7503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2C969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100%</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9AAF9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4F3AA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89E9B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100%</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D8E60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CFD89B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599E06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100%</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B432AA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vAlign w:val="center"/>
            <w:hideMark/>
          </w:tcPr>
          <w:p w14:paraId="0AC85B4E" w14:textId="77777777" w:rsidR="005A1399" w:rsidRPr="009A501D" w:rsidRDefault="005A1399" w:rsidP="007F5C1B">
            <w:pPr>
              <w:spacing w:after="0" w:line="240" w:lineRule="auto"/>
              <w:rPr>
                <w:sz w:val="16"/>
                <w:szCs w:val="16"/>
              </w:rPr>
            </w:pPr>
          </w:p>
        </w:tc>
      </w:tr>
      <w:tr w:rsidR="005A1399" w:rsidRPr="009A501D" w14:paraId="4F82950A" w14:textId="77777777" w:rsidTr="004C2495">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BF007F0"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26D5BBB"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864CABB"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EMEC</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DC251C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2C93EE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30%</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D7FE3F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583FD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A96B44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2902F4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072F5A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5463A3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2334AA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4C4F01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18</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23B9E5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43720D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shd w:val="clear" w:color="auto" w:fill="F2F2F2" w:themeFill="background1" w:themeFillShade="F2"/>
            <w:vAlign w:val="center"/>
            <w:hideMark/>
          </w:tcPr>
          <w:p w14:paraId="71F49845" w14:textId="77777777" w:rsidR="005A1399" w:rsidRPr="009A501D" w:rsidRDefault="005A1399" w:rsidP="007F5C1B">
            <w:pPr>
              <w:spacing w:after="0" w:line="240" w:lineRule="auto"/>
              <w:rPr>
                <w:sz w:val="16"/>
                <w:szCs w:val="16"/>
              </w:rPr>
            </w:pPr>
          </w:p>
        </w:tc>
      </w:tr>
      <w:tr w:rsidR="005A1399" w:rsidRPr="009A501D" w14:paraId="711ABBCE" w14:textId="77777777" w:rsidTr="00317772">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9C71C7"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C5D4A2"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7B0F90"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EMIM</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10D07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236</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1963A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89%</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11E1E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133C2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219</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F7355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78%</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C5A1E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E19C6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38C6D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78%</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31409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8868F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302F2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78%</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8D364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vAlign w:val="center"/>
            <w:hideMark/>
          </w:tcPr>
          <w:p w14:paraId="5D67C5C3" w14:textId="77777777" w:rsidR="005A1399" w:rsidRPr="009A501D" w:rsidRDefault="005A1399" w:rsidP="007F5C1B">
            <w:pPr>
              <w:spacing w:after="0" w:line="240" w:lineRule="auto"/>
              <w:rPr>
                <w:sz w:val="16"/>
                <w:szCs w:val="16"/>
              </w:rPr>
            </w:pPr>
          </w:p>
        </w:tc>
      </w:tr>
      <w:tr w:rsidR="005A1399" w:rsidRPr="009A501D" w14:paraId="72F2E205" w14:textId="77777777" w:rsidTr="004C2495">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9A3B23E"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7F9B74A"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1F93F4B"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EMS</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1FDD69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60</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21D6CF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72%</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DEA15F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859CDE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60</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83D8FC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73%</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CC0C1C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D76B0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32B78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74%</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B8704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AB8BF7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119</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C9535D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74%</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33FEA4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shd w:val="clear" w:color="auto" w:fill="F2F2F2" w:themeFill="background1" w:themeFillShade="F2"/>
            <w:vAlign w:val="center"/>
            <w:hideMark/>
          </w:tcPr>
          <w:p w14:paraId="160C5A5A" w14:textId="77777777" w:rsidR="005A1399" w:rsidRPr="009A501D" w:rsidRDefault="005A1399" w:rsidP="007F5C1B">
            <w:pPr>
              <w:spacing w:after="0" w:line="240" w:lineRule="auto"/>
              <w:rPr>
                <w:sz w:val="16"/>
                <w:szCs w:val="16"/>
              </w:rPr>
            </w:pPr>
          </w:p>
        </w:tc>
      </w:tr>
      <w:tr w:rsidR="005A1399" w:rsidRPr="009A501D" w14:paraId="35659E3A" w14:textId="77777777" w:rsidTr="00317772">
        <w:trPr>
          <w:trHeight w:val="284"/>
          <w:jc w:val="center"/>
        </w:trPr>
        <w:tc>
          <w:tcPr>
            <w:tcW w:w="8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D5C3EA"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C9C9A4"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13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496621" w14:textId="77777777" w:rsidR="005A1399" w:rsidRPr="009A501D" w:rsidRDefault="005A1399" w:rsidP="00423255">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ECADEFI-CHIH</w:t>
            </w:r>
          </w:p>
        </w:tc>
        <w:tc>
          <w:tcPr>
            <w:tcW w:w="1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DFD9C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9B18BD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7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4DAE6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29CC8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98996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D420B5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BACDC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75CAE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F4BCF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301C4B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E485C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AED39A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tcBorders>
              <w:left w:val="single" w:sz="4" w:space="0" w:color="BFBFBF" w:themeColor="background1" w:themeShade="BF"/>
            </w:tcBorders>
            <w:vAlign w:val="center"/>
            <w:hideMark/>
          </w:tcPr>
          <w:p w14:paraId="09CA6A88" w14:textId="77777777" w:rsidR="005A1399" w:rsidRPr="009A501D" w:rsidRDefault="005A1399" w:rsidP="007F5C1B">
            <w:pPr>
              <w:spacing w:after="0" w:line="240" w:lineRule="auto"/>
              <w:rPr>
                <w:sz w:val="16"/>
                <w:szCs w:val="16"/>
              </w:rPr>
            </w:pPr>
          </w:p>
        </w:tc>
      </w:tr>
    </w:tbl>
    <w:p w14:paraId="1673E11A" w14:textId="49014C71" w:rsidR="005A1399" w:rsidRPr="009A501D" w:rsidRDefault="005A1399" w:rsidP="007F5C1B">
      <w:pPr>
        <w:spacing w:after="0"/>
        <w:ind w:left="284" w:right="508"/>
        <w:jc w:val="both"/>
        <w:rPr>
          <w:rFonts w:ascii="Century Gothic" w:eastAsia="Century Gothic" w:hAnsi="Century Gothic" w:cs="Century Gothic"/>
          <w:position w:val="4"/>
          <w:sz w:val="14"/>
          <w:szCs w:val="14"/>
        </w:rPr>
      </w:pPr>
      <w:r w:rsidRPr="009A501D">
        <w:rPr>
          <w:rFonts w:ascii="Century Gothic" w:eastAsia="Century Gothic" w:hAnsi="Century Gothic" w:cs="Century Gothic"/>
          <w:position w:val="4"/>
          <w:sz w:val="14"/>
          <w:szCs w:val="14"/>
          <w:vertAlign w:val="superscript"/>
        </w:rPr>
        <w:t>a/</w:t>
      </w:r>
      <w:r w:rsidRPr="009A501D">
        <w:rPr>
          <w:rFonts w:ascii="Century Gothic" w:eastAsia="Century Gothic" w:hAnsi="Century Gothic" w:cs="Century Gothic"/>
          <w:position w:val="4"/>
          <w:sz w:val="14"/>
          <w:szCs w:val="14"/>
        </w:rPr>
        <w:t xml:space="preserve"> Los umbrales para la cobertura de la variable de diseño aprobados por el Comité para encuestas en unidades económicas. Estos </w:t>
      </w:r>
      <w:r w:rsidR="00EC4113" w:rsidRPr="009A501D">
        <w:rPr>
          <w:rFonts w:ascii="Century Gothic" w:eastAsia="Century Gothic" w:hAnsi="Century Gothic" w:cs="Century Gothic"/>
          <w:position w:val="4"/>
          <w:sz w:val="14"/>
          <w:szCs w:val="14"/>
        </w:rPr>
        <w:t>proceso</w:t>
      </w:r>
      <w:r w:rsidRPr="009A501D">
        <w:rPr>
          <w:rFonts w:ascii="Century Gothic" w:eastAsia="Century Gothic" w:hAnsi="Century Gothic" w:cs="Century Gothic"/>
          <w:position w:val="4"/>
          <w:sz w:val="14"/>
          <w:szCs w:val="14"/>
        </w:rPr>
        <w:t xml:space="preserve">s tienen un diseño mixto, es decir, una parte probabilística y una no probabilística. Debido a cuestiones de espacio, se omitió el umbral de calidad Moderada [60-80), sin embargo, el porcentaje de casos que caen en dicho umbral por </w:t>
      </w:r>
      <w:r w:rsidR="00EC4113" w:rsidRPr="009A501D">
        <w:rPr>
          <w:rFonts w:ascii="Century Gothic" w:eastAsia="Century Gothic" w:hAnsi="Century Gothic" w:cs="Century Gothic"/>
          <w:position w:val="4"/>
          <w:sz w:val="14"/>
          <w:szCs w:val="14"/>
        </w:rPr>
        <w:t>proceso</w:t>
      </w:r>
      <w:r w:rsidRPr="009A501D">
        <w:rPr>
          <w:rFonts w:ascii="Century Gothic" w:eastAsia="Century Gothic" w:hAnsi="Century Gothic" w:cs="Century Gothic"/>
          <w:position w:val="4"/>
          <w:sz w:val="14"/>
          <w:szCs w:val="14"/>
        </w:rPr>
        <w:t xml:space="preserve"> se puede obtener como el complemento de la suma de los umbrales presentes.</w:t>
      </w:r>
    </w:p>
    <w:p w14:paraId="768F679A" w14:textId="6525997C" w:rsidR="005A1399" w:rsidRPr="009A501D" w:rsidRDefault="005A1399" w:rsidP="007F5C1B">
      <w:pPr>
        <w:spacing w:after="0"/>
        <w:ind w:left="284" w:right="508"/>
        <w:jc w:val="both"/>
        <w:rPr>
          <w:rFonts w:ascii="Century Gothic" w:hAnsi="Century Gothic"/>
          <w:sz w:val="14"/>
          <w:szCs w:val="14"/>
        </w:rPr>
      </w:pPr>
      <w:r w:rsidRPr="009A501D">
        <w:rPr>
          <w:rFonts w:ascii="Century Gothic" w:hAnsi="Century Gothic"/>
          <w:sz w:val="14"/>
          <w:szCs w:val="14"/>
        </w:rPr>
        <w:t xml:space="preserve">*Estos datos corresponden a la información publicada en 2022, y que reportaron indicadores en los metadatos hasta el 31 de enero de 2023. </w:t>
      </w:r>
    </w:p>
    <w:p w14:paraId="768671E2" w14:textId="2AB13CB5" w:rsidR="005A1399" w:rsidRPr="009A501D" w:rsidRDefault="005A1399" w:rsidP="007F5C1B">
      <w:pPr>
        <w:spacing w:after="0"/>
        <w:ind w:left="284" w:right="508"/>
        <w:jc w:val="both"/>
        <w:rPr>
          <w:rFonts w:ascii="Century Gothic" w:hAnsi="Century Gothic"/>
          <w:sz w:val="14"/>
          <w:szCs w:val="14"/>
        </w:rPr>
      </w:pPr>
      <w:r w:rsidRPr="009A501D">
        <w:rPr>
          <w:rFonts w:ascii="Century Gothic" w:hAnsi="Century Gothic"/>
          <w:sz w:val="14"/>
          <w:szCs w:val="14"/>
        </w:rPr>
        <w:t>**El número de casos corresponde a la multiplicación de los indicadores-objetivo por los dominios de estudio por el número de publicaciones durante el año.  Dado que en 2018 comenzó la publicación de los indicadores de precisión estadística, no se publicaron para los 12 meses; en 2019 se publicaron más de 12 meses ya que se reportaron los faltantes en 2018; en 2020 se publicaron 12 meses con algunas excepciones por la contingencia sanitaria, en 2021 se publicaron 12 meses y en 2022 se publicaron conforme a lo mencionado en el cuadro A.6.2.</w:t>
      </w:r>
    </w:p>
    <w:p w14:paraId="0DFDF8E2" w14:textId="00F595BC"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El </w:t>
      </w:r>
      <w:r w:rsidRPr="009A501D">
        <w:rPr>
          <w:rFonts w:ascii="Century Gothic" w:hAnsi="Century Gothic" w:cstheme="minorHAnsi"/>
          <w:i/>
          <w:iCs/>
          <w:sz w:val="19"/>
          <w:szCs w:val="19"/>
        </w:rPr>
        <w:t>coeficiente de variación</w:t>
      </w:r>
      <w:r w:rsidRPr="009A501D">
        <w:rPr>
          <w:rFonts w:ascii="Century Gothic" w:hAnsi="Century Gothic" w:cstheme="minorHAnsi"/>
          <w:sz w:val="19"/>
          <w:szCs w:val="19"/>
        </w:rPr>
        <w:t xml:space="preserve"> es una medida de la calidad de las estimaciones en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s con muestreo probabilístico que indica el porcentaje que representa el </w:t>
      </w:r>
      <w:r w:rsidRPr="009A501D">
        <w:rPr>
          <w:rFonts w:ascii="Century Gothic" w:hAnsi="Century Gothic" w:cstheme="minorHAnsi"/>
          <w:i/>
          <w:iCs/>
          <w:sz w:val="19"/>
          <w:szCs w:val="19"/>
        </w:rPr>
        <w:t>error estándar</w:t>
      </w:r>
      <w:r w:rsidRPr="009A501D">
        <w:rPr>
          <w:rFonts w:ascii="Century Gothic" w:hAnsi="Century Gothic" w:cstheme="minorHAnsi"/>
          <w:sz w:val="19"/>
          <w:szCs w:val="19"/>
        </w:rPr>
        <w:t xml:space="preserve"> respecto a la estimación del parámetro. El </w:t>
      </w:r>
      <w:r w:rsidRPr="009A501D">
        <w:rPr>
          <w:rFonts w:ascii="Century Gothic" w:hAnsi="Century Gothic" w:cstheme="minorHAnsi"/>
          <w:i/>
          <w:iCs/>
          <w:sz w:val="19"/>
          <w:szCs w:val="19"/>
        </w:rPr>
        <w:t>coeficiente de variación</w:t>
      </w:r>
      <w:r w:rsidRPr="009A501D">
        <w:rPr>
          <w:rFonts w:ascii="Century Gothic" w:hAnsi="Century Gothic" w:cstheme="minorHAnsi"/>
          <w:sz w:val="19"/>
          <w:szCs w:val="19"/>
        </w:rPr>
        <w:t xml:space="preserve"> es considerado el principal indicador de precisión estadística dado que, entre más cercano a cero es su valor, la estimación se aproxima a la realidad del fenómeno que se desea representar o medir. En los cuadros A.</w:t>
      </w:r>
      <w:r w:rsidR="00AE6C80" w:rsidRPr="009A501D">
        <w:rPr>
          <w:rFonts w:ascii="Century Gothic" w:hAnsi="Century Gothic" w:cstheme="minorHAnsi"/>
          <w:sz w:val="19"/>
          <w:szCs w:val="19"/>
        </w:rPr>
        <w:t>5</w:t>
      </w:r>
      <w:r w:rsidRPr="009A501D">
        <w:rPr>
          <w:rFonts w:ascii="Century Gothic" w:hAnsi="Century Gothic" w:cstheme="minorHAnsi"/>
          <w:sz w:val="19"/>
          <w:szCs w:val="19"/>
        </w:rPr>
        <w:t>.5 y A.</w:t>
      </w:r>
      <w:r w:rsidR="00AE6C80" w:rsidRPr="009A501D">
        <w:rPr>
          <w:rFonts w:ascii="Century Gothic" w:hAnsi="Century Gothic" w:cstheme="minorHAnsi"/>
          <w:sz w:val="19"/>
          <w:szCs w:val="19"/>
        </w:rPr>
        <w:t>5</w:t>
      </w:r>
      <w:r w:rsidRPr="009A501D">
        <w:rPr>
          <w:rFonts w:ascii="Century Gothic" w:hAnsi="Century Gothic" w:cstheme="minorHAnsi"/>
          <w:sz w:val="19"/>
          <w:szCs w:val="19"/>
        </w:rPr>
        <w:t xml:space="preserve">.6 se presenta el porcentaje de coeficientes de variación reportados que se encuentran en cada uno de los rangos de interpretación de la precisión: alta [0%–20%), moderada [20%–30%) y baja (≥30%) en unidades económicas y alta [0%–15%), moderada [15%–30%) y baja (≥30%) en hogares y otras unidades. El número de casos corresponde al número de indicadores-objetivo en cada dominio de estudio conforme a la periodicidad del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 </w:t>
      </w:r>
    </w:p>
    <w:p w14:paraId="626115C5" w14:textId="418D031A" w:rsidR="007F5C1B" w:rsidRPr="009A501D" w:rsidRDefault="007F5C1B">
      <w:pPr>
        <w:rPr>
          <w:rFonts w:ascii="Century Gothic" w:hAnsi="Century Gothic" w:cstheme="minorHAnsi"/>
          <w:sz w:val="19"/>
          <w:szCs w:val="19"/>
        </w:rPr>
      </w:pPr>
      <w:r w:rsidRPr="009A501D">
        <w:rPr>
          <w:rFonts w:ascii="Century Gothic" w:hAnsi="Century Gothic" w:cstheme="minorHAnsi"/>
          <w:sz w:val="19"/>
          <w:szCs w:val="19"/>
        </w:rPr>
        <w:br w:type="page"/>
      </w:r>
    </w:p>
    <w:p w14:paraId="70ED4FAF" w14:textId="12C2FDC2" w:rsidR="005A1399" w:rsidRPr="009A501D" w:rsidRDefault="005A1399"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lastRenderedPageBreak/>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.5. Frecuencias del coeficiente de variación en encuestas en unidades económicas</w:t>
      </w:r>
      <w:r w:rsidRPr="009A501D">
        <w:rPr>
          <w:rFonts w:ascii="Century Gothic" w:hAnsi="Century Gothic" w:cstheme="majorHAnsi"/>
          <w:b/>
          <w:sz w:val="19"/>
          <w:szCs w:val="19"/>
        </w:rPr>
        <w:br/>
        <w:t xml:space="preserve"> de acuerdo con los umbrales aprobados en el Comité por </w:t>
      </w:r>
      <w:r w:rsidR="00EC4113" w:rsidRPr="009A501D">
        <w:rPr>
          <w:rFonts w:ascii="Century Gothic" w:hAnsi="Century Gothic" w:cstheme="majorHAnsi"/>
          <w:b/>
          <w:sz w:val="19"/>
          <w:szCs w:val="19"/>
        </w:rPr>
        <w:t>proceso</w:t>
      </w:r>
    </w:p>
    <w:tbl>
      <w:tblPr>
        <w:tblW w:w="13940" w:type="dxa"/>
        <w:jc w:val="center"/>
        <w:tblCellMar>
          <w:left w:w="70" w:type="dxa"/>
          <w:right w:w="70" w:type="dxa"/>
        </w:tblCellMar>
        <w:tblLook w:val="04A0" w:firstRow="1" w:lastRow="0" w:firstColumn="1" w:lastColumn="0" w:noHBand="0" w:noVBand="1"/>
      </w:tblPr>
      <w:tblGrid>
        <w:gridCol w:w="938"/>
        <w:gridCol w:w="1477"/>
        <w:gridCol w:w="1277"/>
        <w:gridCol w:w="998"/>
        <w:gridCol w:w="817"/>
        <w:gridCol w:w="718"/>
        <w:gridCol w:w="1000"/>
        <w:gridCol w:w="875"/>
        <w:gridCol w:w="718"/>
        <w:gridCol w:w="931"/>
        <w:gridCol w:w="865"/>
        <w:gridCol w:w="687"/>
        <w:gridCol w:w="998"/>
        <w:gridCol w:w="797"/>
        <w:gridCol w:w="698"/>
        <w:gridCol w:w="146"/>
      </w:tblGrid>
      <w:tr w:rsidR="005A1399" w:rsidRPr="009A501D" w14:paraId="532BEBB2" w14:textId="77777777" w:rsidTr="009D7886">
        <w:trPr>
          <w:gridAfter w:val="1"/>
          <w:wAfter w:w="146" w:type="dxa"/>
          <w:trHeight w:val="284"/>
          <w:tblHeader/>
          <w:jc w:val="center"/>
        </w:trPr>
        <w:tc>
          <w:tcPr>
            <w:tcW w:w="93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B16D4CC" w14:textId="77777777"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UA</w:t>
            </w:r>
          </w:p>
        </w:tc>
        <w:tc>
          <w:tcPr>
            <w:tcW w:w="14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5EE896D" w14:textId="77777777"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Periodicidad</w:t>
            </w:r>
          </w:p>
        </w:tc>
        <w:tc>
          <w:tcPr>
            <w:tcW w:w="12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7B1AE2FA" w14:textId="6143D680" w:rsidR="005A1399" w:rsidRPr="009A501D" w:rsidRDefault="00EC4113"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Proceso</w:t>
            </w:r>
          </w:p>
        </w:tc>
        <w:tc>
          <w:tcPr>
            <w:tcW w:w="25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51827C7E" w14:textId="78363B1D"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Indicadores publicados en el Informe de resultados del </w:t>
            </w:r>
            <w:r w:rsidR="005E61B3" w:rsidRPr="009A501D">
              <w:rPr>
                <w:rFonts w:ascii="Century Gothic" w:hAnsi="Century Gothic" w:cs="Calibri"/>
                <w:b/>
                <w:bCs/>
                <w:color w:val="FFFFFF"/>
                <w:sz w:val="16"/>
                <w:szCs w:val="16"/>
              </w:rPr>
              <w:t>Comité</w:t>
            </w:r>
            <w:r w:rsidRPr="009A501D">
              <w:rPr>
                <w:rFonts w:ascii="Century Gothic" w:hAnsi="Century Gothic" w:cs="Calibri"/>
                <w:b/>
                <w:bCs/>
                <w:color w:val="FFFFFF"/>
                <w:sz w:val="16"/>
                <w:szCs w:val="16"/>
              </w:rPr>
              <w:t xml:space="preserve"> 2018 - Línea base.</w:t>
            </w:r>
          </w:p>
        </w:tc>
        <w:tc>
          <w:tcPr>
            <w:tcW w:w="25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15EEC85D" w14:textId="7458F306"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Indicadores publicados en el Informe de resultados del </w:t>
            </w:r>
            <w:r w:rsidR="005E61B3" w:rsidRPr="009A501D">
              <w:rPr>
                <w:rFonts w:ascii="Century Gothic" w:hAnsi="Century Gothic" w:cs="Calibri"/>
                <w:b/>
                <w:bCs/>
                <w:color w:val="FFFFFF"/>
                <w:sz w:val="16"/>
                <w:szCs w:val="16"/>
              </w:rPr>
              <w:t>Comité</w:t>
            </w:r>
            <w:r w:rsidRPr="009A501D">
              <w:rPr>
                <w:rFonts w:ascii="Century Gothic" w:hAnsi="Century Gothic" w:cs="Calibri"/>
                <w:b/>
                <w:bCs/>
                <w:color w:val="FFFFFF"/>
                <w:sz w:val="16"/>
                <w:szCs w:val="16"/>
              </w:rPr>
              <w:t xml:space="preserve"> 2019</w:t>
            </w:r>
          </w:p>
        </w:tc>
        <w:tc>
          <w:tcPr>
            <w:tcW w:w="248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0489626B" w14:textId="528F6EA7"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Indicadores publicados en el Informe de resultados del </w:t>
            </w:r>
            <w:r w:rsidR="005E61B3" w:rsidRPr="009A501D">
              <w:rPr>
                <w:rFonts w:ascii="Century Gothic" w:hAnsi="Century Gothic" w:cs="Calibri"/>
                <w:b/>
                <w:bCs/>
                <w:color w:val="FFFFFF"/>
                <w:sz w:val="16"/>
                <w:szCs w:val="16"/>
              </w:rPr>
              <w:t>Comité</w:t>
            </w:r>
            <w:r w:rsidRPr="009A501D">
              <w:rPr>
                <w:rFonts w:ascii="Century Gothic" w:hAnsi="Century Gothic" w:cs="Calibri"/>
                <w:b/>
                <w:bCs/>
                <w:color w:val="FFFFFF"/>
                <w:sz w:val="16"/>
                <w:szCs w:val="16"/>
              </w:rPr>
              <w:t xml:space="preserve"> 2021</w:t>
            </w:r>
          </w:p>
        </w:tc>
        <w:tc>
          <w:tcPr>
            <w:tcW w:w="24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2591530D" w14:textId="77777777"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Indicadores publicados en 2022*</w:t>
            </w:r>
          </w:p>
        </w:tc>
      </w:tr>
      <w:tr w:rsidR="005A1399" w:rsidRPr="009A501D" w14:paraId="19FB252D" w14:textId="77777777" w:rsidTr="009D7886">
        <w:trPr>
          <w:gridAfter w:val="1"/>
          <w:wAfter w:w="146" w:type="dxa"/>
          <w:trHeight w:val="450"/>
          <w:tblHeader/>
          <w:jc w:val="center"/>
        </w:trPr>
        <w:tc>
          <w:tcPr>
            <w:tcW w:w="93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6FDDA90"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14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B6AA6A"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12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B4981F"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9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83CC184" w14:textId="603DF23D"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423255"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1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D8C04B"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[0-20)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7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4F55C0D5"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 xml:space="preserve">≥30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10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27D37F13" w14:textId="767B735E"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423255"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7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7BED19E"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[0-20)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71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6E7C92CE"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 xml:space="preserve">Baja </w:t>
            </w:r>
            <w:r w:rsidRPr="009A501D">
              <w:rPr>
                <w:rFonts w:ascii="Century Gothic" w:hAnsi="Century Gothic" w:cs="Calibri"/>
                <w:b/>
                <w:bCs/>
                <w:color w:val="000000"/>
                <w:sz w:val="16"/>
                <w:szCs w:val="16"/>
              </w:rPr>
              <w:br/>
              <w:t xml:space="preserve">≥30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93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3C18E524" w14:textId="3E9860E6"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9D7886"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6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21B7D1B"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[0-20)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68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139B4549"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 xml:space="preserve">≥30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9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vAlign w:val="center"/>
            <w:hideMark/>
          </w:tcPr>
          <w:p w14:paraId="46BDB824" w14:textId="580B5DF6" w:rsidR="005A1399" w:rsidRPr="009A501D" w:rsidRDefault="005A1399" w:rsidP="007F5C1B">
            <w:pPr>
              <w:spacing w:after="0" w:line="240" w:lineRule="auto"/>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9D7886"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7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74E26E0"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[0-20)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698"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5400"/>
            <w:vAlign w:val="center"/>
            <w:hideMark/>
          </w:tcPr>
          <w:p w14:paraId="0C364B80" w14:textId="77777777" w:rsidR="005A1399" w:rsidRPr="009A501D" w:rsidRDefault="005A1399" w:rsidP="007F5C1B">
            <w:pPr>
              <w:spacing w:after="0" w:line="240" w:lineRule="auto"/>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 xml:space="preserve">≥30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r>
      <w:tr w:rsidR="005A1399" w:rsidRPr="009A501D" w14:paraId="06FCEDBD" w14:textId="77777777" w:rsidTr="009D7886">
        <w:trPr>
          <w:trHeight w:val="284"/>
          <w:tblHeader/>
          <w:jc w:val="center"/>
        </w:trPr>
        <w:tc>
          <w:tcPr>
            <w:tcW w:w="93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CDE140"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14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472D0A"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12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97BBD7"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0DED76"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81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5BB737"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7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906950"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100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24DB9B"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87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A09B654"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71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49972"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93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9F7797"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86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BBB923"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68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BA7964"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9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CFA69B" w14:textId="77777777" w:rsidR="005A1399" w:rsidRPr="009A501D" w:rsidRDefault="005A1399" w:rsidP="007F5C1B">
            <w:pPr>
              <w:spacing w:after="0" w:line="240" w:lineRule="auto"/>
              <w:rPr>
                <w:rFonts w:ascii="Century Gothic" w:hAnsi="Century Gothic" w:cs="Calibri"/>
                <w:b/>
                <w:bCs/>
                <w:color w:val="FFFFFF"/>
                <w:sz w:val="16"/>
                <w:szCs w:val="16"/>
              </w:rPr>
            </w:pPr>
          </w:p>
        </w:tc>
        <w:tc>
          <w:tcPr>
            <w:tcW w:w="7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374168"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698"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D4F5FE" w14:textId="77777777" w:rsidR="005A1399" w:rsidRPr="009A501D" w:rsidRDefault="005A1399" w:rsidP="007F5C1B">
            <w:pPr>
              <w:spacing w:after="0" w:line="240" w:lineRule="auto"/>
              <w:rPr>
                <w:rFonts w:ascii="Century Gothic" w:hAnsi="Century Gothic" w:cs="Calibri"/>
                <w:b/>
                <w:bCs/>
                <w:color w:val="000000"/>
                <w:sz w:val="16"/>
                <w:szCs w:val="16"/>
              </w:rPr>
            </w:pPr>
          </w:p>
        </w:tc>
        <w:tc>
          <w:tcPr>
            <w:tcW w:w="146" w:type="dxa"/>
            <w:tcBorders>
              <w:top w:val="nil"/>
              <w:left w:val="single" w:sz="4" w:space="0" w:color="BFBFBF" w:themeColor="background1" w:themeShade="BF"/>
              <w:bottom w:val="nil"/>
              <w:right w:val="nil"/>
            </w:tcBorders>
            <w:shd w:val="clear" w:color="auto" w:fill="auto"/>
            <w:noWrap/>
            <w:vAlign w:val="bottom"/>
            <w:hideMark/>
          </w:tcPr>
          <w:p w14:paraId="09EDE87E" w14:textId="77777777" w:rsidR="005A1399" w:rsidRPr="009A501D" w:rsidRDefault="005A1399" w:rsidP="007F5C1B">
            <w:pPr>
              <w:spacing w:after="0" w:line="240" w:lineRule="auto"/>
              <w:jc w:val="center"/>
              <w:rPr>
                <w:rFonts w:ascii="Century Gothic" w:hAnsi="Century Gothic" w:cs="Calibri"/>
                <w:b/>
                <w:bCs/>
                <w:color w:val="000000"/>
                <w:sz w:val="16"/>
                <w:szCs w:val="16"/>
              </w:rPr>
            </w:pPr>
          </w:p>
        </w:tc>
      </w:tr>
      <w:tr w:rsidR="005A1399" w:rsidRPr="009A501D" w14:paraId="1DCCCEC6"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391579"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8F98413"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Anual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74C7A76"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EAC</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C02C52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40</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15148A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65DC57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6DAEB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44</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8D5653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98158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E7E477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44</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D876F6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86%</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C9827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09F8E2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44</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41CAC7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84%</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B10D2E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11%</w:t>
            </w:r>
          </w:p>
        </w:tc>
        <w:tc>
          <w:tcPr>
            <w:tcW w:w="146" w:type="dxa"/>
            <w:tcBorders>
              <w:left w:val="single" w:sz="4" w:space="0" w:color="BFBFBF" w:themeColor="background1" w:themeShade="BF"/>
            </w:tcBorders>
            <w:shd w:val="clear" w:color="auto" w:fill="F2F2F2" w:themeFill="background1" w:themeFillShade="F2"/>
            <w:vAlign w:val="center"/>
            <w:hideMark/>
          </w:tcPr>
          <w:p w14:paraId="4F76DB6D" w14:textId="77777777" w:rsidR="005A1399" w:rsidRPr="009A501D" w:rsidRDefault="005A1399" w:rsidP="007F5C1B">
            <w:pPr>
              <w:spacing w:after="0" w:line="240" w:lineRule="auto"/>
              <w:rPr>
                <w:sz w:val="20"/>
                <w:szCs w:val="20"/>
              </w:rPr>
            </w:pPr>
          </w:p>
        </w:tc>
      </w:tr>
      <w:tr w:rsidR="005A1399" w:rsidRPr="009A501D" w14:paraId="3EDC36C2"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525442A"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B4EEFB"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Anual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540BFFD"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EAEC</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123E9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72</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F77C4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6842D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D9AB7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72</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93E14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35391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DC872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72</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3A459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8CFBA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9E7C2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72</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0C9E4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21150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vAlign w:val="center"/>
            <w:hideMark/>
          </w:tcPr>
          <w:p w14:paraId="582FDA72" w14:textId="77777777" w:rsidR="005A1399" w:rsidRPr="009A501D" w:rsidRDefault="005A1399" w:rsidP="007F5C1B">
            <w:pPr>
              <w:spacing w:after="0" w:line="240" w:lineRule="auto"/>
              <w:rPr>
                <w:sz w:val="20"/>
                <w:szCs w:val="20"/>
              </w:rPr>
            </w:pPr>
          </w:p>
        </w:tc>
      </w:tr>
      <w:tr w:rsidR="005A1399" w:rsidRPr="009A501D" w14:paraId="171B3F9F"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12D872C"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AA75C87"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Anual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1959411"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EAIM</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25E0EA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D657C5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95F83E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054D3A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49264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E4E65D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0A66A5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B4A2EA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7ED569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720FF4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7EF42C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0E0C3C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shd w:val="clear" w:color="auto" w:fill="F2F2F2" w:themeFill="background1" w:themeFillShade="F2"/>
            <w:vAlign w:val="center"/>
            <w:hideMark/>
          </w:tcPr>
          <w:p w14:paraId="39C35EDE" w14:textId="77777777" w:rsidR="005A1399" w:rsidRPr="009A501D" w:rsidRDefault="005A1399" w:rsidP="007F5C1B">
            <w:pPr>
              <w:spacing w:after="0" w:line="240" w:lineRule="auto"/>
              <w:rPr>
                <w:sz w:val="20"/>
                <w:szCs w:val="20"/>
              </w:rPr>
            </w:pPr>
          </w:p>
        </w:tc>
      </w:tr>
      <w:tr w:rsidR="005A1399" w:rsidRPr="009A501D" w14:paraId="29B0EE7B"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64697E"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62FB921"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Anual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DDDCDD"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EASPNF</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6ED4C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76</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FE52BC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96%</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5CE7E6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D476A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80</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D8F62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6912D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036FB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80</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14AC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85%</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FF37F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313FAD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80</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08B012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85%</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B89A2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w:t>
            </w:r>
          </w:p>
        </w:tc>
        <w:tc>
          <w:tcPr>
            <w:tcW w:w="146" w:type="dxa"/>
            <w:tcBorders>
              <w:left w:val="single" w:sz="4" w:space="0" w:color="BFBFBF" w:themeColor="background1" w:themeShade="BF"/>
            </w:tcBorders>
            <w:vAlign w:val="center"/>
            <w:hideMark/>
          </w:tcPr>
          <w:p w14:paraId="67FE813D" w14:textId="77777777" w:rsidR="005A1399" w:rsidRPr="009A501D" w:rsidRDefault="005A1399" w:rsidP="007F5C1B">
            <w:pPr>
              <w:spacing w:after="0" w:line="240" w:lineRule="auto"/>
              <w:rPr>
                <w:sz w:val="20"/>
                <w:szCs w:val="20"/>
              </w:rPr>
            </w:pPr>
          </w:p>
        </w:tc>
      </w:tr>
      <w:tr w:rsidR="005A1399" w:rsidRPr="009A501D" w14:paraId="7FA24F15"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3B9BF0D"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7E30B73"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Anual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C3AF752"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EAT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D2ED5A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8C6A7A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81B938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4F8842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F2B6A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6558FB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76322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06F96A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3F3684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BF3221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96F80B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5AA5E9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shd w:val="clear" w:color="auto" w:fill="F2F2F2" w:themeFill="background1" w:themeFillShade="F2"/>
            <w:vAlign w:val="center"/>
            <w:hideMark/>
          </w:tcPr>
          <w:p w14:paraId="73FB02AB" w14:textId="77777777" w:rsidR="005A1399" w:rsidRPr="009A501D" w:rsidRDefault="005A1399" w:rsidP="007F5C1B">
            <w:pPr>
              <w:spacing w:after="0" w:line="240" w:lineRule="auto"/>
              <w:rPr>
                <w:sz w:val="20"/>
                <w:szCs w:val="20"/>
              </w:rPr>
            </w:pPr>
          </w:p>
        </w:tc>
      </w:tr>
      <w:tr w:rsidR="005A1399" w:rsidRPr="009A501D" w14:paraId="49317E7C"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0C0C74D"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AA9363"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Anual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E52292"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ECIS</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16BFA33" w14:textId="77777777" w:rsidR="005A1399" w:rsidRPr="009A501D" w:rsidRDefault="005A1399" w:rsidP="007F5C1B">
            <w:pPr>
              <w:spacing w:after="0" w:line="240" w:lineRule="auto"/>
              <w:rPr>
                <w:rFonts w:ascii="Century Gothic" w:hAnsi="Century Gothic" w:cs="Calibri"/>
                <w:sz w:val="16"/>
                <w:szCs w:val="16"/>
              </w:rPr>
            </w:pP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6A7B73" w14:textId="77777777" w:rsidR="005A1399" w:rsidRPr="009A501D" w:rsidRDefault="005A1399" w:rsidP="007F5C1B">
            <w:pPr>
              <w:spacing w:after="0" w:line="240" w:lineRule="auto"/>
              <w:jc w:val="center"/>
              <w:rPr>
                <w:sz w:val="20"/>
                <w:szCs w:val="20"/>
              </w:rPr>
            </w:pP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0ED8F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 </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A78FE5" w14:textId="77777777" w:rsidR="005A1399" w:rsidRPr="009A501D" w:rsidRDefault="005A1399" w:rsidP="007F5C1B">
            <w:pPr>
              <w:spacing w:after="0" w:line="240" w:lineRule="auto"/>
              <w:jc w:val="center"/>
              <w:rPr>
                <w:rFonts w:ascii="Century Gothic" w:hAnsi="Century Gothic" w:cs="Calibri"/>
                <w:sz w:val="16"/>
                <w:szCs w:val="16"/>
              </w:rPr>
            </w:pP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481530" w14:textId="77777777" w:rsidR="005A1399" w:rsidRPr="009A501D" w:rsidRDefault="005A1399" w:rsidP="007F5C1B">
            <w:pPr>
              <w:spacing w:after="0" w:line="240" w:lineRule="auto"/>
              <w:jc w:val="center"/>
              <w:rPr>
                <w:sz w:val="20"/>
                <w:szCs w:val="20"/>
              </w:rPr>
            </w:pP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61B9D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 </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233A0F" w14:textId="77777777" w:rsidR="005A1399" w:rsidRPr="009A501D" w:rsidRDefault="005A1399" w:rsidP="007F5C1B">
            <w:pPr>
              <w:spacing w:after="0" w:line="240" w:lineRule="auto"/>
              <w:jc w:val="center"/>
              <w:rPr>
                <w:rFonts w:ascii="Century Gothic" w:hAnsi="Century Gothic" w:cs="Calibri"/>
                <w:sz w:val="16"/>
                <w:szCs w:val="16"/>
              </w:rPr>
            </w:pP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7719D5" w14:textId="77777777" w:rsidR="005A1399" w:rsidRPr="009A501D" w:rsidRDefault="005A1399" w:rsidP="007F5C1B">
            <w:pPr>
              <w:spacing w:after="0" w:line="240" w:lineRule="auto"/>
              <w:jc w:val="center"/>
              <w:rPr>
                <w:sz w:val="20"/>
                <w:szCs w:val="20"/>
              </w:rPr>
            </w:pP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26C5B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 </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7ACB7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2836</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DBE4C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72%</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E5672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13%</w:t>
            </w:r>
          </w:p>
        </w:tc>
        <w:tc>
          <w:tcPr>
            <w:tcW w:w="146" w:type="dxa"/>
            <w:tcBorders>
              <w:left w:val="single" w:sz="4" w:space="0" w:color="BFBFBF" w:themeColor="background1" w:themeShade="BF"/>
            </w:tcBorders>
            <w:vAlign w:val="center"/>
            <w:hideMark/>
          </w:tcPr>
          <w:p w14:paraId="3BB27B50" w14:textId="77777777" w:rsidR="005A1399" w:rsidRPr="009A501D" w:rsidRDefault="005A1399" w:rsidP="007F5C1B">
            <w:pPr>
              <w:spacing w:after="0" w:line="240" w:lineRule="auto"/>
              <w:rPr>
                <w:sz w:val="20"/>
                <w:szCs w:val="20"/>
              </w:rPr>
            </w:pPr>
          </w:p>
        </w:tc>
      </w:tr>
      <w:tr w:rsidR="005A1399" w:rsidRPr="009A501D" w14:paraId="347A1C1A"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ACE2D66"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2B04712"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Única</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FA34D09" w14:textId="277D70B4"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ECOVID-IE</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6CF47C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900B02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A717C8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EC292F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98D04B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1FACB6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D5A0FF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323B05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B305D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97D39C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41E41A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7C9DD5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46" w:type="dxa"/>
            <w:tcBorders>
              <w:left w:val="single" w:sz="4" w:space="0" w:color="BFBFBF" w:themeColor="background1" w:themeShade="BF"/>
            </w:tcBorders>
            <w:shd w:val="clear" w:color="auto" w:fill="F2F2F2" w:themeFill="background1" w:themeFillShade="F2"/>
            <w:vAlign w:val="center"/>
            <w:hideMark/>
          </w:tcPr>
          <w:p w14:paraId="463D307E" w14:textId="77777777" w:rsidR="005A1399" w:rsidRPr="009A501D" w:rsidRDefault="005A1399" w:rsidP="007F5C1B">
            <w:pPr>
              <w:spacing w:after="0" w:line="240" w:lineRule="auto"/>
              <w:rPr>
                <w:sz w:val="20"/>
                <w:szCs w:val="20"/>
              </w:rPr>
            </w:pPr>
          </w:p>
        </w:tc>
      </w:tr>
      <w:tr w:rsidR="005A1399" w:rsidRPr="009A501D" w14:paraId="1693FCF1"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94F27A"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2714C7"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Única</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54E3B1"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ENAF</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AFEF7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8387B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FA7A9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D3E613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23DA0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6F81E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D83D0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AA573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E1984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9AA7F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2A8AF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622169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46" w:type="dxa"/>
            <w:tcBorders>
              <w:left w:val="single" w:sz="4" w:space="0" w:color="BFBFBF" w:themeColor="background1" w:themeShade="BF"/>
            </w:tcBorders>
            <w:vAlign w:val="center"/>
            <w:hideMark/>
          </w:tcPr>
          <w:p w14:paraId="34C8CE02" w14:textId="77777777" w:rsidR="005A1399" w:rsidRPr="009A501D" w:rsidRDefault="005A1399" w:rsidP="007F5C1B">
            <w:pPr>
              <w:spacing w:after="0" w:line="240" w:lineRule="auto"/>
              <w:rPr>
                <w:sz w:val="20"/>
                <w:szCs w:val="20"/>
              </w:rPr>
            </w:pPr>
          </w:p>
        </w:tc>
      </w:tr>
      <w:tr w:rsidR="005A1399" w:rsidRPr="009A501D" w14:paraId="20430C37"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65B77B3"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E0BF92D"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Única</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C630372"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ENAFIN</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D880CEC" w14:textId="77777777" w:rsidR="005A1399" w:rsidRPr="009A501D" w:rsidRDefault="005A1399" w:rsidP="007F5C1B">
            <w:pPr>
              <w:spacing w:after="0" w:line="240" w:lineRule="auto"/>
              <w:rPr>
                <w:rFonts w:ascii="Century Gothic" w:hAnsi="Century Gothic" w:cs="Calibri"/>
                <w:sz w:val="16"/>
                <w:szCs w:val="16"/>
              </w:rPr>
            </w:pP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76491C6" w14:textId="77777777" w:rsidR="005A1399" w:rsidRPr="009A501D" w:rsidRDefault="005A1399" w:rsidP="007F5C1B">
            <w:pPr>
              <w:spacing w:after="0" w:line="240" w:lineRule="auto"/>
              <w:jc w:val="center"/>
              <w:rPr>
                <w:sz w:val="20"/>
                <w:szCs w:val="20"/>
              </w:rPr>
            </w:pP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839432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 </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D304E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22</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70709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59CBDD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92C425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1F9DDE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C26F6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337F09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22</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415E9E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95%</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7BC533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shd w:val="clear" w:color="auto" w:fill="F2F2F2" w:themeFill="background1" w:themeFillShade="F2"/>
            <w:vAlign w:val="center"/>
            <w:hideMark/>
          </w:tcPr>
          <w:p w14:paraId="4ED0185A" w14:textId="77777777" w:rsidR="005A1399" w:rsidRPr="009A501D" w:rsidRDefault="005A1399" w:rsidP="007F5C1B">
            <w:pPr>
              <w:spacing w:after="0" w:line="240" w:lineRule="auto"/>
              <w:rPr>
                <w:sz w:val="20"/>
                <w:szCs w:val="20"/>
              </w:rPr>
            </w:pPr>
          </w:p>
        </w:tc>
      </w:tr>
      <w:tr w:rsidR="005A1399" w:rsidRPr="009A501D" w14:paraId="1A48FB50"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385373"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E648D4"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Única</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84D5FD"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ENAPROCE</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212371C" w14:textId="77777777" w:rsidR="005A1399" w:rsidRPr="009A501D" w:rsidRDefault="005A1399" w:rsidP="007F5C1B">
            <w:pPr>
              <w:spacing w:after="0" w:line="240" w:lineRule="auto"/>
              <w:rPr>
                <w:rFonts w:ascii="Century Gothic" w:hAnsi="Century Gothic" w:cs="Calibri"/>
                <w:sz w:val="16"/>
                <w:szCs w:val="16"/>
              </w:rPr>
            </w:pP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FD8EBBC" w14:textId="77777777" w:rsidR="005A1399" w:rsidRPr="009A501D" w:rsidRDefault="005A1399" w:rsidP="007F5C1B">
            <w:pPr>
              <w:spacing w:after="0" w:line="240" w:lineRule="auto"/>
              <w:jc w:val="center"/>
              <w:rPr>
                <w:sz w:val="20"/>
                <w:szCs w:val="20"/>
              </w:rPr>
            </w:pP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D87ED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 </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86B50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DBACD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8302D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1084E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C7CF4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67176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F9B0F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F07F3A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1B901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46" w:type="dxa"/>
            <w:tcBorders>
              <w:left w:val="single" w:sz="4" w:space="0" w:color="BFBFBF" w:themeColor="background1" w:themeShade="BF"/>
            </w:tcBorders>
            <w:vAlign w:val="center"/>
            <w:hideMark/>
          </w:tcPr>
          <w:p w14:paraId="2F74435C" w14:textId="77777777" w:rsidR="005A1399" w:rsidRPr="009A501D" w:rsidRDefault="005A1399" w:rsidP="007F5C1B">
            <w:pPr>
              <w:spacing w:after="0" w:line="240" w:lineRule="auto"/>
              <w:rPr>
                <w:sz w:val="20"/>
                <w:szCs w:val="20"/>
              </w:rPr>
            </w:pPr>
          </w:p>
        </w:tc>
      </w:tr>
      <w:tr w:rsidR="005A1399" w:rsidRPr="009A501D" w14:paraId="790326FA"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CDDEC33"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8BB4CF2"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Única</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483D9D2"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ESIDET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1483B70" w14:textId="77777777" w:rsidR="005A1399" w:rsidRPr="009A501D" w:rsidRDefault="005A1399" w:rsidP="007F5C1B">
            <w:pPr>
              <w:spacing w:after="0" w:line="240" w:lineRule="auto"/>
              <w:rPr>
                <w:rFonts w:ascii="Century Gothic" w:hAnsi="Century Gothic" w:cs="Calibri"/>
                <w:sz w:val="16"/>
                <w:szCs w:val="16"/>
              </w:rPr>
            </w:pP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B1CEBC3" w14:textId="77777777" w:rsidR="005A1399" w:rsidRPr="009A501D" w:rsidRDefault="005A1399" w:rsidP="007F5C1B">
            <w:pPr>
              <w:spacing w:after="0" w:line="240" w:lineRule="auto"/>
              <w:jc w:val="center"/>
              <w:rPr>
                <w:sz w:val="20"/>
                <w:szCs w:val="20"/>
              </w:rPr>
            </w:pP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F8D7AE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 </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1B08D7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11</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D2EF14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EA363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02E892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50D80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C7CD1E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B8E1FE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66BB51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D0F261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46" w:type="dxa"/>
            <w:tcBorders>
              <w:left w:val="single" w:sz="4" w:space="0" w:color="BFBFBF" w:themeColor="background1" w:themeShade="BF"/>
            </w:tcBorders>
            <w:shd w:val="clear" w:color="auto" w:fill="F2F2F2" w:themeFill="background1" w:themeFillShade="F2"/>
            <w:vAlign w:val="center"/>
            <w:hideMark/>
          </w:tcPr>
          <w:p w14:paraId="49345DE6" w14:textId="77777777" w:rsidR="005A1399" w:rsidRPr="009A501D" w:rsidRDefault="005A1399" w:rsidP="007F5C1B">
            <w:pPr>
              <w:spacing w:after="0" w:line="240" w:lineRule="auto"/>
              <w:rPr>
                <w:sz w:val="20"/>
                <w:szCs w:val="20"/>
              </w:rPr>
            </w:pPr>
          </w:p>
        </w:tc>
      </w:tr>
      <w:tr w:rsidR="005A1399" w:rsidRPr="009A501D" w14:paraId="03BCF5C9"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FB50A4"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C5154F5"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Mensual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7350961"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EMEC</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8B5A7E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360</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F8193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97%</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7EB74C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EC839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552</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80E44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C2B9C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5E11C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528</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DC4A1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1355E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3D3814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528</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413F6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CD83E0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vAlign w:val="center"/>
            <w:hideMark/>
          </w:tcPr>
          <w:p w14:paraId="0ED10517" w14:textId="77777777" w:rsidR="005A1399" w:rsidRPr="009A501D" w:rsidRDefault="005A1399" w:rsidP="007F5C1B">
            <w:pPr>
              <w:spacing w:after="0" w:line="240" w:lineRule="auto"/>
              <w:rPr>
                <w:sz w:val="20"/>
                <w:szCs w:val="20"/>
              </w:rPr>
            </w:pPr>
          </w:p>
        </w:tc>
      </w:tr>
      <w:tr w:rsidR="005A1399" w:rsidRPr="009A501D" w14:paraId="77641D3B"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32DDCDE"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17ED0A5"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Mensual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91712EC"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EMIM</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53DD56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36</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31B3C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DCBAD5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C4E13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52</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007BD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9C8F8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3AD10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48</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272197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E46CF5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D8D9E9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48</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D09DA1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96%</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E00E9B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shd w:val="clear" w:color="auto" w:fill="F2F2F2" w:themeFill="background1" w:themeFillShade="F2"/>
            <w:vAlign w:val="center"/>
            <w:hideMark/>
          </w:tcPr>
          <w:p w14:paraId="5412FC41" w14:textId="77777777" w:rsidR="005A1399" w:rsidRPr="009A501D" w:rsidRDefault="005A1399" w:rsidP="007F5C1B">
            <w:pPr>
              <w:spacing w:after="0" w:line="240" w:lineRule="auto"/>
              <w:rPr>
                <w:sz w:val="20"/>
                <w:szCs w:val="20"/>
              </w:rPr>
            </w:pPr>
          </w:p>
        </w:tc>
      </w:tr>
      <w:tr w:rsidR="005A1399" w:rsidRPr="009A501D" w14:paraId="3C87F197"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6C2558C"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58B219"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Mensual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B56BE7"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EMOE</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F982D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18</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61C56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822FCC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481E8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504</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C72E4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4642F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83BEE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504</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40184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87%</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EF828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704E9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504</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84AC63" w14:textId="247D7FDE"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w:t>
            </w:r>
            <w:r w:rsidR="0086376E" w:rsidRPr="009A501D">
              <w:rPr>
                <w:rFonts w:ascii="Century Gothic" w:hAnsi="Century Gothic" w:cs="Calibri"/>
                <w:sz w:val="16"/>
                <w:szCs w:val="16"/>
              </w:rPr>
              <w:t>9</w:t>
            </w: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4D6132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46" w:type="dxa"/>
            <w:tcBorders>
              <w:left w:val="single" w:sz="4" w:space="0" w:color="BFBFBF" w:themeColor="background1" w:themeShade="BF"/>
            </w:tcBorders>
            <w:vAlign w:val="center"/>
            <w:hideMark/>
          </w:tcPr>
          <w:p w14:paraId="23A99A0F" w14:textId="77777777" w:rsidR="005A1399" w:rsidRPr="009A501D" w:rsidRDefault="005A1399" w:rsidP="007F5C1B">
            <w:pPr>
              <w:spacing w:after="0" w:line="240" w:lineRule="auto"/>
              <w:rPr>
                <w:sz w:val="20"/>
                <w:szCs w:val="20"/>
              </w:rPr>
            </w:pPr>
          </w:p>
        </w:tc>
      </w:tr>
      <w:tr w:rsidR="005A1399" w:rsidRPr="009A501D" w14:paraId="4E9DC6FA"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64BF3EA"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AD92B7A"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Mensual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865CE80"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EMS</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4AFBC9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720</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4E3FB7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83%</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933376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E0900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1 072</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E0340D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89%</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DDAD36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EC7D0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1776</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84EC8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82%</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373BED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4%</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A6DA50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1776</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B611D1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80%</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7A4E41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w:t>
            </w:r>
          </w:p>
        </w:tc>
        <w:tc>
          <w:tcPr>
            <w:tcW w:w="146" w:type="dxa"/>
            <w:tcBorders>
              <w:left w:val="single" w:sz="4" w:space="0" w:color="BFBFBF" w:themeColor="background1" w:themeShade="BF"/>
            </w:tcBorders>
            <w:shd w:val="clear" w:color="auto" w:fill="F2F2F2" w:themeFill="background1" w:themeFillShade="F2"/>
            <w:vAlign w:val="center"/>
            <w:hideMark/>
          </w:tcPr>
          <w:p w14:paraId="4BCE9102" w14:textId="77777777" w:rsidR="005A1399" w:rsidRPr="009A501D" w:rsidRDefault="005A1399" w:rsidP="007F5C1B">
            <w:pPr>
              <w:spacing w:after="0" w:line="240" w:lineRule="auto"/>
              <w:rPr>
                <w:sz w:val="20"/>
                <w:szCs w:val="20"/>
              </w:rPr>
            </w:pPr>
          </w:p>
        </w:tc>
      </w:tr>
      <w:tr w:rsidR="005A1399" w:rsidRPr="009A501D" w14:paraId="1651D4D7"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E74914"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DGEE</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4EB3917"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Mensual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EFA035E"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ENEC</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60091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648</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74965F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69%</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5D9677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62CC3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936</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415C9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75%</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898A9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974B4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864</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2FBD0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77%</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72C3E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D1538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864</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7E0BC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70%</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796B1C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w:t>
            </w:r>
          </w:p>
        </w:tc>
        <w:tc>
          <w:tcPr>
            <w:tcW w:w="146" w:type="dxa"/>
            <w:tcBorders>
              <w:left w:val="single" w:sz="4" w:space="0" w:color="BFBFBF" w:themeColor="background1" w:themeShade="BF"/>
            </w:tcBorders>
            <w:vAlign w:val="center"/>
            <w:hideMark/>
          </w:tcPr>
          <w:p w14:paraId="1B2FDD84" w14:textId="77777777" w:rsidR="005A1399" w:rsidRPr="009A501D" w:rsidRDefault="005A1399" w:rsidP="007F5C1B">
            <w:pPr>
              <w:spacing w:after="0" w:line="240" w:lineRule="auto"/>
              <w:rPr>
                <w:sz w:val="20"/>
                <w:szCs w:val="20"/>
              </w:rPr>
            </w:pPr>
          </w:p>
        </w:tc>
      </w:tr>
      <w:tr w:rsidR="005A1399" w:rsidRPr="009A501D" w14:paraId="6394BCFC"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C5F054F"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DGEGSPJ</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45B934C"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Trienal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2E9E28"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ECRIGE-CDMX</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F762C4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38ED35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94EF8E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AF0A8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33FD1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081349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7CB91D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A7EC0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015DF9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22EAB8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376F21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532685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46" w:type="dxa"/>
            <w:tcBorders>
              <w:left w:val="single" w:sz="4" w:space="0" w:color="BFBFBF" w:themeColor="background1" w:themeShade="BF"/>
            </w:tcBorders>
            <w:shd w:val="clear" w:color="auto" w:fill="F2F2F2" w:themeFill="background1" w:themeFillShade="F2"/>
            <w:vAlign w:val="center"/>
            <w:hideMark/>
          </w:tcPr>
          <w:p w14:paraId="09D8F752" w14:textId="77777777" w:rsidR="005A1399" w:rsidRPr="009A501D" w:rsidRDefault="005A1399" w:rsidP="007F5C1B">
            <w:pPr>
              <w:spacing w:after="0" w:line="240" w:lineRule="auto"/>
              <w:rPr>
                <w:sz w:val="20"/>
                <w:szCs w:val="20"/>
              </w:rPr>
            </w:pPr>
          </w:p>
        </w:tc>
      </w:tr>
      <w:tr w:rsidR="005A1399" w:rsidRPr="009A501D" w14:paraId="0D362660"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C22F23A"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DGEGSPJ</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B37D60"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Bienal</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DDB1B4"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ENVE</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EF71A7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66</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BEF31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7F90B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DEB50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D2FE5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74500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2F297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57471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4E734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A845E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1461</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8D843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D16ADD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w:t>
            </w:r>
          </w:p>
        </w:tc>
        <w:tc>
          <w:tcPr>
            <w:tcW w:w="146" w:type="dxa"/>
            <w:tcBorders>
              <w:left w:val="single" w:sz="4" w:space="0" w:color="BFBFBF" w:themeColor="background1" w:themeShade="BF"/>
            </w:tcBorders>
            <w:vAlign w:val="center"/>
            <w:hideMark/>
          </w:tcPr>
          <w:p w14:paraId="6A16F15B" w14:textId="77777777" w:rsidR="005A1399" w:rsidRPr="009A501D" w:rsidRDefault="005A1399" w:rsidP="007F5C1B">
            <w:pPr>
              <w:spacing w:after="0" w:line="240" w:lineRule="auto"/>
              <w:rPr>
                <w:sz w:val="20"/>
                <w:szCs w:val="20"/>
              </w:rPr>
            </w:pPr>
          </w:p>
        </w:tc>
      </w:tr>
      <w:tr w:rsidR="005A1399" w:rsidRPr="009A501D" w14:paraId="65024D9E" w14:textId="77777777" w:rsidTr="009D7886">
        <w:trPr>
          <w:trHeight w:val="284"/>
          <w:jc w:val="center"/>
        </w:trPr>
        <w:tc>
          <w:tcPr>
            <w:tcW w:w="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16ADD14"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DGEGSPJ</w:t>
            </w:r>
          </w:p>
        </w:tc>
        <w:tc>
          <w:tcPr>
            <w:tcW w:w="14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BB04EEA"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No determinado</w:t>
            </w:r>
          </w:p>
        </w:tc>
        <w:tc>
          <w:tcPr>
            <w:tcW w:w="12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5D02A38" w14:textId="77777777" w:rsidR="005A1399" w:rsidRPr="009A501D" w:rsidRDefault="005A1399" w:rsidP="00423255">
            <w:pPr>
              <w:spacing w:after="0" w:line="240" w:lineRule="auto"/>
              <w:jc w:val="center"/>
              <w:rPr>
                <w:rFonts w:ascii="Century Gothic" w:hAnsi="Century Gothic" w:cs="Calibri"/>
                <w:sz w:val="16"/>
                <w:szCs w:val="16"/>
              </w:rPr>
            </w:pPr>
            <w:r w:rsidRPr="009A501D">
              <w:rPr>
                <w:rFonts w:ascii="Century Gothic" w:hAnsi="Century Gothic" w:cs="Calibri"/>
                <w:sz w:val="16"/>
                <w:szCs w:val="16"/>
              </w:rPr>
              <w:t>ENCRIGE</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F07D9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E0DC14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0BC6A9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0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7527D6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8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2A26C2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C1C0A4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9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AC243A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14</w:t>
            </w:r>
          </w:p>
        </w:tc>
        <w:tc>
          <w:tcPr>
            <w:tcW w:w="8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A9D74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93%</w:t>
            </w:r>
          </w:p>
        </w:tc>
        <w:tc>
          <w:tcPr>
            <w:tcW w:w="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3B56DF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9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5248005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7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F419CC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0328B80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146" w:type="dxa"/>
            <w:tcBorders>
              <w:left w:val="single" w:sz="4" w:space="0" w:color="BFBFBF" w:themeColor="background1" w:themeShade="BF"/>
            </w:tcBorders>
            <w:shd w:val="clear" w:color="auto" w:fill="F2F2F2" w:themeFill="background1" w:themeFillShade="F2"/>
            <w:vAlign w:val="center"/>
            <w:hideMark/>
          </w:tcPr>
          <w:p w14:paraId="4C293C7C" w14:textId="77777777" w:rsidR="005A1399" w:rsidRPr="009A501D" w:rsidRDefault="005A1399" w:rsidP="007F5C1B">
            <w:pPr>
              <w:spacing w:after="0" w:line="240" w:lineRule="auto"/>
              <w:rPr>
                <w:sz w:val="20"/>
                <w:szCs w:val="20"/>
              </w:rPr>
            </w:pPr>
          </w:p>
        </w:tc>
      </w:tr>
    </w:tbl>
    <w:p w14:paraId="24689ECF" w14:textId="4A44C8A4" w:rsidR="005A1399" w:rsidRPr="009A501D" w:rsidRDefault="005A1399" w:rsidP="00B22E05">
      <w:pPr>
        <w:spacing w:after="0"/>
        <w:ind w:left="284" w:right="366"/>
        <w:jc w:val="both"/>
        <w:rPr>
          <w:rFonts w:ascii="Century Gothic" w:eastAsia="Century Gothic" w:hAnsi="Century Gothic" w:cs="Century Gothic"/>
          <w:position w:val="4"/>
          <w:sz w:val="15"/>
          <w:szCs w:val="15"/>
        </w:rPr>
      </w:pPr>
      <w:r w:rsidRPr="009A501D">
        <w:rPr>
          <w:rFonts w:ascii="Century Gothic" w:eastAsia="Century Gothic" w:hAnsi="Century Gothic" w:cs="Century Gothic"/>
          <w:position w:val="4"/>
          <w:sz w:val="15"/>
          <w:szCs w:val="15"/>
          <w:vertAlign w:val="superscript"/>
        </w:rPr>
        <w:t>a/</w:t>
      </w:r>
      <w:r w:rsidRPr="009A501D">
        <w:rPr>
          <w:rFonts w:ascii="Century Gothic" w:eastAsia="Century Gothic" w:hAnsi="Century Gothic" w:cs="Century Gothic"/>
          <w:position w:val="4"/>
          <w:sz w:val="15"/>
          <w:szCs w:val="15"/>
        </w:rPr>
        <w:t xml:space="preserve"> Los umbrales para el coeficiente de variación de las variables principales aprobados por el Comité para encuestas en unidades económicas. Debido a cuestiones de espacio, se omitió el umbral de calidad Moderada [20-30), sin embargo, el porcentaje de casos que caen en dicho umbral por </w:t>
      </w:r>
      <w:r w:rsidR="00EC4113" w:rsidRPr="009A501D">
        <w:rPr>
          <w:rFonts w:ascii="Century Gothic" w:eastAsia="Century Gothic" w:hAnsi="Century Gothic" w:cs="Century Gothic"/>
          <w:position w:val="4"/>
          <w:sz w:val="15"/>
          <w:szCs w:val="15"/>
        </w:rPr>
        <w:t>proceso</w:t>
      </w:r>
      <w:r w:rsidRPr="009A501D">
        <w:rPr>
          <w:rFonts w:ascii="Century Gothic" w:eastAsia="Century Gothic" w:hAnsi="Century Gothic" w:cs="Century Gothic"/>
          <w:position w:val="4"/>
          <w:sz w:val="15"/>
          <w:szCs w:val="15"/>
        </w:rPr>
        <w:t xml:space="preserve"> se puede obtener como el complemento de la suma de los umbrales presentes.</w:t>
      </w:r>
    </w:p>
    <w:p w14:paraId="5CA14111" w14:textId="211EC7BA" w:rsidR="005A1399" w:rsidRPr="009A501D" w:rsidRDefault="005A1399" w:rsidP="00B22E05">
      <w:pPr>
        <w:spacing w:after="0"/>
        <w:ind w:left="284" w:right="366"/>
        <w:jc w:val="both"/>
        <w:rPr>
          <w:rFonts w:ascii="Century Gothic" w:hAnsi="Century Gothic"/>
          <w:b/>
          <w:bCs/>
          <w:sz w:val="15"/>
          <w:szCs w:val="15"/>
        </w:rPr>
      </w:pPr>
      <w:r w:rsidRPr="009A501D">
        <w:rPr>
          <w:rFonts w:ascii="Century Gothic" w:hAnsi="Century Gothic"/>
          <w:sz w:val="15"/>
          <w:szCs w:val="15"/>
        </w:rPr>
        <w:t>*Estos datos corresponden a la información publicada en 2022, y que reportaron indicadores en los metadatos hasta el 31 de enero de 2023.</w:t>
      </w:r>
    </w:p>
    <w:p w14:paraId="314A0929" w14:textId="1F89B150" w:rsidR="005A1399" w:rsidRPr="009A501D" w:rsidRDefault="005A1399" w:rsidP="00B22E05">
      <w:pPr>
        <w:spacing w:after="0"/>
        <w:ind w:left="284" w:right="366"/>
        <w:jc w:val="both"/>
        <w:rPr>
          <w:rFonts w:ascii="Century Gothic" w:hAnsi="Century Gothic"/>
          <w:sz w:val="15"/>
          <w:szCs w:val="15"/>
        </w:rPr>
      </w:pPr>
      <w:r w:rsidRPr="009A501D">
        <w:rPr>
          <w:rFonts w:ascii="Century Gothic" w:hAnsi="Century Gothic"/>
          <w:sz w:val="15"/>
          <w:szCs w:val="15"/>
        </w:rPr>
        <w:t>**El número de casos corresponde a la multiplicación de los indicadores-objetivo por los dominios de estudio por el número de publicaciones durante el año.  Dado que en 2018 se comenzó la publicación de los indicadores de precisión estadística, no se publicaron para los 12 meses; en 2019 se publicaron más de 12 meses ya que se reportaron los faltantes en 2018; en 2020 se publicaron 12 meses con algunas excepciones por la contingencia sanitaria, en 2021 se publicaron 12 meses y en 2022 se publicaron conforme a lo mencionado en el cuadro A.6.2.</w:t>
      </w:r>
    </w:p>
    <w:p w14:paraId="53B4CA0C" w14:textId="07807536"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Del cuadro A.</w:t>
      </w:r>
      <w:r w:rsidR="00AE6C80" w:rsidRPr="009A501D">
        <w:rPr>
          <w:rFonts w:ascii="Century Gothic" w:hAnsi="Century Gothic" w:cstheme="minorHAnsi"/>
          <w:sz w:val="19"/>
          <w:szCs w:val="19"/>
        </w:rPr>
        <w:t>5</w:t>
      </w:r>
      <w:r w:rsidRPr="009A501D">
        <w:rPr>
          <w:rFonts w:ascii="Century Gothic" w:hAnsi="Century Gothic" w:cstheme="minorHAnsi"/>
          <w:sz w:val="19"/>
          <w:szCs w:val="19"/>
        </w:rPr>
        <w:t xml:space="preserve">.5 resalta la Encuesta Nacional de Victimización de Empresas (ENVE) con un incremento en el número de casos, lo cual obedece a un aumento en el número de indicadores-objetivo reportados, pasando de 2 a 94, como resultado de un análisis de identificación y completitud de indicadores-objetivo realizado por parte del área responsable en coordinación con la Dirección de Aseguramiento de la Calidad; en este sentido, se </w:t>
      </w:r>
      <w:r w:rsidR="00CC7B4A" w:rsidRPr="009A501D">
        <w:rPr>
          <w:rFonts w:ascii="Century Gothic" w:hAnsi="Century Gothic" w:cstheme="minorHAnsi"/>
          <w:sz w:val="19"/>
          <w:szCs w:val="19"/>
        </w:rPr>
        <w:t>d</w:t>
      </w:r>
      <w:r w:rsidRPr="009A501D">
        <w:rPr>
          <w:rFonts w:ascii="Century Gothic" w:hAnsi="Century Gothic" w:cstheme="minorHAnsi"/>
          <w:sz w:val="19"/>
          <w:szCs w:val="19"/>
        </w:rPr>
        <w:t>ar</w:t>
      </w:r>
      <w:r w:rsidR="00CC7B4A" w:rsidRPr="009A501D">
        <w:rPr>
          <w:rFonts w:ascii="Century Gothic" w:hAnsi="Century Gothic" w:cstheme="minorHAnsi"/>
          <w:sz w:val="19"/>
          <w:szCs w:val="19"/>
        </w:rPr>
        <w:t>á</w:t>
      </w:r>
      <w:r w:rsidRPr="009A501D">
        <w:rPr>
          <w:rFonts w:ascii="Century Gothic" w:hAnsi="Century Gothic" w:cstheme="minorHAnsi"/>
          <w:sz w:val="19"/>
          <w:szCs w:val="19"/>
        </w:rPr>
        <w:t xml:space="preserve"> continuidad con </w:t>
      </w:r>
      <w:r w:rsidRPr="009A501D">
        <w:rPr>
          <w:rFonts w:ascii="Century Gothic" w:hAnsi="Century Gothic" w:cstheme="minorHAnsi"/>
          <w:sz w:val="19"/>
          <w:szCs w:val="19"/>
        </w:rPr>
        <w:lastRenderedPageBreak/>
        <w:t xml:space="preserve">ejercicios similares para otros </w:t>
      </w:r>
      <w:r w:rsidR="00EC4113" w:rsidRPr="009A501D">
        <w:rPr>
          <w:rFonts w:ascii="Century Gothic" w:hAnsi="Century Gothic" w:cstheme="minorHAnsi"/>
          <w:sz w:val="19"/>
          <w:szCs w:val="19"/>
        </w:rPr>
        <w:t>procesos</w:t>
      </w:r>
      <w:r w:rsidRPr="009A501D">
        <w:rPr>
          <w:rFonts w:ascii="Century Gothic" w:hAnsi="Century Gothic" w:cstheme="minorHAnsi"/>
          <w:sz w:val="19"/>
          <w:szCs w:val="19"/>
        </w:rPr>
        <w:t xml:space="preserve"> con el fin de contar con</w:t>
      </w:r>
      <w:r w:rsidR="00985A3B" w:rsidRPr="009A501D">
        <w:rPr>
          <w:rFonts w:ascii="Century Gothic" w:hAnsi="Century Gothic" w:cstheme="minorHAnsi"/>
          <w:sz w:val="19"/>
          <w:szCs w:val="19"/>
        </w:rPr>
        <w:t xml:space="preserve"> indicadores de precisión</w:t>
      </w:r>
      <w:r w:rsidRPr="009A501D">
        <w:rPr>
          <w:rFonts w:ascii="Century Gothic" w:hAnsi="Century Gothic" w:cstheme="minorHAnsi"/>
          <w:sz w:val="19"/>
          <w:szCs w:val="19"/>
        </w:rPr>
        <w:t xml:space="preserve"> para la totalidad de indicadores-objetivo. Respecto a los coeficientes de variación, en los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s Encuesta Nacional de Empresas Constructoras (ENEC), Encuesta Mensual de Servicios (EMS), Encuesta Mensual de la Industria Manufacturera (EMIM) y Encuesta Anual de Comercio (EAC) se distingue una pérdida de precisión respecto del año anterior en el número de casos con alta calidad estadística. Finalmente, la Encuesta de Comercio Internacional de Servicios (ECIS) se ubica como uno de los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s con menor porcentaje de casos con alta calidad estadística</w:t>
      </w:r>
      <w:r w:rsidR="00953F4B" w:rsidRPr="009A501D">
        <w:rPr>
          <w:rFonts w:ascii="Century Gothic" w:hAnsi="Century Gothic" w:cstheme="minorHAnsi"/>
          <w:sz w:val="19"/>
          <w:szCs w:val="19"/>
        </w:rPr>
        <w:t>, ya que al ser un programa experimental se encuentra en proceso de definición de sus indicadores-objetivo, actualmente reporta indicadores de precisión para las 2,836 variables que se publican</w:t>
      </w:r>
      <w:r w:rsidRPr="009A501D">
        <w:rPr>
          <w:rFonts w:ascii="Century Gothic" w:hAnsi="Century Gothic" w:cstheme="minorHAnsi"/>
          <w:sz w:val="19"/>
          <w:szCs w:val="19"/>
        </w:rPr>
        <w:t>.</w:t>
      </w:r>
    </w:p>
    <w:p w14:paraId="06FC6B9C" w14:textId="47EEB141"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En el cuadro A.</w:t>
      </w:r>
      <w:r w:rsidR="00AE6C80" w:rsidRPr="009A501D">
        <w:rPr>
          <w:rFonts w:ascii="Century Gothic" w:hAnsi="Century Gothic" w:cstheme="minorHAnsi"/>
          <w:sz w:val="19"/>
          <w:szCs w:val="19"/>
        </w:rPr>
        <w:t>5</w:t>
      </w:r>
      <w:r w:rsidRPr="009A501D">
        <w:rPr>
          <w:rFonts w:ascii="Century Gothic" w:hAnsi="Century Gothic" w:cstheme="minorHAnsi"/>
          <w:sz w:val="19"/>
          <w:szCs w:val="19"/>
        </w:rPr>
        <w:t xml:space="preserve">.6 se presentan los coeficientes de variación para encuestas en hogares y otras unidades. Se observa consistencia en los umbrales de los coeficientes de variación de la mayoría de los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s de </w:t>
      </w:r>
      <w:r w:rsidR="006C1589" w:rsidRPr="009A501D">
        <w:rPr>
          <w:rFonts w:ascii="Century Gothic" w:hAnsi="Century Gothic" w:cstheme="minorHAnsi"/>
          <w:sz w:val="19"/>
          <w:szCs w:val="19"/>
        </w:rPr>
        <w:t>producción</w:t>
      </w:r>
      <w:r w:rsidRPr="009A501D">
        <w:rPr>
          <w:rFonts w:ascii="Century Gothic" w:hAnsi="Century Gothic" w:cstheme="minorHAnsi"/>
          <w:sz w:val="19"/>
          <w:szCs w:val="19"/>
        </w:rPr>
        <w:t xml:space="preserve">. </w:t>
      </w:r>
      <w:r w:rsidR="00B11B5B" w:rsidRPr="009A501D">
        <w:rPr>
          <w:rFonts w:ascii="Century Gothic" w:hAnsi="Century Gothic" w:cstheme="minorHAnsi"/>
          <w:sz w:val="19"/>
          <w:szCs w:val="19"/>
        </w:rPr>
        <w:t>L</w:t>
      </w:r>
      <w:r w:rsidRPr="009A501D">
        <w:rPr>
          <w:rFonts w:ascii="Century Gothic" w:hAnsi="Century Gothic" w:cstheme="minorHAnsi"/>
          <w:sz w:val="19"/>
          <w:szCs w:val="19"/>
        </w:rPr>
        <w:t>a Encuesta Nacional de Victimización y Percepción sobre Seguridad Pública (ENVIPE)</w:t>
      </w:r>
      <w:r w:rsidR="00F90E03" w:rsidRPr="009A501D">
        <w:rPr>
          <w:rFonts w:ascii="Century Gothic" w:hAnsi="Century Gothic" w:cstheme="minorHAnsi"/>
          <w:sz w:val="19"/>
          <w:szCs w:val="19"/>
        </w:rPr>
        <w:t xml:space="preserve"> tuvo</w:t>
      </w:r>
      <w:r w:rsidRPr="009A501D">
        <w:rPr>
          <w:rFonts w:ascii="Century Gothic" w:hAnsi="Century Gothic" w:cstheme="minorHAnsi"/>
          <w:sz w:val="19"/>
          <w:szCs w:val="19"/>
        </w:rPr>
        <w:t xml:space="preserve"> un aumento en el número de indicadores-objetivo reportados, pasando de 3 a 73, </w:t>
      </w:r>
      <w:r w:rsidR="00F90E03" w:rsidRPr="009A501D">
        <w:rPr>
          <w:rFonts w:ascii="Century Gothic" w:hAnsi="Century Gothic" w:cstheme="minorHAnsi"/>
          <w:sz w:val="19"/>
          <w:szCs w:val="19"/>
        </w:rPr>
        <w:t xml:space="preserve">por las razones </w:t>
      </w:r>
      <w:r w:rsidR="008B20BD" w:rsidRPr="009A501D">
        <w:rPr>
          <w:rFonts w:ascii="Century Gothic" w:hAnsi="Century Gothic" w:cstheme="minorHAnsi"/>
          <w:sz w:val="19"/>
          <w:szCs w:val="19"/>
        </w:rPr>
        <w:t>mencionadas en el párrafo</w:t>
      </w:r>
      <w:r w:rsidRPr="009A501D">
        <w:rPr>
          <w:rFonts w:ascii="Century Gothic" w:hAnsi="Century Gothic" w:cstheme="minorHAnsi"/>
          <w:sz w:val="19"/>
          <w:szCs w:val="19"/>
        </w:rPr>
        <w:t xml:space="preserve"> anterior. Caso similar al de la Encuesta Nacional de Seguridad Pública Urbana (ENSU),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 xml:space="preserve"> que a pesar de presentar un incremento en el número de indicadores-objetivo reportados, pasando de 4 a 79 (a partir del 3er trimestre de 2022), registró un pequeño incremento en el porcentaje de casos con alta calidad estadística. Adicionalmente</w:t>
      </w:r>
      <w:r w:rsidR="00554392" w:rsidRPr="009A501D">
        <w:rPr>
          <w:rFonts w:ascii="Century Gothic" w:hAnsi="Century Gothic" w:cstheme="minorHAnsi"/>
          <w:sz w:val="19"/>
          <w:szCs w:val="19"/>
        </w:rPr>
        <w:t>,</w:t>
      </w:r>
      <w:r w:rsidRPr="009A501D">
        <w:rPr>
          <w:rFonts w:ascii="Century Gothic" w:hAnsi="Century Gothic" w:cstheme="minorHAnsi"/>
          <w:sz w:val="19"/>
          <w:szCs w:val="19"/>
        </w:rPr>
        <w:t xml:space="preserve"> para el Módulo sobre Eventos Culturales Seleccionados (MODECULT) y la Encuesta Nacional de Ocupación y Empleo Nueva Edición (ENOE-NE) se observa un incremento en el porcentaje de casos con alta calidad estadística.</w:t>
      </w:r>
    </w:p>
    <w:p w14:paraId="01098B50" w14:textId="1A200F22" w:rsidR="005A1399" w:rsidRPr="009A501D" w:rsidRDefault="005A1399"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.6. Frecuencias del coeficiente de variación en encuestas en hogares y otras unidades</w:t>
      </w:r>
      <w:r w:rsidRPr="009A501D">
        <w:rPr>
          <w:rFonts w:ascii="Century Gothic" w:hAnsi="Century Gothic" w:cstheme="majorHAnsi"/>
          <w:b/>
          <w:sz w:val="19"/>
          <w:szCs w:val="19"/>
        </w:rPr>
        <w:br/>
        <w:t xml:space="preserve">de acuerdo con los umbrales aprobados en el Comité por </w:t>
      </w:r>
      <w:r w:rsidR="00EC4113" w:rsidRPr="009A501D">
        <w:rPr>
          <w:rFonts w:ascii="Century Gothic" w:hAnsi="Century Gothic" w:cstheme="majorHAnsi"/>
          <w:b/>
          <w:sz w:val="19"/>
          <w:szCs w:val="19"/>
        </w:rPr>
        <w:t>proceso</w:t>
      </w:r>
      <w:r w:rsidRPr="009A501D">
        <w:rPr>
          <w:rFonts w:ascii="Century Gothic" w:hAnsi="Century Gothic" w:cstheme="majorHAnsi"/>
          <w:b/>
          <w:sz w:val="19"/>
          <w:szCs w:val="19"/>
        </w:rPr>
        <w:t xml:space="preserve"> </w:t>
      </w:r>
    </w:p>
    <w:tbl>
      <w:tblPr>
        <w:tblW w:w="13380" w:type="dxa"/>
        <w:jc w:val="center"/>
        <w:tblCellMar>
          <w:left w:w="70" w:type="dxa"/>
          <w:right w:w="70" w:type="dxa"/>
        </w:tblCellMar>
        <w:tblLook w:val="04A0" w:firstRow="1" w:lastRow="0" w:firstColumn="1" w:lastColumn="0" w:noHBand="0" w:noVBand="1"/>
      </w:tblPr>
      <w:tblGrid>
        <w:gridCol w:w="899"/>
        <w:gridCol w:w="1518"/>
        <w:gridCol w:w="1019"/>
        <w:gridCol w:w="1057"/>
        <w:gridCol w:w="817"/>
        <w:gridCol w:w="638"/>
        <w:gridCol w:w="1037"/>
        <w:gridCol w:w="817"/>
        <w:gridCol w:w="658"/>
        <w:gridCol w:w="977"/>
        <w:gridCol w:w="856"/>
        <w:gridCol w:w="638"/>
        <w:gridCol w:w="958"/>
        <w:gridCol w:w="857"/>
        <w:gridCol w:w="618"/>
        <w:gridCol w:w="146"/>
      </w:tblGrid>
      <w:tr w:rsidR="005A1399" w:rsidRPr="009A501D" w14:paraId="50F7197D" w14:textId="77777777" w:rsidTr="00317772">
        <w:trPr>
          <w:gridAfter w:val="1"/>
          <w:wAfter w:w="36" w:type="dxa"/>
          <w:trHeight w:val="284"/>
          <w:tblHeader/>
          <w:jc w:val="center"/>
        </w:trPr>
        <w:tc>
          <w:tcPr>
            <w:tcW w:w="899"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632335C" w14:textId="77777777"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UA</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2EE92C36" w14:textId="77777777"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Periodicidad</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4251E61D" w14:textId="73EE2FCE" w:rsidR="005A1399" w:rsidRPr="009A501D" w:rsidRDefault="00EC4113"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Proceso</w:t>
            </w:r>
          </w:p>
        </w:tc>
        <w:tc>
          <w:tcPr>
            <w:tcW w:w="2512" w:type="dxa"/>
            <w:gridSpan w:val="3"/>
            <w:tcBorders>
              <w:top w:val="single" w:sz="4" w:space="0" w:color="auto"/>
              <w:left w:val="nil"/>
              <w:bottom w:val="single" w:sz="4" w:space="0" w:color="auto"/>
              <w:right w:val="single" w:sz="4" w:space="0" w:color="auto"/>
            </w:tcBorders>
            <w:shd w:val="clear" w:color="000000" w:fill="002060"/>
            <w:vAlign w:val="center"/>
            <w:hideMark/>
          </w:tcPr>
          <w:p w14:paraId="5AF5BFD9" w14:textId="3A4F37FA"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Indicadores publicados en el Informe de resultados del </w:t>
            </w:r>
            <w:r w:rsidR="005E61B3" w:rsidRPr="009A501D">
              <w:rPr>
                <w:rFonts w:ascii="Century Gothic" w:hAnsi="Century Gothic" w:cs="Calibri"/>
                <w:b/>
                <w:bCs/>
                <w:color w:val="FFFFFF"/>
                <w:sz w:val="16"/>
                <w:szCs w:val="16"/>
              </w:rPr>
              <w:t>Comité</w:t>
            </w:r>
            <w:r w:rsidRPr="009A501D">
              <w:rPr>
                <w:rFonts w:ascii="Century Gothic" w:hAnsi="Century Gothic" w:cs="Calibri"/>
                <w:b/>
                <w:bCs/>
                <w:color w:val="FFFFFF"/>
                <w:sz w:val="16"/>
                <w:szCs w:val="16"/>
              </w:rPr>
              <w:t xml:space="preserve"> 2018 - Línea base</w:t>
            </w:r>
          </w:p>
        </w:tc>
        <w:tc>
          <w:tcPr>
            <w:tcW w:w="2512" w:type="dxa"/>
            <w:gridSpan w:val="3"/>
            <w:tcBorders>
              <w:top w:val="single" w:sz="4" w:space="0" w:color="auto"/>
              <w:left w:val="nil"/>
              <w:bottom w:val="single" w:sz="4" w:space="0" w:color="auto"/>
              <w:right w:val="single" w:sz="4" w:space="0" w:color="auto"/>
            </w:tcBorders>
            <w:shd w:val="clear" w:color="000000" w:fill="002060"/>
            <w:vAlign w:val="center"/>
            <w:hideMark/>
          </w:tcPr>
          <w:p w14:paraId="20CDD574" w14:textId="41C167F5"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Indicadores publicados en el Informe de resultados del </w:t>
            </w:r>
            <w:r w:rsidR="005E61B3" w:rsidRPr="009A501D">
              <w:rPr>
                <w:rFonts w:ascii="Century Gothic" w:hAnsi="Century Gothic" w:cs="Calibri"/>
                <w:b/>
                <w:bCs/>
                <w:color w:val="FFFFFF"/>
                <w:sz w:val="16"/>
                <w:szCs w:val="16"/>
              </w:rPr>
              <w:t>Comité</w:t>
            </w:r>
            <w:r w:rsidRPr="009A501D">
              <w:rPr>
                <w:rFonts w:ascii="Century Gothic" w:hAnsi="Century Gothic" w:cs="Calibri"/>
                <w:b/>
                <w:bCs/>
                <w:color w:val="FFFFFF"/>
                <w:sz w:val="16"/>
                <w:szCs w:val="16"/>
              </w:rPr>
              <w:t xml:space="preserve"> 2019</w:t>
            </w:r>
          </w:p>
        </w:tc>
        <w:tc>
          <w:tcPr>
            <w:tcW w:w="2471" w:type="dxa"/>
            <w:gridSpan w:val="3"/>
            <w:tcBorders>
              <w:top w:val="single" w:sz="4" w:space="0" w:color="auto"/>
              <w:left w:val="nil"/>
              <w:bottom w:val="single" w:sz="4" w:space="0" w:color="auto"/>
              <w:right w:val="single" w:sz="4" w:space="0" w:color="auto"/>
            </w:tcBorders>
            <w:shd w:val="clear" w:color="000000" w:fill="002060"/>
            <w:vAlign w:val="center"/>
            <w:hideMark/>
          </w:tcPr>
          <w:p w14:paraId="13829304" w14:textId="17E11CC2"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Indicadores publicados en el Informe de resultados del </w:t>
            </w:r>
            <w:r w:rsidR="005E61B3" w:rsidRPr="009A501D">
              <w:rPr>
                <w:rFonts w:ascii="Century Gothic" w:hAnsi="Century Gothic" w:cs="Calibri"/>
                <w:b/>
                <w:bCs/>
                <w:color w:val="FFFFFF"/>
                <w:sz w:val="16"/>
                <w:szCs w:val="16"/>
              </w:rPr>
              <w:t>Comité</w:t>
            </w:r>
            <w:r w:rsidRPr="009A501D">
              <w:rPr>
                <w:rFonts w:ascii="Century Gothic" w:hAnsi="Century Gothic" w:cs="Calibri"/>
                <w:b/>
                <w:bCs/>
                <w:color w:val="FFFFFF"/>
                <w:sz w:val="16"/>
                <w:szCs w:val="16"/>
              </w:rPr>
              <w:t xml:space="preserve"> 2021</w:t>
            </w:r>
          </w:p>
        </w:tc>
        <w:tc>
          <w:tcPr>
            <w:tcW w:w="2433" w:type="dxa"/>
            <w:gridSpan w:val="3"/>
            <w:tcBorders>
              <w:top w:val="single" w:sz="4" w:space="0" w:color="auto"/>
              <w:left w:val="nil"/>
              <w:bottom w:val="single" w:sz="4" w:space="0" w:color="auto"/>
              <w:right w:val="single" w:sz="4" w:space="0" w:color="auto"/>
            </w:tcBorders>
            <w:shd w:val="clear" w:color="000000" w:fill="002060"/>
            <w:vAlign w:val="center"/>
            <w:hideMark/>
          </w:tcPr>
          <w:p w14:paraId="134ECC0F" w14:textId="77777777"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Indicadores publicados en 2022</w:t>
            </w:r>
          </w:p>
        </w:tc>
      </w:tr>
      <w:tr w:rsidR="005A1399" w:rsidRPr="009A501D" w14:paraId="747F8DD7" w14:textId="77777777" w:rsidTr="00317772">
        <w:trPr>
          <w:gridAfter w:val="1"/>
          <w:wAfter w:w="36" w:type="dxa"/>
          <w:trHeight w:val="450"/>
          <w:tblHeader/>
          <w:jc w:val="center"/>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3299B989"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4E6F908A"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2908DAD2"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1057" w:type="dxa"/>
            <w:vMerge w:val="restart"/>
            <w:tcBorders>
              <w:top w:val="nil"/>
              <w:left w:val="single" w:sz="4" w:space="0" w:color="auto"/>
              <w:bottom w:val="single" w:sz="4" w:space="0" w:color="auto"/>
              <w:right w:val="single" w:sz="4" w:space="0" w:color="auto"/>
            </w:tcBorders>
            <w:shd w:val="clear" w:color="000000" w:fill="002060"/>
            <w:vAlign w:val="center"/>
            <w:hideMark/>
          </w:tcPr>
          <w:p w14:paraId="53BF7837" w14:textId="1B545EB6"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Número</w:t>
            </w:r>
            <w:r w:rsidRPr="009A501D">
              <w:rPr>
                <w:rFonts w:ascii="Century Gothic" w:hAnsi="Century Gothic" w:cs="Calibri"/>
                <w:b/>
                <w:bCs/>
                <w:color w:val="FFFFFF"/>
                <w:sz w:val="16"/>
                <w:szCs w:val="16"/>
              </w:rPr>
              <w:br/>
              <w:t xml:space="preserve">de </w:t>
            </w:r>
            <w:r w:rsidR="004917C6"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73AC38"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[0-15)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638" w:type="dxa"/>
            <w:vMerge w:val="restart"/>
            <w:tcBorders>
              <w:top w:val="nil"/>
              <w:left w:val="single" w:sz="4" w:space="0" w:color="auto"/>
              <w:bottom w:val="single" w:sz="4" w:space="0" w:color="auto"/>
              <w:right w:val="single" w:sz="4" w:space="0" w:color="auto"/>
            </w:tcBorders>
            <w:shd w:val="clear" w:color="000000" w:fill="FF5400"/>
            <w:vAlign w:val="center"/>
            <w:hideMark/>
          </w:tcPr>
          <w:p w14:paraId="37A2E32B"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≥30</w:t>
            </w:r>
            <w:r w:rsidRPr="009A501D">
              <w:rPr>
                <w:rFonts w:ascii="Century Gothic" w:hAnsi="Century Gothic" w:cs="Calibri"/>
                <w:b/>
                <w:bCs/>
                <w:color w:val="000000"/>
                <w:sz w:val="16"/>
                <w:szCs w:val="16"/>
                <w:vertAlign w:val="superscript"/>
              </w:rPr>
              <w:t xml:space="preserve"> a/</w:t>
            </w:r>
          </w:p>
        </w:tc>
        <w:tc>
          <w:tcPr>
            <w:tcW w:w="1037" w:type="dxa"/>
            <w:vMerge w:val="restart"/>
            <w:tcBorders>
              <w:top w:val="nil"/>
              <w:left w:val="single" w:sz="4" w:space="0" w:color="auto"/>
              <w:bottom w:val="single" w:sz="4" w:space="0" w:color="auto"/>
              <w:right w:val="single" w:sz="4" w:space="0" w:color="auto"/>
            </w:tcBorders>
            <w:shd w:val="clear" w:color="000000" w:fill="002060"/>
            <w:vAlign w:val="center"/>
            <w:hideMark/>
          </w:tcPr>
          <w:p w14:paraId="7EF1C827" w14:textId="364A3D97"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4917C6"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9870B6"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[0-15)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658" w:type="dxa"/>
            <w:vMerge w:val="restart"/>
            <w:tcBorders>
              <w:top w:val="nil"/>
              <w:left w:val="single" w:sz="4" w:space="0" w:color="auto"/>
              <w:bottom w:val="single" w:sz="4" w:space="0" w:color="auto"/>
              <w:right w:val="single" w:sz="4" w:space="0" w:color="auto"/>
            </w:tcBorders>
            <w:shd w:val="clear" w:color="000000" w:fill="FF5400"/>
            <w:vAlign w:val="center"/>
            <w:hideMark/>
          </w:tcPr>
          <w:p w14:paraId="1F28C95D"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≥30</w:t>
            </w:r>
            <w:r w:rsidRPr="009A501D">
              <w:rPr>
                <w:rFonts w:ascii="Century Gothic" w:hAnsi="Century Gothic" w:cs="Calibri"/>
                <w:b/>
                <w:bCs/>
                <w:color w:val="000000"/>
                <w:sz w:val="16"/>
                <w:szCs w:val="16"/>
                <w:vertAlign w:val="superscript"/>
              </w:rPr>
              <w:t xml:space="preserve"> a/</w:t>
            </w:r>
          </w:p>
        </w:tc>
        <w:tc>
          <w:tcPr>
            <w:tcW w:w="977" w:type="dxa"/>
            <w:vMerge w:val="restart"/>
            <w:tcBorders>
              <w:top w:val="nil"/>
              <w:left w:val="single" w:sz="4" w:space="0" w:color="auto"/>
              <w:bottom w:val="single" w:sz="4" w:space="0" w:color="auto"/>
              <w:right w:val="single" w:sz="4" w:space="0" w:color="auto"/>
            </w:tcBorders>
            <w:shd w:val="clear" w:color="000000" w:fill="002060"/>
            <w:vAlign w:val="center"/>
            <w:hideMark/>
          </w:tcPr>
          <w:p w14:paraId="7AC1C70E" w14:textId="51266BF8"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4917C6"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FE4EDB"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[0-15)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638" w:type="dxa"/>
            <w:vMerge w:val="restart"/>
            <w:tcBorders>
              <w:top w:val="nil"/>
              <w:left w:val="single" w:sz="4" w:space="0" w:color="auto"/>
              <w:bottom w:val="single" w:sz="4" w:space="0" w:color="auto"/>
              <w:right w:val="single" w:sz="4" w:space="0" w:color="auto"/>
            </w:tcBorders>
            <w:shd w:val="clear" w:color="000000" w:fill="FF5400"/>
            <w:vAlign w:val="center"/>
            <w:hideMark/>
          </w:tcPr>
          <w:p w14:paraId="1524219F"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≥30</w:t>
            </w:r>
            <w:r w:rsidRPr="009A501D">
              <w:rPr>
                <w:rFonts w:ascii="Century Gothic" w:hAnsi="Century Gothic" w:cs="Calibri"/>
                <w:b/>
                <w:bCs/>
                <w:color w:val="000000"/>
                <w:sz w:val="16"/>
                <w:szCs w:val="16"/>
                <w:vertAlign w:val="superscript"/>
              </w:rPr>
              <w:t xml:space="preserve"> a/</w:t>
            </w:r>
          </w:p>
        </w:tc>
        <w:tc>
          <w:tcPr>
            <w:tcW w:w="958" w:type="dxa"/>
            <w:vMerge w:val="restart"/>
            <w:tcBorders>
              <w:top w:val="nil"/>
              <w:left w:val="single" w:sz="4" w:space="0" w:color="auto"/>
              <w:bottom w:val="single" w:sz="4" w:space="0" w:color="auto"/>
              <w:right w:val="single" w:sz="4" w:space="0" w:color="auto"/>
            </w:tcBorders>
            <w:shd w:val="clear" w:color="000000" w:fill="002060"/>
            <w:vAlign w:val="center"/>
            <w:hideMark/>
          </w:tcPr>
          <w:p w14:paraId="262A8031" w14:textId="707D1C96" w:rsidR="005A1399" w:rsidRPr="009A501D" w:rsidRDefault="005A1399" w:rsidP="007F5C1B">
            <w:pPr>
              <w:spacing w:after="0" w:line="240" w:lineRule="auto"/>
              <w:contextualSpacing/>
              <w:jc w:val="center"/>
              <w:rPr>
                <w:rFonts w:ascii="Century Gothic" w:hAnsi="Century Gothic" w:cs="Calibri"/>
                <w:b/>
                <w:bCs/>
                <w:color w:val="FFFFFF"/>
                <w:sz w:val="16"/>
                <w:szCs w:val="16"/>
              </w:rPr>
            </w:pPr>
            <w:r w:rsidRPr="009A501D">
              <w:rPr>
                <w:rFonts w:ascii="Century Gothic" w:hAnsi="Century Gothic" w:cs="Calibri"/>
                <w:b/>
                <w:bCs/>
                <w:color w:val="FFFFFF"/>
                <w:sz w:val="16"/>
                <w:szCs w:val="16"/>
              </w:rPr>
              <w:t xml:space="preserve">Número de </w:t>
            </w:r>
            <w:r w:rsidR="004917C6" w:rsidRPr="009A501D">
              <w:rPr>
                <w:rFonts w:ascii="Century Gothic" w:hAnsi="Century Gothic" w:cs="Calibri"/>
                <w:b/>
                <w:bCs/>
                <w:color w:val="FFFFFF"/>
                <w:sz w:val="16"/>
                <w:szCs w:val="16"/>
              </w:rPr>
              <w:t>c</w:t>
            </w:r>
            <w:r w:rsidRPr="009A501D">
              <w:rPr>
                <w:rFonts w:ascii="Century Gothic" w:hAnsi="Century Gothic" w:cs="Calibri"/>
                <w:b/>
                <w:bCs/>
                <w:color w:val="FFFFFF"/>
                <w:sz w:val="16"/>
                <w:szCs w:val="16"/>
              </w:rPr>
              <w:t>asos</w:t>
            </w:r>
          </w:p>
        </w:tc>
        <w:tc>
          <w:tcPr>
            <w:tcW w:w="8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84B0D1"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Alta</w:t>
            </w:r>
            <w:r w:rsidRPr="009A501D">
              <w:rPr>
                <w:rFonts w:ascii="Century Gothic" w:hAnsi="Century Gothic" w:cs="Calibri"/>
                <w:b/>
                <w:bCs/>
                <w:color w:val="000000"/>
                <w:sz w:val="16"/>
                <w:szCs w:val="16"/>
              </w:rPr>
              <w:br/>
              <w:t xml:space="preserve">[0-15) </w:t>
            </w:r>
            <w:r w:rsidRPr="009A501D">
              <w:rPr>
                <w:rFonts w:ascii="Century Gothic" w:hAnsi="Century Gothic" w:cs="Calibri"/>
                <w:b/>
                <w:bCs/>
                <w:color w:val="000000"/>
                <w:sz w:val="16"/>
                <w:szCs w:val="16"/>
                <w:vertAlign w:val="superscript"/>
              </w:rPr>
              <w:t>a</w:t>
            </w:r>
            <w:r w:rsidRPr="009A501D">
              <w:rPr>
                <w:rFonts w:ascii="Century Gothic" w:hAnsi="Century Gothic" w:cs="Calibri"/>
                <w:b/>
                <w:color w:val="000000"/>
                <w:sz w:val="16"/>
                <w:szCs w:val="16"/>
                <w:vertAlign w:val="superscript"/>
              </w:rPr>
              <w:t>/</w:t>
            </w:r>
          </w:p>
        </w:tc>
        <w:tc>
          <w:tcPr>
            <w:tcW w:w="618" w:type="dxa"/>
            <w:vMerge w:val="restart"/>
            <w:tcBorders>
              <w:top w:val="nil"/>
              <w:left w:val="single" w:sz="4" w:space="0" w:color="auto"/>
              <w:bottom w:val="single" w:sz="4" w:space="0" w:color="auto"/>
              <w:right w:val="single" w:sz="4" w:space="0" w:color="auto"/>
            </w:tcBorders>
            <w:shd w:val="clear" w:color="000000" w:fill="FF5400"/>
            <w:vAlign w:val="center"/>
            <w:hideMark/>
          </w:tcPr>
          <w:p w14:paraId="488013AC"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r w:rsidRPr="009A501D">
              <w:rPr>
                <w:rFonts w:ascii="Century Gothic" w:hAnsi="Century Gothic" w:cs="Calibri"/>
                <w:b/>
                <w:bCs/>
                <w:color w:val="000000"/>
                <w:sz w:val="16"/>
                <w:szCs w:val="16"/>
              </w:rPr>
              <w:t>Baja</w:t>
            </w:r>
            <w:r w:rsidRPr="009A501D">
              <w:rPr>
                <w:rFonts w:ascii="Century Gothic" w:hAnsi="Century Gothic" w:cs="Calibri"/>
                <w:b/>
                <w:bCs/>
                <w:color w:val="000000"/>
                <w:sz w:val="16"/>
                <w:szCs w:val="16"/>
              </w:rPr>
              <w:br/>
              <w:t>≥30</w:t>
            </w:r>
            <w:r w:rsidRPr="009A501D">
              <w:rPr>
                <w:rFonts w:ascii="Century Gothic" w:hAnsi="Century Gothic" w:cs="Calibri"/>
                <w:b/>
                <w:bCs/>
                <w:color w:val="000000"/>
                <w:sz w:val="16"/>
                <w:szCs w:val="16"/>
                <w:vertAlign w:val="superscript"/>
              </w:rPr>
              <w:t xml:space="preserve"> a/</w:t>
            </w:r>
          </w:p>
        </w:tc>
      </w:tr>
      <w:tr w:rsidR="005A1399" w:rsidRPr="009A501D" w14:paraId="3AE31C6E" w14:textId="77777777" w:rsidTr="00317772">
        <w:trPr>
          <w:trHeight w:val="284"/>
          <w:tblHeader/>
          <w:jc w:val="center"/>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5C716192"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04B9109C"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4ABED9BB"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1057" w:type="dxa"/>
            <w:vMerge/>
            <w:tcBorders>
              <w:top w:val="nil"/>
              <w:left w:val="single" w:sz="4" w:space="0" w:color="auto"/>
              <w:bottom w:val="single" w:sz="4" w:space="0" w:color="auto"/>
              <w:right w:val="single" w:sz="4" w:space="0" w:color="auto"/>
            </w:tcBorders>
            <w:vAlign w:val="center"/>
            <w:hideMark/>
          </w:tcPr>
          <w:p w14:paraId="16B3C975"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817" w:type="dxa"/>
            <w:vMerge/>
            <w:tcBorders>
              <w:top w:val="nil"/>
              <w:left w:val="single" w:sz="4" w:space="0" w:color="auto"/>
              <w:bottom w:val="single" w:sz="4" w:space="0" w:color="auto"/>
              <w:right w:val="single" w:sz="4" w:space="0" w:color="auto"/>
            </w:tcBorders>
            <w:vAlign w:val="center"/>
            <w:hideMark/>
          </w:tcPr>
          <w:p w14:paraId="0A443DE9"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638" w:type="dxa"/>
            <w:vMerge/>
            <w:tcBorders>
              <w:top w:val="nil"/>
              <w:left w:val="single" w:sz="4" w:space="0" w:color="auto"/>
              <w:bottom w:val="single" w:sz="4" w:space="0" w:color="auto"/>
              <w:right w:val="single" w:sz="4" w:space="0" w:color="auto"/>
            </w:tcBorders>
            <w:vAlign w:val="center"/>
            <w:hideMark/>
          </w:tcPr>
          <w:p w14:paraId="7707D428"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14:paraId="0262EB6F"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817" w:type="dxa"/>
            <w:vMerge/>
            <w:tcBorders>
              <w:top w:val="nil"/>
              <w:left w:val="single" w:sz="4" w:space="0" w:color="auto"/>
              <w:bottom w:val="single" w:sz="4" w:space="0" w:color="auto"/>
              <w:right w:val="single" w:sz="4" w:space="0" w:color="auto"/>
            </w:tcBorders>
            <w:vAlign w:val="center"/>
            <w:hideMark/>
          </w:tcPr>
          <w:p w14:paraId="27EEC031"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658" w:type="dxa"/>
            <w:vMerge/>
            <w:tcBorders>
              <w:top w:val="nil"/>
              <w:left w:val="single" w:sz="4" w:space="0" w:color="auto"/>
              <w:bottom w:val="single" w:sz="4" w:space="0" w:color="auto"/>
              <w:right w:val="single" w:sz="4" w:space="0" w:color="auto"/>
            </w:tcBorders>
            <w:vAlign w:val="center"/>
            <w:hideMark/>
          </w:tcPr>
          <w:p w14:paraId="0D4FDA7E"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977" w:type="dxa"/>
            <w:vMerge/>
            <w:tcBorders>
              <w:top w:val="nil"/>
              <w:left w:val="single" w:sz="4" w:space="0" w:color="auto"/>
              <w:bottom w:val="single" w:sz="4" w:space="0" w:color="auto"/>
              <w:right w:val="single" w:sz="4" w:space="0" w:color="auto"/>
            </w:tcBorders>
            <w:vAlign w:val="center"/>
            <w:hideMark/>
          </w:tcPr>
          <w:p w14:paraId="4B7DD137"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856" w:type="dxa"/>
            <w:vMerge/>
            <w:tcBorders>
              <w:top w:val="nil"/>
              <w:left w:val="single" w:sz="4" w:space="0" w:color="auto"/>
              <w:bottom w:val="single" w:sz="4" w:space="0" w:color="auto"/>
              <w:right w:val="single" w:sz="4" w:space="0" w:color="auto"/>
            </w:tcBorders>
            <w:vAlign w:val="center"/>
            <w:hideMark/>
          </w:tcPr>
          <w:p w14:paraId="34D002B9"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638" w:type="dxa"/>
            <w:vMerge/>
            <w:tcBorders>
              <w:top w:val="nil"/>
              <w:left w:val="single" w:sz="4" w:space="0" w:color="auto"/>
              <w:bottom w:val="single" w:sz="4" w:space="0" w:color="auto"/>
              <w:right w:val="single" w:sz="4" w:space="0" w:color="auto"/>
            </w:tcBorders>
            <w:vAlign w:val="center"/>
            <w:hideMark/>
          </w:tcPr>
          <w:p w14:paraId="2B054195"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958" w:type="dxa"/>
            <w:vMerge/>
            <w:tcBorders>
              <w:top w:val="nil"/>
              <w:left w:val="single" w:sz="4" w:space="0" w:color="auto"/>
              <w:bottom w:val="single" w:sz="4" w:space="0" w:color="auto"/>
              <w:right w:val="single" w:sz="4" w:space="0" w:color="auto"/>
            </w:tcBorders>
            <w:vAlign w:val="center"/>
            <w:hideMark/>
          </w:tcPr>
          <w:p w14:paraId="03B1CAD2" w14:textId="77777777" w:rsidR="005A1399" w:rsidRPr="009A501D" w:rsidRDefault="005A1399" w:rsidP="007F5C1B">
            <w:pPr>
              <w:spacing w:after="0" w:line="240" w:lineRule="auto"/>
              <w:contextualSpacing/>
              <w:rPr>
                <w:rFonts w:ascii="Century Gothic" w:hAnsi="Century Gothic" w:cs="Calibri"/>
                <w:b/>
                <w:bCs/>
                <w:color w:val="FFFFFF"/>
                <w:sz w:val="16"/>
                <w:szCs w:val="16"/>
              </w:rPr>
            </w:pPr>
          </w:p>
        </w:tc>
        <w:tc>
          <w:tcPr>
            <w:tcW w:w="857" w:type="dxa"/>
            <w:vMerge/>
            <w:tcBorders>
              <w:top w:val="nil"/>
              <w:left w:val="single" w:sz="4" w:space="0" w:color="auto"/>
              <w:bottom w:val="single" w:sz="4" w:space="0" w:color="auto"/>
              <w:right w:val="single" w:sz="4" w:space="0" w:color="auto"/>
            </w:tcBorders>
            <w:vAlign w:val="center"/>
            <w:hideMark/>
          </w:tcPr>
          <w:p w14:paraId="56BE9E06"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618" w:type="dxa"/>
            <w:vMerge/>
            <w:tcBorders>
              <w:top w:val="nil"/>
              <w:left w:val="single" w:sz="4" w:space="0" w:color="auto"/>
              <w:bottom w:val="single" w:sz="4" w:space="0" w:color="auto"/>
              <w:right w:val="single" w:sz="4" w:space="0" w:color="auto"/>
            </w:tcBorders>
            <w:vAlign w:val="center"/>
            <w:hideMark/>
          </w:tcPr>
          <w:p w14:paraId="69C12DCF" w14:textId="77777777" w:rsidR="005A1399" w:rsidRPr="009A501D" w:rsidRDefault="005A1399" w:rsidP="007F5C1B">
            <w:pPr>
              <w:spacing w:after="0" w:line="240" w:lineRule="auto"/>
              <w:contextualSpacing/>
              <w:rPr>
                <w:rFonts w:ascii="Century Gothic" w:hAnsi="Century Gothic" w:cs="Calibri"/>
                <w:b/>
                <w:bCs/>
                <w:color w:val="000000"/>
                <w:sz w:val="16"/>
                <w:szCs w:val="16"/>
              </w:rPr>
            </w:pPr>
          </w:p>
        </w:tc>
        <w:tc>
          <w:tcPr>
            <w:tcW w:w="36" w:type="dxa"/>
            <w:tcBorders>
              <w:top w:val="nil"/>
              <w:left w:val="nil"/>
              <w:bottom w:val="nil"/>
              <w:right w:val="nil"/>
            </w:tcBorders>
            <w:shd w:val="clear" w:color="auto" w:fill="auto"/>
            <w:noWrap/>
            <w:vAlign w:val="bottom"/>
            <w:hideMark/>
          </w:tcPr>
          <w:p w14:paraId="3307520A" w14:textId="77777777" w:rsidR="005A1399" w:rsidRPr="009A501D" w:rsidRDefault="005A1399" w:rsidP="007F5C1B">
            <w:pPr>
              <w:spacing w:after="0" w:line="240" w:lineRule="auto"/>
              <w:contextualSpacing/>
              <w:jc w:val="center"/>
              <w:rPr>
                <w:rFonts w:ascii="Century Gothic" w:hAnsi="Century Gothic" w:cs="Calibri"/>
                <w:b/>
                <w:bCs/>
                <w:color w:val="000000"/>
                <w:sz w:val="16"/>
                <w:szCs w:val="16"/>
              </w:rPr>
            </w:pPr>
          </w:p>
        </w:tc>
      </w:tr>
      <w:tr w:rsidR="005A1399" w:rsidRPr="009A501D" w14:paraId="1EBE1114" w14:textId="77777777" w:rsidTr="004C2495">
        <w:trPr>
          <w:trHeight w:val="284"/>
          <w:jc w:val="center"/>
        </w:trPr>
        <w:tc>
          <w:tcPr>
            <w:tcW w:w="899" w:type="dxa"/>
            <w:tcBorders>
              <w:top w:val="single" w:sz="4" w:space="0" w:color="auto"/>
              <w:left w:val="single" w:sz="4" w:space="0" w:color="auto"/>
              <w:bottom w:val="nil"/>
              <w:right w:val="nil"/>
            </w:tcBorders>
            <w:shd w:val="clear" w:color="auto" w:fill="F2F2F2" w:themeFill="background1" w:themeFillShade="F2"/>
            <w:noWrap/>
            <w:vAlign w:val="center"/>
            <w:hideMark/>
          </w:tcPr>
          <w:p w14:paraId="35C676C9"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1518" w:type="dxa"/>
            <w:tcBorders>
              <w:top w:val="single" w:sz="4" w:space="0" w:color="auto"/>
              <w:left w:val="nil"/>
              <w:bottom w:val="nil"/>
              <w:right w:val="nil"/>
            </w:tcBorders>
            <w:shd w:val="clear" w:color="auto" w:fill="F2F2F2" w:themeFill="background1" w:themeFillShade="F2"/>
            <w:noWrap/>
            <w:vAlign w:val="center"/>
            <w:hideMark/>
          </w:tcPr>
          <w:p w14:paraId="19C7DA2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single" w:sz="4" w:space="0" w:color="auto"/>
              <w:left w:val="nil"/>
              <w:bottom w:val="nil"/>
              <w:right w:val="single" w:sz="4" w:space="0" w:color="auto"/>
            </w:tcBorders>
            <w:shd w:val="clear" w:color="auto" w:fill="F2F2F2" w:themeFill="background1" w:themeFillShade="F2"/>
            <w:noWrap/>
            <w:vAlign w:val="center"/>
            <w:hideMark/>
          </w:tcPr>
          <w:p w14:paraId="230901E8"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ENDUTIH</w:t>
            </w:r>
          </w:p>
        </w:tc>
        <w:tc>
          <w:tcPr>
            <w:tcW w:w="1057" w:type="dxa"/>
            <w:tcBorders>
              <w:top w:val="single" w:sz="4" w:space="0" w:color="auto"/>
              <w:left w:val="nil"/>
              <w:bottom w:val="nil"/>
              <w:right w:val="nil"/>
            </w:tcBorders>
            <w:shd w:val="clear" w:color="auto" w:fill="F2F2F2" w:themeFill="background1" w:themeFillShade="F2"/>
            <w:noWrap/>
            <w:vAlign w:val="center"/>
            <w:hideMark/>
          </w:tcPr>
          <w:p w14:paraId="2B9ADEC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single" w:sz="4" w:space="0" w:color="auto"/>
              <w:left w:val="nil"/>
              <w:bottom w:val="nil"/>
              <w:right w:val="nil"/>
            </w:tcBorders>
            <w:shd w:val="clear" w:color="auto" w:fill="F2F2F2" w:themeFill="background1" w:themeFillShade="F2"/>
            <w:noWrap/>
            <w:vAlign w:val="center"/>
            <w:hideMark/>
          </w:tcPr>
          <w:p w14:paraId="6F6216D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single" w:sz="4" w:space="0" w:color="auto"/>
              <w:left w:val="nil"/>
              <w:bottom w:val="nil"/>
              <w:right w:val="single" w:sz="4" w:space="0" w:color="auto"/>
            </w:tcBorders>
            <w:shd w:val="clear" w:color="auto" w:fill="F2F2F2" w:themeFill="background1" w:themeFillShade="F2"/>
            <w:noWrap/>
            <w:vAlign w:val="center"/>
            <w:hideMark/>
          </w:tcPr>
          <w:p w14:paraId="2112408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single" w:sz="4" w:space="0" w:color="auto"/>
              <w:left w:val="nil"/>
              <w:bottom w:val="nil"/>
              <w:right w:val="nil"/>
            </w:tcBorders>
            <w:shd w:val="clear" w:color="auto" w:fill="F2F2F2" w:themeFill="background1" w:themeFillShade="F2"/>
            <w:vAlign w:val="center"/>
            <w:hideMark/>
          </w:tcPr>
          <w:p w14:paraId="5442EEA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1 043</w:t>
            </w:r>
          </w:p>
        </w:tc>
        <w:tc>
          <w:tcPr>
            <w:tcW w:w="817" w:type="dxa"/>
            <w:tcBorders>
              <w:top w:val="single" w:sz="4" w:space="0" w:color="auto"/>
              <w:left w:val="nil"/>
              <w:bottom w:val="nil"/>
              <w:right w:val="nil"/>
            </w:tcBorders>
            <w:shd w:val="clear" w:color="auto" w:fill="F2F2F2" w:themeFill="background1" w:themeFillShade="F2"/>
            <w:vAlign w:val="center"/>
            <w:hideMark/>
          </w:tcPr>
          <w:p w14:paraId="26C9AA6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98%</w:t>
            </w:r>
          </w:p>
        </w:tc>
        <w:tc>
          <w:tcPr>
            <w:tcW w:w="658" w:type="dxa"/>
            <w:tcBorders>
              <w:top w:val="single" w:sz="4" w:space="0" w:color="auto"/>
              <w:left w:val="nil"/>
              <w:bottom w:val="nil"/>
              <w:right w:val="single" w:sz="4" w:space="0" w:color="auto"/>
            </w:tcBorders>
            <w:shd w:val="clear" w:color="auto" w:fill="F2F2F2" w:themeFill="background1" w:themeFillShade="F2"/>
            <w:vAlign w:val="center"/>
            <w:hideMark/>
          </w:tcPr>
          <w:p w14:paraId="219AD3F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single" w:sz="4" w:space="0" w:color="auto"/>
              <w:left w:val="nil"/>
              <w:bottom w:val="nil"/>
              <w:right w:val="nil"/>
            </w:tcBorders>
            <w:shd w:val="clear" w:color="auto" w:fill="F2F2F2" w:themeFill="background1" w:themeFillShade="F2"/>
            <w:vAlign w:val="center"/>
            <w:hideMark/>
          </w:tcPr>
          <w:p w14:paraId="4BC2541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273</w:t>
            </w:r>
          </w:p>
        </w:tc>
        <w:tc>
          <w:tcPr>
            <w:tcW w:w="856" w:type="dxa"/>
            <w:tcBorders>
              <w:top w:val="single" w:sz="4" w:space="0" w:color="auto"/>
              <w:left w:val="nil"/>
              <w:bottom w:val="nil"/>
              <w:right w:val="nil"/>
            </w:tcBorders>
            <w:shd w:val="clear" w:color="auto" w:fill="F2F2F2" w:themeFill="background1" w:themeFillShade="F2"/>
            <w:vAlign w:val="center"/>
            <w:hideMark/>
          </w:tcPr>
          <w:p w14:paraId="7920DA6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single" w:sz="4" w:space="0" w:color="auto"/>
              <w:left w:val="nil"/>
              <w:bottom w:val="nil"/>
              <w:right w:val="single" w:sz="4" w:space="0" w:color="auto"/>
            </w:tcBorders>
            <w:shd w:val="clear" w:color="auto" w:fill="F2F2F2" w:themeFill="background1" w:themeFillShade="F2"/>
            <w:vAlign w:val="center"/>
            <w:hideMark/>
          </w:tcPr>
          <w:p w14:paraId="7C66CE3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single" w:sz="4" w:space="0" w:color="auto"/>
              <w:left w:val="nil"/>
              <w:bottom w:val="nil"/>
              <w:right w:val="nil"/>
            </w:tcBorders>
            <w:shd w:val="clear" w:color="auto" w:fill="F2F2F2" w:themeFill="background1" w:themeFillShade="F2"/>
            <w:noWrap/>
            <w:vAlign w:val="center"/>
            <w:hideMark/>
          </w:tcPr>
          <w:p w14:paraId="0F032F6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273</w:t>
            </w:r>
          </w:p>
        </w:tc>
        <w:tc>
          <w:tcPr>
            <w:tcW w:w="857" w:type="dxa"/>
            <w:tcBorders>
              <w:top w:val="single" w:sz="4" w:space="0" w:color="auto"/>
              <w:left w:val="nil"/>
              <w:bottom w:val="nil"/>
              <w:right w:val="nil"/>
            </w:tcBorders>
            <w:shd w:val="clear" w:color="auto" w:fill="F2F2F2" w:themeFill="background1" w:themeFillShade="F2"/>
            <w:noWrap/>
            <w:vAlign w:val="center"/>
            <w:hideMark/>
          </w:tcPr>
          <w:p w14:paraId="083EB7F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single" w:sz="4" w:space="0" w:color="auto"/>
              <w:left w:val="nil"/>
              <w:bottom w:val="nil"/>
              <w:right w:val="single" w:sz="4" w:space="0" w:color="auto"/>
            </w:tcBorders>
            <w:shd w:val="clear" w:color="auto" w:fill="F2F2F2" w:themeFill="background1" w:themeFillShade="F2"/>
            <w:noWrap/>
            <w:vAlign w:val="center"/>
            <w:hideMark/>
          </w:tcPr>
          <w:p w14:paraId="6924835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38D000DE" w14:textId="77777777" w:rsidR="005A1399" w:rsidRPr="009A501D" w:rsidRDefault="005A1399" w:rsidP="007F5C1B">
            <w:pPr>
              <w:spacing w:after="0" w:line="240" w:lineRule="auto"/>
              <w:contextualSpacing/>
              <w:rPr>
                <w:sz w:val="20"/>
                <w:szCs w:val="20"/>
              </w:rPr>
            </w:pPr>
          </w:p>
        </w:tc>
      </w:tr>
      <w:tr w:rsidR="005A1399" w:rsidRPr="009A501D" w14:paraId="05C68E56"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7CA1EA3A"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6AA3BB96"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Decenal</w:t>
            </w:r>
          </w:p>
        </w:tc>
        <w:tc>
          <w:tcPr>
            <w:tcW w:w="999" w:type="dxa"/>
            <w:tcBorders>
              <w:top w:val="nil"/>
              <w:left w:val="nil"/>
              <w:bottom w:val="nil"/>
              <w:right w:val="single" w:sz="4" w:space="0" w:color="auto"/>
            </w:tcBorders>
            <w:shd w:val="clear" w:color="auto" w:fill="auto"/>
            <w:noWrap/>
            <w:vAlign w:val="center"/>
            <w:hideMark/>
          </w:tcPr>
          <w:p w14:paraId="266067E6"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CPV_CA</w:t>
            </w:r>
          </w:p>
        </w:tc>
        <w:tc>
          <w:tcPr>
            <w:tcW w:w="1057" w:type="dxa"/>
            <w:tcBorders>
              <w:top w:val="nil"/>
              <w:left w:val="nil"/>
              <w:bottom w:val="nil"/>
              <w:right w:val="nil"/>
            </w:tcBorders>
            <w:shd w:val="clear" w:color="auto" w:fill="auto"/>
            <w:noWrap/>
            <w:vAlign w:val="center"/>
            <w:hideMark/>
          </w:tcPr>
          <w:p w14:paraId="5B7EA67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24C4064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0F30D73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noWrap/>
            <w:vAlign w:val="center"/>
            <w:hideMark/>
          </w:tcPr>
          <w:p w14:paraId="5FBD062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71A2410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auto"/>
            <w:noWrap/>
            <w:vAlign w:val="center"/>
            <w:hideMark/>
          </w:tcPr>
          <w:p w14:paraId="78A5F6E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auto"/>
            <w:vAlign w:val="center"/>
            <w:hideMark/>
          </w:tcPr>
          <w:p w14:paraId="11FE90E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21830</w:t>
            </w:r>
          </w:p>
        </w:tc>
        <w:tc>
          <w:tcPr>
            <w:tcW w:w="856" w:type="dxa"/>
            <w:tcBorders>
              <w:top w:val="nil"/>
              <w:left w:val="nil"/>
              <w:bottom w:val="nil"/>
              <w:right w:val="nil"/>
            </w:tcBorders>
            <w:shd w:val="clear" w:color="auto" w:fill="auto"/>
            <w:vAlign w:val="center"/>
            <w:hideMark/>
          </w:tcPr>
          <w:p w14:paraId="6E0AC22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92%</w:t>
            </w:r>
          </w:p>
        </w:tc>
        <w:tc>
          <w:tcPr>
            <w:tcW w:w="638" w:type="dxa"/>
            <w:tcBorders>
              <w:top w:val="nil"/>
              <w:left w:val="nil"/>
              <w:bottom w:val="nil"/>
              <w:right w:val="single" w:sz="4" w:space="0" w:color="auto"/>
            </w:tcBorders>
            <w:shd w:val="clear" w:color="auto" w:fill="auto"/>
            <w:vAlign w:val="center"/>
            <w:hideMark/>
          </w:tcPr>
          <w:p w14:paraId="2DC7BEF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w:t>
            </w:r>
          </w:p>
        </w:tc>
        <w:tc>
          <w:tcPr>
            <w:tcW w:w="958" w:type="dxa"/>
            <w:tcBorders>
              <w:top w:val="nil"/>
              <w:left w:val="nil"/>
              <w:bottom w:val="nil"/>
              <w:right w:val="nil"/>
            </w:tcBorders>
            <w:shd w:val="clear" w:color="auto" w:fill="auto"/>
            <w:noWrap/>
            <w:vAlign w:val="center"/>
            <w:hideMark/>
          </w:tcPr>
          <w:p w14:paraId="62F4FCCA"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6B92B808"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76AB054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19F5CD02" w14:textId="77777777" w:rsidR="005A1399" w:rsidRPr="009A501D" w:rsidRDefault="005A1399" w:rsidP="007F5C1B">
            <w:pPr>
              <w:spacing w:after="0" w:line="240" w:lineRule="auto"/>
              <w:contextualSpacing/>
              <w:rPr>
                <w:sz w:val="20"/>
                <w:szCs w:val="20"/>
              </w:rPr>
            </w:pPr>
          </w:p>
        </w:tc>
      </w:tr>
      <w:tr w:rsidR="005A1399" w:rsidRPr="009A501D" w14:paraId="10442AA0" w14:textId="77777777" w:rsidTr="004C2495">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2D4F2D1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5181BFDE"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Sexenal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79AA92CB"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ENSANUT</w:t>
            </w:r>
          </w:p>
        </w:tc>
        <w:tc>
          <w:tcPr>
            <w:tcW w:w="1057" w:type="dxa"/>
            <w:tcBorders>
              <w:top w:val="nil"/>
              <w:left w:val="nil"/>
              <w:bottom w:val="nil"/>
              <w:right w:val="nil"/>
            </w:tcBorders>
            <w:shd w:val="clear" w:color="auto" w:fill="F2F2F2" w:themeFill="background1" w:themeFillShade="F2"/>
            <w:noWrap/>
            <w:vAlign w:val="center"/>
            <w:hideMark/>
          </w:tcPr>
          <w:p w14:paraId="1FCE6C3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4D1A0DD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7B91A9B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vAlign w:val="center"/>
            <w:hideMark/>
          </w:tcPr>
          <w:p w14:paraId="1E2A10E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vAlign w:val="center"/>
            <w:hideMark/>
          </w:tcPr>
          <w:p w14:paraId="4ED6516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vAlign w:val="center"/>
            <w:hideMark/>
          </w:tcPr>
          <w:p w14:paraId="0EFD586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283415B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F2F2F2" w:themeFill="background1" w:themeFillShade="F2"/>
            <w:vAlign w:val="center"/>
            <w:hideMark/>
          </w:tcPr>
          <w:p w14:paraId="713117B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vAlign w:val="center"/>
            <w:hideMark/>
          </w:tcPr>
          <w:p w14:paraId="0366CCD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19CC874F"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F2F2F2" w:themeFill="background1" w:themeFillShade="F2"/>
            <w:noWrap/>
            <w:vAlign w:val="center"/>
            <w:hideMark/>
          </w:tcPr>
          <w:p w14:paraId="566F8E35"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F2F2F2" w:themeFill="background1" w:themeFillShade="F2"/>
            <w:noWrap/>
            <w:vAlign w:val="center"/>
            <w:hideMark/>
          </w:tcPr>
          <w:p w14:paraId="10AF5D0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shd w:val="clear" w:color="auto" w:fill="F2F2F2" w:themeFill="background1" w:themeFillShade="F2"/>
            <w:vAlign w:val="center"/>
            <w:hideMark/>
          </w:tcPr>
          <w:p w14:paraId="32916E60" w14:textId="77777777" w:rsidR="005A1399" w:rsidRPr="009A501D" w:rsidRDefault="005A1399" w:rsidP="007F5C1B">
            <w:pPr>
              <w:spacing w:after="0" w:line="240" w:lineRule="auto"/>
              <w:contextualSpacing/>
              <w:rPr>
                <w:sz w:val="20"/>
                <w:szCs w:val="20"/>
              </w:rPr>
            </w:pPr>
          </w:p>
        </w:tc>
      </w:tr>
      <w:tr w:rsidR="005A1399" w:rsidRPr="009A501D" w14:paraId="380F98D0"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2223F61F"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58A5CD5D"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Quinquenal</w:t>
            </w:r>
          </w:p>
        </w:tc>
        <w:tc>
          <w:tcPr>
            <w:tcW w:w="999" w:type="dxa"/>
            <w:tcBorders>
              <w:top w:val="nil"/>
              <w:left w:val="nil"/>
              <w:bottom w:val="nil"/>
              <w:right w:val="single" w:sz="4" w:space="0" w:color="auto"/>
            </w:tcBorders>
            <w:shd w:val="clear" w:color="auto" w:fill="auto"/>
            <w:noWrap/>
            <w:vAlign w:val="center"/>
            <w:hideMark/>
          </w:tcPr>
          <w:p w14:paraId="6BC45B46"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ENUT</w:t>
            </w:r>
          </w:p>
        </w:tc>
        <w:tc>
          <w:tcPr>
            <w:tcW w:w="1057" w:type="dxa"/>
            <w:tcBorders>
              <w:top w:val="nil"/>
              <w:left w:val="nil"/>
              <w:bottom w:val="nil"/>
              <w:right w:val="nil"/>
            </w:tcBorders>
            <w:shd w:val="clear" w:color="auto" w:fill="auto"/>
            <w:noWrap/>
            <w:vAlign w:val="center"/>
            <w:hideMark/>
          </w:tcPr>
          <w:p w14:paraId="66EE7B3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65FB129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6C057B4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vAlign w:val="center"/>
            <w:hideMark/>
          </w:tcPr>
          <w:p w14:paraId="2958459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vAlign w:val="center"/>
            <w:hideMark/>
          </w:tcPr>
          <w:p w14:paraId="3A736FA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auto"/>
            <w:vAlign w:val="center"/>
            <w:hideMark/>
          </w:tcPr>
          <w:p w14:paraId="798E33E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auto"/>
            <w:vAlign w:val="center"/>
            <w:hideMark/>
          </w:tcPr>
          <w:p w14:paraId="5F6AED0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auto"/>
            <w:vAlign w:val="center"/>
            <w:hideMark/>
          </w:tcPr>
          <w:p w14:paraId="24140EF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vAlign w:val="center"/>
            <w:hideMark/>
          </w:tcPr>
          <w:p w14:paraId="308F096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auto"/>
            <w:noWrap/>
            <w:vAlign w:val="center"/>
            <w:hideMark/>
          </w:tcPr>
          <w:p w14:paraId="7A677413"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6DDCF2B0"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5057387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3D1DB759" w14:textId="77777777" w:rsidR="005A1399" w:rsidRPr="009A501D" w:rsidRDefault="005A1399" w:rsidP="007F5C1B">
            <w:pPr>
              <w:spacing w:after="0" w:line="240" w:lineRule="auto"/>
              <w:contextualSpacing/>
              <w:rPr>
                <w:sz w:val="20"/>
                <w:szCs w:val="20"/>
              </w:rPr>
            </w:pPr>
          </w:p>
        </w:tc>
      </w:tr>
      <w:tr w:rsidR="005A1399" w:rsidRPr="009A501D" w14:paraId="13F87070" w14:textId="77777777" w:rsidTr="004C2495">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49664857"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73F2173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297131C9"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ENASEM</w:t>
            </w:r>
          </w:p>
        </w:tc>
        <w:tc>
          <w:tcPr>
            <w:tcW w:w="1057" w:type="dxa"/>
            <w:tcBorders>
              <w:top w:val="nil"/>
              <w:left w:val="nil"/>
              <w:bottom w:val="nil"/>
              <w:right w:val="nil"/>
            </w:tcBorders>
            <w:shd w:val="clear" w:color="auto" w:fill="F2F2F2" w:themeFill="background1" w:themeFillShade="F2"/>
            <w:noWrap/>
            <w:vAlign w:val="center"/>
            <w:hideMark/>
          </w:tcPr>
          <w:p w14:paraId="768FA44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7F9E948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01B503B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vAlign w:val="center"/>
            <w:hideMark/>
          </w:tcPr>
          <w:p w14:paraId="185D5DE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vAlign w:val="center"/>
            <w:hideMark/>
          </w:tcPr>
          <w:p w14:paraId="50E729A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vAlign w:val="center"/>
            <w:hideMark/>
          </w:tcPr>
          <w:p w14:paraId="4F35BCE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5B9C4CC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F2F2F2" w:themeFill="background1" w:themeFillShade="F2"/>
            <w:vAlign w:val="center"/>
            <w:hideMark/>
          </w:tcPr>
          <w:p w14:paraId="163A088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vAlign w:val="center"/>
            <w:hideMark/>
          </w:tcPr>
          <w:p w14:paraId="4B659FD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14B11C66"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F2F2F2" w:themeFill="background1" w:themeFillShade="F2"/>
            <w:noWrap/>
            <w:vAlign w:val="center"/>
            <w:hideMark/>
          </w:tcPr>
          <w:p w14:paraId="699B381D"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F2F2F2" w:themeFill="background1" w:themeFillShade="F2"/>
            <w:noWrap/>
            <w:vAlign w:val="center"/>
            <w:hideMark/>
          </w:tcPr>
          <w:p w14:paraId="02C4A02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shd w:val="clear" w:color="auto" w:fill="F2F2F2" w:themeFill="background1" w:themeFillShade="F2"/>
            <w:vAlign w:val="center"/>
            <w:hideMark/>
          </w:tcPr>
          <w:p w14:paraId="4C41D0EA" w14:textId="77777777" w:rsidR="005A1399" w:rsidRPr="009A501D" w:rsidRDefault="005A1399" w:rsidP="007F5C1B">
            <w:pPr>
              <w:spacing w:after="0" w:line="240" w:lineRule="auto"/>
              <w:contextualSpacing/>
              <w:rPr>
                <w:sz w:val="20"/>
                <w:szCs w:val="20"/>
              </w:rPr>
            </w:pPr>
          </w:p>
        </w:tc>
      </w:tr>
      <w:tr w:rsidR="005A1399" w:rsidRPr="009A501D" w14:paraId="6EAD4962"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3CFE317C"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7EBD2FBE"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999" w:type="dxa"/>
            <w:tcBorders>
              <w:top w:val="nil"/>
              <w:left w:val="nil"/>
              <w:bottom w:val="nil"/>
              <w:right w:val="single" w:sz="4" w:space="0" w:color="auto"/>
            </w:tcBorders>
            <w:shd w:val="clear" w:color="auto" w:fill="auto"/>
            <w:noWrap/>
            <w:vAlign w:val="center"/>
            <w:hideMark/>
          </w:tcPr>
          <w:p w14:paraId="3ADD9A17"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ENIF</w:t>
            </w:r>
          </w:p>
        </w:tc>
        <w:tc>
          <w:tcPr>
            <w:tcW w:w="1057" w:type="dxa"/>
            <w:tcBorders>
              <w:top w:val="nil"/>
              <w:left w:val="nil"/>
              <w:bottom w:val="nil"/>
              <w:right w:val="nil"/>
            </w:tcBorders>
            <w:shd w:val="clear" w:color="auto" w:fill="auto"/>
            <w:noWrap/>
            <w:vAlign w:val="center"/>
            <w:hideMark/>
          </w:tcPr>
          <w:p w14:paraId="626D26D1"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auto"/>
            <w:noWrap/>
            <w:vAlign w:val="center"/>
            <w:hideMark/>
          </w:tcPr>
          <w:p w14:paraId="1076FE30"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auto"/>
            <w:noWrap/>
            <w:vAlign w:val="center"/>
            <w:hideMark/>
          </w:tcPr>
          <w:p w14:paraId="40023E3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1037" w:type="dxa"/>
            <w:tcBorders>
              <w:top w:val="nil"/>
              <w:left w:val="nil"/>
              <w:bottom w:val="nil"/>
              <w:right w:val="nil"/>
            </w:tcBorders>
            <w:shd w:val="clear" w:color="auto" w:fill="auto"/>
            <w:vAlign w:val="center"/>
            <w:hideMark/>
          </w:tcPr>
          <w:p w14:paraId="311AC35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17" w:type="dxa"/>
            <w:tcBorders>
              <w:top w:val="nil"/>
              <w:left w:val="nil"/>
              <w:bottom w:val="nil"/>
              <w:right w:val="nil"/>
            </w:tcBorders>
            <w:shd w:val="clear" w:color="auto" w:fill="auto"/>
            <w:vAlign w:val="center"/>
            <w:hideMark/>
          </w:tcPr>
          <w:p w14:paraId="6AC3B86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auto"/>
            <w:vAlign w:val="center"/>
            <w:hideMark/>
          </w:tcPr>
          <w:p w14:paraId="7185B67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auto"/>
            <w:vAlign w:val="center"/>
            <w:hideMark/>
          </w:tcPr>
          <w:p w14:paraId="31B68AF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auto"/>
            <w:vAlign w:val="center"/>
            <w:hideMark/>
          </w:tcPr>
          <w:p w14:paraId="42FCF59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vAlign w:val="center"/>
            <w:hideMark/>
          </w:tcPr>
          <w:p w14:paraId="7D65E0D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auto"/>
            <w:noWrap/>
            <w:vAlign w:val="center"/>
            <w:hideMark/>
          </w:tcPr>
          <w:p w14:paraId="486E98A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57" w:type="dxa"/>
            <w:tcBorders>
              <w:top w:val="nil"/>
              <w:left w:val="nil"/>
              <w:bottom w:val="nil"/>
              <w:right w:val="nil"/>
            </w:tcBorders>
            <w:shd w:val="clear" w:color="auto" w:fill="auto"/>
            <w:noWrap/>
            <w:vAlign w:val="center"/>
            <w:hideMark/>
          </w:tcPr>
          <w:p w14:paraId="55E319B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auto"/>
            <w:noWrap/>
            <w:vAlign w:val="center"/>
            <w:hideMark/>
          </w:tcPr>
          <w:p w14:paraId="045E02D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259F6332" w14:textId="77777777" w:rsidR="005A1399" w:rsidRPr="009A501D" w:rsidRDefault="005A1399" w:rsidP="007F5C1B">
            <w:pPr>
              <w:spacing w:after="0" w:line="240" w:lineRule="auto"/>
              <w:contextualSpacing/>
              <w:rPr>
                <w:sz w:val="20"/>
                <w:szCs w:val="20"/>
              </w:rPr>
            </w:pPr>
          </w:p>
        </w:tc>
      </w:tr>
      <w:tr w:rsidR="005A1399" w:rsidRPr="009A501D" w14:paraId="4BD5B3CF" w14:textId="77777777" w:rsidTr="004C2495">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08E514BD"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57594BEF"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Bianual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17C2EF49"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ENBIARE</w:t>
            </w:r>
          </w:p>
        </w:tc>
        <w:tc>
          <w:tcPr>
            <w:tcW w:w="1057" w:type="dxa"/>
            <w:tcBorders>
              <w:top w:val="nil"/>
              <w:left w:val="nil"/>
              <w:bottom w:val="nil"/>
              <w:right w:val="nil"/>
            </w:tcBorders>
            <w:shd w:val="clear" w:color="auto" w:fill="F2F2F2" w:themeFill="background1" w:themeFillShade="F2"/>
            <w:noWrap/>
            <w:vAlign w:val="center"/>
            <w:hideMark/>
          </w:tcPr>
          <w:p w14:paraId="2C6286B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5AD78B2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1A021B2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5DD7912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31E8B95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481C456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7FA0779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33</w:t>
            </w:r>
          </w:p>
        </w:tc>
        <w:tc>
          <w:tcPr>
            <w:tcW w:w="856" w:type="dxa"/>
            <w:tcBorders>
              <w:top w:val="nil"/>
              <w:left w:val="nil"/>
              <w:bottom w:val="nil"/>
              <w:right w:val="nil"/>
            </w:tcBorders>
            <w:shd w:val="clear" w:color="auto" w:fill="F2F2F2" w:themeFill="background1" w:themeFillShade="F2"/>
            <w:vAlign w:val="center"/>
            <w:hideMark/>
          </w:tcPr>
          <w:p w14:paraId="4A187B2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F2F2F2" w:themeFill="background1" w:themeFillShade="F2"/>
            <w:vAlign w:val="center"/>
            <w:hideMark/>
          </w:tcPr>
          <w:p w14:paraId="283A447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F2F2F2" w:themeFill="background1" w:themeFillShade="F2"/>
            <w:noWrap/>
            <w:vAlign w:val="center"/>
            <w:hideMark/>
          </w:tcPr>
          <w:p w14:paraId="5E6252C3"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F2F2F2" w:themeFill="background1" w:themeFillShade="F2"/>
            <w:noWrap/>
            <w:vAlign w:val="center"/>
            <w:hideMark/>
          </w:tcPr>
          <w:p w14:paraId="7D0DFD7E"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F2F2F2" w:themeFill="background1" w:themeFillShade="F2"/>
            <w:noWrap/>
            <w:vAlign w:val="center"/>
            <w:hideMark/>
          </w:tcPr>
          <w:p w14:paraId="1CC2D83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shd w:val="clear" w:color="auto" w:fill="F2F2F2" w:themeFill="background1" w:themeFillShade="F2"/>
            <w:vAlign w:val="center"/>
            <w:hideMark/>
          </w:tcPr>
          <w:p w14:paraId="79EE7399" w14:textId="77777777" w:rsidR="005A1399" w:rsidRPr="009A501D" w:rsidRDefault="005A1399" w:rsidP="007F5C1B">
            <w:pPr>
              <w:spacing w:after="0" w:line="240" w:lineRule="auto"/>
              <w:contextualSpacing/>
              <w:rPr>
                <w:sz w:val="20"/>
                <w:szCs w:val="20"/>
              </w:rPr>
            </w:pPr>
          </w:p>
        </w:tc>
      </w:tr>
      <w:tr w:rsidR="005A1399" w:rsidRPr="009A501D" w14:paraId="65F14199"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605FF68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5C8142DA"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Bianual</w:t>
            </w:r>
          </w:p>
        </w:tc>
        <w:tc>
          <w:tcPr>
            <w:tcW w:w="999" w:type="dxa"/>
            <w:tcBorders>
              <w:top w:val="nil"/>
              <w:left w:val="nil"/>
              <w:bottom w:val="nil"/>
              <w:right w:val="single" w:sz="4" w:space="0" w:color="auto"/>
            </w:tcBorders>
            <w:shd w:val="clear" w:color="auto" w:fill="auto"/>
            <w:noWrap/>
            <w:vAlign w:val="center"/>
            <w:hideMark/>
          </w:tcPr>
          <w:p w14:paraId="65EE8CAB"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ENIGH_T</w:t>
            </w:r>
          </w:p>
        </w:tc>
        <w:tc>
          <w:tcPr>
            <w:tcW w:w="1057" w:type="dxa"/>
            <w:tcBorders>
              <w:top w:val="nil"/>
              <w:left w:val="nil"/>
              <w:bottom w:val="nil"/>
              <w:right w:val="nil"/>
            </w:tcBorders>
            <w:shd w:val="clear" w:color="auto" w:fill="auto"/>
            <w:noWrap/>
            <w:vAlign w:val="center"/>
            <w:hideMark/>
          </w:tcPr>
          <w:p w14:paraId="0B97766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4CA6380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1FC0C3A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noWrap/>
            <w:vAlign w:val="center"/>
            <w:hideMark/>
          </w:tcPr>
          <w:p w14:paraId="411FC13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198</w:t>
            </w:r>
          </w:p>
        </w:tc>
        <w:tc>
          <w:tcPr>
            <w:tcW w:w="817" w:type="dxa"/>
            <w:tcBorders>
              <w:top w:val="nil"/>
              <w:left w:val="nil"/>
              <w:bottom w:val="nil"/>
              <w:right w:val="nil"/>
            </w:tcBorders>
            <w:shd w:val="clear" w:color="auto" w:fill="auto"/>
            <w:noWrap/>
            <w:vAlign w:val="center"/>
            <w:hideMark/>
          </w:tcPr>
          <w:p w14:paraId="7A43BD4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658" w:type="dxa"/>
            <w:tcBorders>
              <w:top w:val="nil"/>
              <w:left w:val="nil"/>
              <w:bottom w:val="nil"/>
              <w:right w:val="single" w:sz="4" w:space="0" w:color="auto"/>
            </w:tcBorders>
            <w:shd w:val="clear" w:color="auto" w:fill="auto"/>
            <w:noWrap/>
            <w:vAlign w:val="center"/>
            <w:hideMark/>
          </w:tcPr>
          <w:p w14:paraId="13C25C3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auto"/>
            <w:vAlign w:val="center"/>
            <w:hideMark/>
          </w:tcPr>
          <w:p w14:paraId="2259503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198</w:t>
            </w:r>
          </w:p>
        </w:tc>
        <w:tc>
          <w:tcPr>
            <w:tcW w:w="856" w:type="dxa"/>
            <w:tcBorders>
              <w:top w:val="nil"/>
              <w:left w:val="nil"/>
              <w:bottom w:val="nil"/>
              <w:right w:val="nil"/>
            </w:tcBorders>
            <w:shd w:val="clear" w:color="auto" w:fill="auto"/>
            <w:vAlign w:val="center"/>
            <w:hideMark/>
          </w:tcPr>
          <w:p w14:paraId="5767802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638" w:type="dxa"/>
            <w:tcBorders>
              <w:top w:val="nil"/>
              <w:left w:val="nil"/>
              <w:bottom w:val="nil"/>
              <w:right w:val="single" w:sz="4" w:space="0" w:color="auto"/>
            </w:tcBorders>
            <w:shd w:val="clear" w:color="auto" w:fill="auto"/>
            <w:vAlign w:val="center"/>
            <w:hideMark/>
          </w:tcPr>
          <w:p w14:paraId="38AC7C7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4C3087D9"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7CD871C3"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16912F3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5ACC2D43" w14:textId="77777777" w:rsidR="005A1399" w:rsidRPr="009A501D" w:rsidRDefault="005A1399" w:rsidP="007F5C1B">
            <w:pPr>
              <w:spacing w:after="0" w:line="240" w:lineRule="auto"/>
              <w:contextualSpacing/>
              <w:rPr>
                <w:sz w:val="20"/>
                <w:szCs w:val="20"/>
              </w:rPr>
            </w:pPr>
          </w:p>
        </w:tc>
      </w:tr>
      <w:tr w:rsidR="005A1399" w:rsidRPr="009A501D" w14:paraId="72BB1495" w14:textId="77777777" w:rsidTr="004C2495">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736E77C0"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6FF4F38A"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232FD977"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ENH</w:t>
            </w:r>
          </w:p>
        </w:tc>
        <w:tc>
          <w:tcPr>
            <w:tcW w:w="1057" w:type="dxa"/>
            <w:tcBorders>
              <w:top w:val="nil"/>
              <w:left w:val="nil"/>
              <w:bottom w:val="nil"/>
              <w:right w:val="nil"/>
            </w:tcBorders>
            <w:shd w:val="clear" w:color="auto" w:fill="F2F2F2" w:themeFill="background1" w:themeFillShade="F2"/>
            <w:noWrap/>
            <w:vAlign w:val="center"/>
            <w:hideMark/>
          </w:tcPr>
          <w:p w14:paraId="7DB66618"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F2F2F2" w:themeFill="background1" w:themeFillShade="F2"/>
            <w:noWrap/>
            <w:vAlign w:val="center"/>
            <w:hideMark/>
          </w:tcPr>
          <w:p w14:paraId="5977ABF1"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F2F2F2" w:themeFill="background1" w:themeFillShade="F2"/>
            <w:noWrap/>
            <w:vAlign w:val="center"/>
            <w:hideMark/>
          </w:tcPr>
          <w:p w14:paraId="5F0C14E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1037" w:type="dxa"/>
            <w:tcBorders>
              <w:top w:val="nil"/>
              <w:left w:val="nil"/>
              <w:bottom w:val="nil"/>
              <w:right w:val="nil"/>
            </w:tcBorders>
            <w:shd w:val="clear" w:color="auto" w:fill="F2F2F2" w:themeFill="background1" w:themeFillShade="F2"/>
            <w:vAlign w:val="center"/>
            <w:hideMark/>
          </w:tcPr>
          <w:p w14:paraId="6D8A4E9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17" w:type="dxa"/>
            <w:tcBorders>
              <w:top w:val="nil"/>
              <w:left w:val="nil"/>
              <w:bottom w:val="nil"/>
              <w:right w:val="nil"/>
            </w:tcBorders>
            <w:shd w:val="clear" w:color="auto" w:fill="F2F2F2" w:themeFill="background1" w:themeFillShade="F2"/>
            <w:vAlign w:val="center"/>
            <w:hideMark/>
          </w:tcPr>
          <w:p w14:paraId="6DF5AF9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F2F2F2" w:themeFill="background1" w:themeFillShade="F2"/>
            <w:vAlign w:val="center"/>
            <w:hideMark/>
          </w:tcPr>
          <w:p w14:paraId="055D879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F2F2F2" w:themeFill="background1" w:themeFillShade="F2"/>
            <w:vAlign w:val="center"/>
            <w:hideMark/>
          </w:tcPr>
          <w:p w14:paraId="7026DEE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F2F2F2" w:themeFill="background1" w:themeFillShade="F2"/>
            <w:vAlign w:val="center"/>
            <w:hideMark/>
          </w:tcPr>
          <w:p w14:paraId="1E422F3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vAlign w:val="center"/>
            <w:hideMark/>
          </w:tcPr>
          <w:p w14:paraId="6C1A2F0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438A84B8"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F2F2F2" w:themeFill="background1" w:themeFillShade="F2"/>
            <w:noWrap/>
            <w:vAlign w:val="center"/>
            <w:hideMark/>
          </w:tcPr>
          <w:p w14:paraId="34125FC9"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F2F2F2" w:themeFill="background1" w:themeFillShade="F2"/>
            <w:noWrap/>
            <w:vAlign w:val="center"/>
            <w:hideMark/>
          </w:tcPr>
          <w:p w14:paraId="3FF16CC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shd w:val="clear" w:color="auto" w:fill="F2F2F2" w:themeFill="background1" w:themeFillShade="F2"/>
            <w:vAlign w:val="center"/>
            <w:hideMark/>
          </w:tcPr>
          <w:p w14:paraId="2BE7B297" w14:textId="77777777" w:rsidR="005A1399" w:rsidRPr="009A501D" w:rsidRDefault="005A1399" w:rsidP="007F5C1B">
            <w:pPr>
              <w:spacing w:after="0" w:line="240" w:lineRule="auto"/>
              <w:contextualSpacing/>
              <w:rPr>
                <w:sz w:val="20"/>
                <w:szCs w:val="20"/>
              </w:rPr>
            </w:pPr>
          </w:p>
        </w:tc>
      </w:tr>
      <w:tr w:rsidR="005A1399" w:rsidRPr="009A501D" w14:paraId="7F25B72E"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0E118E2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5286D837"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nil"/>
              <w:left w:val="nil"/>
              <w:bottom w:val="nil"/>
              <w:right w:val="single" w:sz="4" w:space="0" w:color="auto"/>
            </w:tcBorders>
            <w:shd w:val="clear" w:color="auto" w:fill="auto"/>
            <w:noWrap/>
            <w:vAlign w:val="center"/>
            <w:hideMark/>
          </w:tcPr>
          <w:p w14:paraId="1A21875B"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MODECULT</w:t>
            </w:r>
          </w:p>
        </w:tc>
        <w:tc>
          <w:tcPr>
            <w:tcW w:w="1057" w:type="dxa"/>
            <w:tcBorders>
              <w:top w:val="nil"/>
              <w:left w:val="nil"/>
              <w:bottom w:val="nil"/>
              <w:right w:val="nil"/>
            </w:tcBorders>
            <w:shd w:val="clear" w:color="auto" w:fill="auto"/>
            <w:noWrap/>
            <w:vAlign w:val="center"/>
            <w:hideMark/>
          </w:tcPr>
          <w:p w14:paraId="13526B9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5BF5C51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7E97B3C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vAlign w:val="center"/>
            <w:hideMark/>
          </w:tcPr>
          <w:p w14:paraId="1CD9267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13</w:t>
            </w:r>
          </w:p>
        </w:tc>
        <w:tc>
          <w:tcPr>
            <w:tcW w:w="817" w:type="dxa"/>
            <w:tcBorders>
              <w:top w:val="nil"/>
              <w:left w:val="nil"/>
              <w:bottom w:val="nil"/>
              <w:right w:val="nil"/>
            </w:tcBorders>
            <w:shd w:val="clear" w:color="auto" w:fill="auto"/>
            <w:vAlign w:val="center"/>
            <w:hideMark/>
          </w:tcPr>
          <w:p w14:paraId="51A4CA2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auto"/>
            <w:vAlign w:val="center"/>
            <w:hideMark/>
          </w:tcPr>
          <w:p w14:paraId="39EBA20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auto"/>
            <w:vAlign w:val="center"/>
            <w:hideMark/>
          </w:tcPr>
          <w:p w14:paraId="1FB4471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5</w:t>
            </w:r>
          </w:p>
        </w:tc>
        <w:tc>
          <w:tcPr>
            <w:tcW w:w="856" w:type="dxa"/>
            <w:tcBorders>
              <w:top w:val="nil"/>
              <w:left w:val="nil"/>
              <w:bottom w:val="nil"/>
              <w:right w:val="nil"/>
            </w:tcBorders>
            <w:shd w:val="clear" w:color="auto" w:fill="auto"/>
            <w:vAlign w:val="center"/>
            <w:hideMark/>
          </w:tcPr>
          <w:p w14:paraId="621898B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60%</w:t>
            </w:r>
          </w:p>
        </w:tc>
        <w:tc>
          <w:tcPr>
            <w:tcW w:w="638" w:type="dxa"/>
            <w:tcBorders>
              <w:top w:val="nil"/>
              <w:left w:val="nil"/>
              <w:bottom w:val="nil"/>
              <w:right w:val="single" w:sz="4" w:space="0" w:color="auto"/>
            </w:tcBorders>
            <w:shd w:val="clear" w:color="auto" w:fill="auto"/>
            <w:vAlign w:val="center"/>
            <w:hideMark/>
          </w:tcPr>
          <w:p w14:paraId="64A8AB3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35BDDA1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5</w:t>
            </w:r>
          </w:p>
        </w:tc>
        <w:tc>
          <w:tcPr>
            <w:tcW w:w="857" w:type="dxa"/>
            <w:tcBorders>
              <w:top w:val="nil"/>
              <w:left w:val="nil"/>
              <w:bottom w:val="nil"/>
              <w:right w:val="nil"/>
            </w:tcBorders>
            <w:shd w:val="clear" w:color="auto" w:fill="auto"/>
            <w:noWrap/>
            <w:vAlign w:val="center"/>
            <w:hideMark/>
          </w:tcPr>
          <w:p w14:paraId="4F646E2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auto"/>
            <w:noWrap/>
            <w:vAlign w:val="center"/>
            <w:hideMark/>
          </w:tcPr>
          <w:p w14:paraId="5AE2F18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4F580787" w14:textId="77777777" w:rsidR="005A1399" w:rsidRPr="009A501D" w:rsidRDefault="005A1399" w:rsidP="007F5C1B">
            <w:pPr>
              <w:spacing w:after="0" w:line="240" w:lineRule="auto"/>
              <w:contextualSpacing/>
              <w:rPr>
                <w:sz w:val="20"/>
                <w:szCs w:val="20"/>
              </w:rPr>
            </w:pPr>
          </w:p>
        </w:tc>
      </w:tr>
      <w:tr w:rsidR="005A1399" w:rsidRPr="009A501D" w14:paraId="3A1B7A84" w14:textId="77777777" w:rsidTr="004C2495">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64F16A8D"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1C91936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17D039F3"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MOLEC</w:t>
            </w:r>
          </w:p>
        </w:tc>
        <w:tc>
          <w:tcPr>
            <w:tcW w:w="1057" w:type="dxa"/>
            <w:tcBorders>
              <w:top w:val="nil"/>
              <w:left w:val="nil"/>
              <w:bottom w:val="nil"/>
              <w:right w:val="nil"/>
            </w:tcBorders>
            <w:shd w:val="clear" w:color="auto" w:fill="F2F2F2" w:themeFill="background1" w:themeFillShade="F2"/>
            <w:noWrap/>
            <w:vAlign w:val="center"/>
            <w:hideMark/>
          </w:tcPr>
          <w:p w14:paraId="2A4BD1D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39BE895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5DA78CB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vAlign w:val="center"/>
            <w:hideMark/>
          </w:tcPr>
          <w:p w14:paraId="7FCE5EE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w:t>
            </w:r>
          </w:p>
        </w:tc>
        <w:tc>
          <w:tcPr>
            <w:tcW w:w="817" w:type="dxa"/>
            <w:tcBorders>
              <w:top w:val="nil"/>
              <w:left w:val="nil"/>
              <w:bottom w:val="nil"/>
              <w:right w:val="nil"/>
            </w:tcBorders>
            <w:shd w:val="clear" w:color="auto" w:fill="F2F2F2" w:themeFill="background1" w:themeFillShade="F2"/>
            <w:vAlign w:val="center"/>
            <w:hideMark/>
          </w:tcPr>
          <w:p w14:paraId="2B1CECD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F2F2F2" w:themeFill="background1" w:themeFillShade="F2"/>
            <w:vAlign w:val="center"/>
            <w:hideMark/>
          </w:tcPr>
          <w:p w14:paraId="0FB6AAE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F2F2F2" w:themeFill="background1" w:themeFillShade="F2"/>
            <w:vAlign w:val="center"/>
            <w:hideMark/>
          </w:tcPr>
          <w:p w14:paraId="6DC64B1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856" w:type="dxa"/>
            <w:tcBorders>
              <w:top w:val="nil"/>
              <w:left w:val="nil"/>
              <w:bottom w:val="nil"/>
              <w:right w:val="nil"/>
            </w:tcBorders>
            <w:shd w:val="clear" w:color="auto" w:fill="F2F2F2" w:themeFill="background1" w:themeFillShade="F2"/>
            <w:vAlign w:val="center"/>
            <w:hideMark/>
          </w:tcPr>
          <w:p w14:paraId="6B3C550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F2F2F2" w:themeFill="background1" w:themeFillShade="F2"/>
            <w:vAlign w:val="center"/>
            <w:hideMark/>
          </w:tcPr>
          <w:p w14:paraId="0497B28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F2F2F2" w:themeFill="background1" w:themeFillShade="F2"/>
            <w:noWrap/>
            <w:vAlign w:val="center"/>
            <w:hideMark/>
          </w:tcPr>
          <w:p w14:paraId="4AA7F68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857" w:type="dxa"/>
            <w:tcBorders>
              <w:top w:val="nil"/>
              <w:left w:val="nil"/>
              <w:bottom w:val="nil"/>
              <w:right w:val="nil"/>
            </w:tcBorders>
            <w:shd w:val="clear" w:color="auto" w:fill="F2F2F2" w:themeFill="background1" w:themeFillShade="F2"/>
            <w:noWrap/>
            <w:vAlign w:val="center"/>
            <w:hideMark/>
          </w:tcPr>
          <w:p w14:paraId="28A94F9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025F36B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19C1C7D2" w14:textId="77777777" w:rsidR="005A1399" w:rsidRPr="009A501D" w:rsidRDefault="005A1399" w:rsidP="007F5C1B">
            <w:pPr>
              <w:spacing w:after="0" w:line="240" w:lineRule="auto"/>
              <w:contextualSpacing/>
              <w:rPr>
                <w:sz w:val="20"/>
                <w:szCs w:val="20"/>
              </w:rPr>
            </w:pPr>
          </w:p>
        </w:tc>
      </w:tr>
      <w:tr w:rsidR="005A1399" w:rsidRPr="009A501D" w14:paraId="241FF857"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4B37DF69"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3982A79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nil"/>
              <w:left w:val="nil"/>
              <w:bottom w:val="nil"/>
              <w:right w:val="single" w:sz="4" w:space="0" w:color="auto"/>
            </w:tcBorders>
            <w:shd w:val="clear" w:color="auto" w:fill="auto"/>
            <w:noWrap/>
            <w:vAlign w:val="center"/>
            <w:hideMark/>
          </w:tcPr>
          <w:p w14:paraId="64645400"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MOPRADEF</w:t>
            </w:r>
          </w:p>
        </w:tc>
        <w:tc>
          <w:tcPr>
            <w:tcW w:w="1057" w:type="dxa"/>
            <w:tcBorders>
              <w:top w:val="nil"/>
              <w:left w:val="nil"/>
              <w:bottom w:val="nil"/>
              <w:right w:val="nil"/>
            </w:tcBorders>
            <w:shd w:val="clear" w:color="auto" w:fill="auto"/>
            <w:noWrap/>
            <w:vAlign w:val="center"/>
            <w:hideMark/>
          </w:tcPr>
          <w:p w14:paraId="77F75F6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6814300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6984A57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noWrap/>
            <w:vAlign w:val="center"/>
            <w:hideMark/>
          </w:tcPr>
          <w:p w14:paraId="20CC7CE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17" w:type="dxa"/>
            <w:tcBorders>
              <w:top w:val="nil"/>
              <w:left w:val="nil"/>
              <w:bottom w:val="nil"/>
              <w:right w:val="nil"/>
            </w:tcBorders>
            <w:shd w:val="clear" w:color="auto" w:fill="auto"/>
            <w:noWrap/>
            <w:vAlign w:val="center"/>
            <w:hideMark/>
          </w:tcPr>
          <w:p w14:paraId="5FE180D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auto"/>
            <w:noWrap/>
            <w:vAlign w:val="center"/>
            <w:hideMark/>
          </w:tcPr>
          <w:p w14:paraId="6919864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auto"/>
            <w:vAlign w:val="center"/>
            <w:hideMark/>
          </w:tcPr>
          <w:p w14:paraId="13417CD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56" w:type="dxa"/>
            <w:tcBorders>
              <w:top w:val="nil"/>
              <w:left w:val="nil"/>
              <w:bottom w:val="nil"/>
              <w:right w:val="nil"/>
            </w:tcBorders>
            <w:shd w:val="clear" w:color="auto" w:fill="auto"/>
            <w:vAlign w:val="center"/>
            <w:hideMark/>
          </w:tcPr>
          <w:p w14:paraId="525FAB5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vAlign w:val="center"/>
            <w:hideMark/>
          </w:tcPr>
          <w:p w14:paraId="3B3CCA8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2633419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57" w:type="dxa"/>
            <w:tcBorders>
              <w:top w:val="nil"/>
              <w:left w:val="nil"/>
              <w:bottom w:val="nil"/>
              <w:right w:val="nil"/>
            </w:tcBorders>
            <w:shd w:val="clear" w:color="auto" w:fill="auto"/>
            <w:noWrap/>
            <w:vAlign w:val="center"/>
            <w:hideMark/>
          </w:tcPr>
          <w:p w14:paraId="17670FF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auto"/>
            <w:noWrap/>
            <w:vAlign w:val="center"/>
            <w:hideMark/>
          </w:tcPr>
          <w:p w14:paraId="67DBA09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6FAB927F" w14:textId="77777777" w:rsidR="005A1399" w:rsidRPr="009A501D" w:rsidRDefault="005A1399" w:rsidP="007F5C1B">
            <w:pPr>
              <w:spacing w:after="0" w:line="240" w:lineRule="auto"/>
              <w:contextualSpacing/>
              <w:rPr>
                <w:sz w:val="20"/>
                <w:szCs w:val="20"/>
              </w:rPr>
            </w:pPr>
          </w:p>
        </w:tc>
      </w:tr>
      <w:tr w:rsidR="005A1399" w:rsidRPr="009A501D" w14:paraId="2E43B93A"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7986F226"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lastRenderedPageBreak/>
              <w:t>DGES</w:t>
            </w:r>
          </w:p>
        </w:tc>
        <w:tc>
          <w:tcPr>
            <w:tcW w:w="1518" w:type="dxa"/>
            <w:tcBorders>
              <w:top w:val="nil"/>
              <w:left w:val="nil"/>
              <w:bottom w:val="nil"/>
              <w:right w:val="nil"/>
            </w:tcBorders>
            <w:shd w:val="clear" w:color="auto" w:fill="F2F2F2" w:themeFill="background1" w:themeFillShade="F2"/>
            <w:noWrap/>
            <w:vAlign w:val="center"/>
            <w:hideMark/>
          </w:tcPr>
          <w:p w14:paraId="4904A61F"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5265D917"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BIARE</w:t>
            </w:r>
          </w:p>
        </w:tc>
        <w:tc>
          <w:tcPr>
            <w:tcW w:w="1057" w:type="dxa"/>
            <w:tcBorders>
              <w:top w:val="nil"/>
              <w:left w:val="nil"/>
              <w:bottom w:val="nil"/>
              <w:right w:val="nil"/>
            </w:tcBorders>
            <w:shd w:val="clear" w:color="auto" w:fill="F2F2F2" w:themeFill="background1" w:themeFillShade="F2"/>
            <w:noWrap/>
            <w:vAlign w:val="center"/>
            <w:hideMark/>
          </w:tcPr>
          <w:p w14:paraId="28461B6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2496F6C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4E86AD8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1FBCD1F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817" w:type="dxa"/>
            <w:tcBorders>
              <w:top w:val="nil"/>
              <w:left w:val="nil"/>
              <w:bottom w:val="nil"/>
              <w:right w:val="nil"/>
            </w:tcBorders>
            <w:shd w:val="clear" w:color="auto" w:fill="F2F2F2" w:themeFill="background1" w:themeFillShade="F2"/>
            <w:noWrap/>
            <w:vAlign w:val="center"/>
            <w:hideMark/>
          </w:tcPr>
          <w:p w14:paraId="29CFBF1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21E3488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F2F2F2" w:themeFill="background1" w:themeFillShade="F2"/>
            <w:vAlign w:val="center"/>
            <w:hideMark/>
          </w:tcPr>
          <w:p w14:paraId="27611A3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3</w:t>
            </w:r>
          </w:p>
        </w:tc>
        <w:tc>
          <w:tcPr>
            <w:tcW w:w="856" w:type="dxa"/>
            <w:tcBorders>
              <w:top w:val="nil"/>
              <w:left w:val="nil"/>
              <w:bottom w:val="nil"/>
              <w:right w:val="nil"/>
            </w:tcBorders>
            <w:shd w:val="clear" w:color="auto" w:fill="F2F2F2" w:themeFill="background1" w:themeFillShade="F2"/>
            <w:vAlign w:val="center"/>
            <w:hideMark/>
          </w:tcPr>
          <w:p w14:paraId="5338516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F2F2F2" w:themeFill="background1" w:themeFillShade="F2"/>
            <w:vAlign w:val="center"/>
            <w:hideMark/>
          </w:tcPr>
          <w:p w14:paraId="3298B67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F2F2F2" w:themeFill="background1" w:themeFillShade="F2"/>
            <w:noWrap/>
            <w:vAlign w:val="center"/>
            <w:hideMark/>
          </w:tcPr>
          <w:p w14:paraId="279BB97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4</w:t>
            </w:r>
          </w:p>
        </w:tc>
        <w:tc>
          <w:tcPr>
            <w:tcW w:w="857" w:type="dxa"/>
            <w:tcBorders>
              <w:top w:val="nil"/>
              <w:left w:val="nil"/>
              <w:bottom w:val="nil"/>
              <w:right w:val="nil"/>
            </w:tcBorders>
            <w:shd w:val="clear" w:color="auto" w:fill="F2F2F2" w:themeFill="background1" w:themeFillShade="F2"/>
            <w:noWrap/>
            <w:vAlign w:val="center"/>
            <w:hideMark/>
          </w:tcPr>
          <w:p w14:paraId="1C2798E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3620802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17E1032E" w14:textId="77777777" w:rsidR="005A1399" w:rsidRPr="009A501D" w:rsidRDefault="005A1399" w:rsidP="007F5C1B">
            <w:pPr>
              <w:spacing w:after="0" w:line="240" w:lineRule="auto"/>
              <w:contextualSpacing/>
              <w:rPr>
                <w:sz w:val="20"/>
                <w:szCs w:val="20"/>
              </w:rPr>
            </w:pPr>
          </w:p>
        </w:tc>
      </w:tr>
      <w:tr w:rsidR="005A1399" w:rsidRPr="009A501D" w14:paraId="219E769C"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7725C4C7"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7EFAF6E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999" w:type="dxa"/>
            <w:tcBorders>
              <w:top w:val="nil"/>
              <w:left w:val="nil"/>
              <w:bottom w:val="nil"/>
              <w:right w:val="single" w:sz="4" w:space="0" w:color="auto"/>
            </w:tcBorders>
            <w:shd w:val="clear" w:color="auto" w:fill="auto"/>
            <w:noWrap/>
            <w:vAlign w:val="center"/>
            <w:hideMark/>
          </w:tcPr>
          <w:p w14:paraId="7CDF22C8"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ENIGH_E</w:t>
            </w:r>
          </w:p>
        </w:tc>
        <w:tc>
          <w:tcPr>
            <w:tcW w:w="1057" w:type="dxa"/>
            <w:tcBorders>
              <w:top w:val="nil"/>
              <w:left w:val="nil"/>
              <w:bottom w:val="nil"/>
              <w:right w:val="nil"/>
            </w:tcBorders>
            <w:shd w:val="clear" w:color="auto" w:fill="auto"/>
            <w:noWrap/>
            <w:vAlign w:val="center"/>
            <w:hideMark/>
          </w:tcPr>
          <w:p w14:paraId="17464047"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auto"/>
            <w:noWrap/>
            <w:vAlign w:val="center"/>
            <w:hideMark/>
          </w:tcPr>
          <w:p w14:paraId="7D1CB3BD"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auto"/>
            <w:noWrap/>
            <w:vAlign w:val="center"/>
            <w:hideMark/>
          </w:tcPr>
          <w:p w14:paraId="5128529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1037" w:type="dxa"/>
            <w:tcBorders>
              <w:top w:val="nil"/>
              <w:left w:val="nil"/>
              <w:bottom w:val="nil"/>
              <w:right w:val="nil"/>
            </w:tcBorders>
            <w:shd w:val="clear" w:color="auto" w:fill="auto"/>
            <w:noWrap/>
            <w:vAlign w:val="center"/>
            <w:hideMark/>
          </w:tcPr>
          <w:p w14:paraId="12F571A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6D15E4B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auto"/>
            <w:noWrap/>
            <w:vAlign w:val="center"/>
            <w:hideMark/>
          </w:tcPr>
          <w:p w14:paraId="7BF5150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auto"/>
            <w:vAlign w:val="center"/>
            <w:hideMark/>
          </w:tcPr>
          <w:p w14:paraId="04349CD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6</w:t>
            </w:r>
          </w:p>
        </w:tc>
        <w:tc>
          <w:tcPr>
            <w:tcW w:w="856" w:type="dxa"/>
            <w:tcBorders>
              <w:top w:val="nil"/>
              <w:left w:val="nil"/>
              <w:bottom w:val="nil"/>
              <w:right w:val="nil"/>
            </w:tcBorders>
            <w:shd w:val="clear" w:color="auto" w:fill="auto"/>
            <w:vAlign w:val="center"/>
            <w:hideMark/>
          </w:tcPr>
          <w:p w14:paraId="7170A75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vAlign w:val="center"/>
            <w:hideMark/>
          </w:tcPr>
          <w:p w14:paraId="09D15F6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40467465"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69EC2F70"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24E4D95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7A72CFE5" w14:textId="77777777" w:rsidR="005A1399" w:rsidRPr="009A501D" w:rsidRDefault="005A1399" w:rsidP="007F5C1B">
            <w:pPr>
              <w:spacing w:after="0" w:line="240" w:lineRule="auto"/>
              <w:contextualSpacing/>
              <w:rPr>
                <w:sz w:val="20"/>
                <w:szCs w:val="20"/>
              </w:rPr>
            </w:pPr>
          </w:p>
        </w:tc>
      </w:tr>
      <w:tr w:rsidR="005A1399" w:rsidRPr="009A501D" w14:paraId="0140C1BA"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5739003C"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40CAD52A"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40607E28"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ENOE-NE</w:t>
            </w:r>
          </w:p>
        </w:tc>
        <w:tc>
          <w:tcPr>
            <w:tcW w:w="1057" w:type="dxa"/>
            <w:tcBorders>
              <w:top w:val="nil"/>
              <w:left w:val="nil"/>
              <w:bottom w:val="nil"/>
              <w:right w:val="nil"/>
            </w:tcBorders>
            <w:shd w:val="clear" w:color="auto" w:fill="F2F2F2" w:themeFill="background1" w:themeFillShade="F2"/>
            <w:noWrap/>
            <w:vAlign w:val="center"/>
            <w:hideMark/>
          </w:tcPr>
          <w:p w14:paraId="50D48C7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878</w:t>
            </w:r>
          </w:p>
        </w:tc>
        <w:tc>
          <w:tcPr>
            <w:tcW w:w="817" w:type="dxa"/>
            <w:tcBorders>
              <w:top w:val="nil"/>
              <w:left w:val="nil"/>
              <w:bottom w:val="nil"/>
              <w:right w:val="nil"/>
            </w:tcBorders>
            <w:shd w:val="clear" w:color="auto" w:fill="F2F2F2" w:themeFill="background1" w:themeFillShade="F2"/>
            <w:noWrap/>
            <w:vAlign w:val="center"/>
            <w:hideMark/>
          </w:tcPr>
          <w:p w14:paraId="051D731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98%</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55D52C9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1037" w:type="dxa"/>
            <w:tcBorders>
              <w:top w:val="nil"/>
              <w:left w:val="nil"/>
              <w:bottom w:val="nil"/>
              <w:right w:val="nil"/>
            </w:tcBorders>
            <w:shd w:val="clear" w:color="auto" w:fill="F2F2F2" w:themeFill="background1" w:themeFillShade="F2"/>
            <w:vAlign w:val="center"/>
            <w:hideMark/>
          </w:tcPr>
          <w:p w14:paraId="6E1CAAF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900</w:t>
            </w:r>
          </w:p>
        </w:tc>
        <w:tc>
          <w:tcPr>
            <w:tcW w:w="817" w:type="dxa"/>
            <w:tcBorders>
              <w:top w:val="nil"/>
              <w:left w:val="nil"/>
              <w:bottom w:val="nil"/>
              <w:right w:val="nil"/>
            </w:tcBorders>
            <w:shd w:val="clear" w:color="auto" w:fill="F2F2F2" w:themeFill="background1" w:themeFillShade="F2"/>
            <w:vAlign w:val="center"/>
            <w:hideMark/>
          </w:tcPr>
          <w:p w14:paraId="5CD8C21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658" w:type="dxa"/>
            <w:tcBorders>
              <w:top w:val="nil"/>
              <w:left w:val="nil"/>
              <w:bottom w:val="nil"/>
              <w:right w:val="single" w:sz="4" w:space="0" w:color="auto"/>
            </w:tcBorders>
            <w:shd w:val="clear" w:color="auto" w:fill="F2F2F2" w:themeFill="background1" w:themeFillShade="F2"/>
            <w:vAlign w:val="center"/>
            <w:hideMark/>
          </w:tcPr>
          <w:p w14:paraId="0299E05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F2F2F2" w:themeFill="background1" w:themeFillShade="F2"/>
            <w:vAlign w:val="center"/>
            <w:hideMark/>
          </w:tcPr>
          <w:p w14:paraId="643F4A9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936</w:t>
            </w:r>
          </w:p>
        </w:tc>
        <w:tc>
          <w:tcPr>
            <w:tcW w:w="856" w:type="dxa"/>
            <w:tcBorders>
              <w:top w:val="nil"/>
              <w:left w:val="nil"/>
              <w:bottom w:val="nil"/>
              <w:right w:val="nil"/>
            </w:tcBorders>
            <w:shd w:val="clear" w:color="auto" w:fill="F2F2F2" w:themeFill="background1" w:themeFillShade="F2"/>
            <w:vAlign w:val="center"/>
            <w:hideMark/>
          </w:tcPr>
          <w:p w14:paraId="6B1E0B9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95%</w:t>
            </w:r>
          </w:p>
        </w:tc>
        <w:tc>
          <w:tcPr>
            <w:tcW w:w="638" w:type="dxa"/>
            <w:tcBorders>
              <w:top w:val="nil"/>
              <w:left w:val="nil"/>
              <w:bottom w:val="nil"/>
              <w:right w:val="single" w:sz="4" w:space="0" w:color="auto"/>
            </w:tcBorders>
            <w:shd w:val="clear" w:color="auto" w:fill="F2F2F2" w:themeFill="background1" w:themeFillShade="F2"/>
            <w:vAlign w:val="center"/>
            <w:hideMark/>
          </w:tcPr>
          <w:p w14:paraId="7AAF137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F2F2F2" w:themeFill="background1" w:themeFillShade="F2"/>
            <w:noWrap/>
            <w:vAlign w:val="center"/>
            <w:hideMark/>
          </w:tcPr>
          <w:p w14:paraId="298BA3D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1248</w:t>
            </w:r>
          </w:p>
        </w:tc>
        <w:tc>
          <w:tcPr>
            <w:tcW w:w="857" w:type="dxa"/>
            <w:tcBorders>
              <w:top w:val="nil"/>
              <w:left w:val="nil"/>
              <w:bottom w:val="nil"/>
              <w:right w:val="nil"/>
            </w:tcBorders>
            <w:shd w:val="clear" w:color="auto" w:fill="F2F2F2" w:themeFill="background1" w:themeFillShade="F2"/>
            <w:noWrap/>
            <w:vAlign w:val="center"/>
            <w:hideMark/>
          </w:tcPr>
          <w:p w14:paraId="6D1830B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98%</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5411A14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43647DF4" w14:textId="77777777" w:rsidR="005A1399" w:rsidRPr="009A501D" w:rsidRDefault="005A1399" w:rsidP="007F5C1B">
            <w:pPr>
              <w:spacing w:after="0" w:line="240" w:lineRule="auto"/>
              <w:contextualSpacing/>
              <w:rPr>
                <w:sz w:val="20"/>
                <w:szCs w:val="20"/>
              </w:rPr>
            </w:pPr>
          </w:p>
        </w:tc>
      </w:tr>
      <w:tr w:rsidR="005A1399" w:rsidRPr="009A501D" w14:paraId="3EEDA2DC"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2C54A602"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46715F5D"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999" w:type="dxa"/>
            <w:tcBorders>
              <w:top w:val="nil"/>
              <w:left w:val="nil"/>
              <w:bottom w:val="nil"/>
              <w:right w:val="single" w:sz="4" w:space="0" w:color="auto"/>
            </w:tcBorders>
            <w:shd w:val="clear" w:color="auto" w:fill="auto"/>
            <w:noWrap/>
            <w:vAlign w:val="center"/>
            <w:hideMark/>
          </w:tcPr>
          <w:p w14:paraId="06644074"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ENCO</w:t>
            </w:r>
          </w:p>
        </w:tc>
        <w:tc>
          <w:tcPr>
            <w:tcW w:w="1057" w:type="dxa"/>
            <w:tcBorders>
              <w:top w:val="nil"/>
              <w:left w:val="nil"/>
              <w:bottom w:val="nil"/>
              <w:right w:val="nil"/>
            </w:tcBorders>
            <w:shd w:val="clear" w:color="auto" w:fill="auto"/>
            <w:noWrap/>
            <w:vAlign w:val="center"/>
            <w:hideMark/>
          </w:tcPr>
          <w:p w14:paraId="4F094CD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59</w:t>
            </w:r>
          </w:p>
        </w:tc>
        <w:tc>
          <w:tcPr>
            <w:tcW w:w="817" w:type="dxa"/>
            <w:tcBorders>
              <w:top w:val="nil"/>
              <w:left w:val="nil"/>
              <w:bottom w:val="nil"/>
              <w:right w:val="nil"/>
            </w:tcBorders>
            <w:shd w:val="clear" w:color="auto" w:fill="auto"/>
            <w:noWrap/>
            <w:vAlign w:val="center"/>
            <w:hideMark/>
          </w:tcPr>
          <w:p w14:paraId="32D60F3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noWrap/>
            <w:vAlign w:val="center"/>
            <w:hideMark/>
          </w:tcPr>
          <w:p w14:paraId="591206B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1037" w:type="dxa"/>
            <w:tcBorders>
              <w:top w:val="nil"/>
              <w:left w:val="nil"/>
              <w:bottom w:val="nil"/>
              <w:right w:val="nil"/>
            </w:tcBorders>
            <w:shd w:val="clear" w:color="auto" w:fill="auto"/>
            <w:vAlign w:val="center"/>
            <w:hideMark/>
          </w:tcPr>
          <w:p w14:paraId="2398AFF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72</w:t>
            </w:r>
          </w:p>
        </w:tc>
        <w:tc>
          <w:tcPr>
            <w:tcW w:w="817" w:type="dxa"/>
            <w:tcBorders>
              <w:top w:val="nil"/>
              <w:left w:val="nil"/>
              <w:bottom w:val="nil"/>
              <w:right w:val="nil"/>
            </w:tcBorders>
            <w:shd w:val="clear" w:color="auto" w:fill="auto"/>
            <w:vAlign w:val="center"/>
            <w:hideMark/>
          </w:tcPr>
          <w:p w14:paraId="33A3588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auto"/>
            <w:vAlign w:val="center"/>
            <w:hideMark/>
          </w:tcPr>
          <w:p w14:paraId="1C87AC3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auto"/>
            <w:vAlign w:val="center"/>
            <w:hideMark/>
          </w:tcPr>
          <w:p w14:paraId="1BE6F29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72</w:t>
            </w:r>
          </w:p>
        </w:tc>
        <w:tc>
          <w:tcPr>
            <w:tcW w:w="856" w:type="dxa"/>
            <w:tcBorders>
              <w:top w:val="nil"/>
              <w:left w:val="nil"/>
              <w:bottom w:val="nil"/>
              <w:right w:val="nil"/>
            </w:tcBorders>
            <w:shd w:val="clear" w:color="auto" w:fill="auto"/>
            <w:vAlign w:val="center"/>
            <w:hideMark/>
          </w:tcPr>
          <w:p w14:paraId="05F5ED5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vAlign w:val="center"/>
            <w:hideMark/>
          </w:tcPr>
          <w:p w14:paraId="469FE67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7F587F3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72</w:t>
            </w:r>
          </w:p>
        </w:tc>
        <w:tc>
          <w:tcPr>
            <w:tcW w:w="857" w:type="dxa"/>
            <w:tcBorders>
              <w:top w:val="nil"/>
              <w:left w:val="nil"/>
              <w:bottom w:val="nil"/>
              <w:right w:val="nil"/>
            </w:tcBorders>
            <w:shd w:val="clear" w:color="auto" w:fill="auto"/>
            <w:noWrap/>
            <w:vAlign w:val="center"/>
            <w:hideMark/>
          </w:tcPr>
          <w:p w14:paraId="0114B4E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auto"/>
            <w:noWrap/>
            <w:vAlign w:val="center"/>
            <w:hideMark/>
          </w:tcPr>
          <w:p w14:paraId="126DA31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13159B25" w14:textId="77777777" w:rsidR="005A1399" w:rsidRPr="009A501D" w:rsidRDefault="005A1399" w:rsidP="007F5C1B">
            <w:pPr>
              <w:spacing w:after="0" w:line="240" w:lineRule="auto"/>
              <w:contextualSpacing/>
              <w:rPr>
                <w:sz w:val="20"/>
                <w:szCs w:val="20"/>
              </w:rPr>
            </w:pPr>
          </w:p>
        </w:tc>
      </w:tr>
      <w:tr w:rsidR="005A1399" w:rsidRPr="009A501D" w14:paraId="1AECA6D8"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3D8DADE6"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7F5515C9"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7E31B9ED"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ENOE</w:t>
            </w:r>
          </w:p>
        </w:tc>
        <w:tc>
          <w:tcPr>
            <w:tcW w:w="1057" w:type="dxa"/>
            <w:tcBorders>
              <w:top w:val="nil"/>
              <w:left w:val="nil"/>
              <w:bottom w:val="nil"/>
              <w:right w:val="nil"/>
            </w:tcBorders>
            <w:shd w:val="clear" w:color="auto" w:fill="F2F2F2" w:themeFill="background1" w:themeFillShade="F2"/>
            <w:noWrap/>
            <w:vAlign w:val="center"/>
            <w:hideMark/>
          </w:tcPr>
          <w:p w14:paraId="54B6A75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7E3DAFC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1F8C7D7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6BB53B7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22B7B8F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7D3EFF0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74CB2EB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F2F2F2" w:themeFill="background1" w:themeFillShade="F2"/>
            <w:vAlign w:val="center"/>
            <w:hideMark/>
          </w:tcPr>
          <w:p w14:paraId="31CD490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vAlign w:val="center"/>
            <w:hideMark/>
          </w:tcPr>
          <w:p w14:paraId="2B76695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78B39DA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48</w:t>
            </w:r>
          </w:p>
        </w:tc>
        <w:tc>
          <w:tcPr>
            <w:tcW w:w="857" w:type="dxa"/>
            <w:tcBorders>
              <w:top w:val="nil"/>
              <w:left w:val="nil"/>
              <w:bottom w:val="nil"/>
              <w:right w:val="nil"/>
            </w:tcBorders>
            <w:shd w:val="clear" w:color="auto" w:fill="F2F2F2" w:themeFill="background1" w:themeFillShade="F2"/>
            <w:noWrap/>
            <w:vAlign w:val="center"/>
            <w:hideMark/>
          </w:tcPr>
          <w:p w14:paraId="1DB4A76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3685EA4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4A78E4C1" w14:textId="77777777" w:rsidR="005A1399" w:rsidRPr="009A501D" w:rsidRDefault="005A1399" w:rsidP="007F5C1B">
            <w:pPr>
              <w:spacing w:after="0" w:line="240" w:lineRule="auto"/>
              <w:contextualSpacing/>
              <w:rPr>
                <w:sz w:val="20"/>
                <w:szCs w:val="20"/>
              </w:rPr>
            </w:pPr>
          </w:p>
        </w:tc>
      </w:tr>
      <w:tr w:rsidR="005A1399" w:rsidRPr="009A501D" w14:paraId="4AEE9A4E"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03C96113"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5F9DB6A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auto"/>
            <w:noWrap/>
            <w:vAlign w:val="center"/>
            <w:hideMark/>
          </w:tcPr>
          <w:p w14:paraId="4074C03E"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EDER</w:t>
            </w:r>
          </w:p>
        </w:tc>
        <w:tc>
          <w:tcPr>
            <w:tcW w:w="1057" w:type="dxa"/>
            <w:tcBorders>
              <w:top w:val="nil"/>
              <w:left w:val="nil"/>
              <w:bottom w:val="nil"/>
              <w:right w:val="nil"/>
            </w:tcBorders>
            <w:shd w:val="clear" w:color="auto" w:fill="auto"/>
            <w:noWrap/>
            <w:vAlign w:val="center"/>
            <w:hideMark/>
          </w:tcPr>
          <w:p w14:paraId="59FFDE5E"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auto"/>
            <w:noWrap/>
            <w:vAlign w:val="center"/>
            <w:hideMark/>
          </w:tcPr>
          <w:p w14:paraId="48029FCE"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auto"/>
            <w:noWrap/>
            <w:vAlign w:val="center"/>
            <w:hideMark/>
          </w:tcPr>
          <w:p w14:paraId="27B96BA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1037" w:type="dxa"/>
            <w:tcBorders>
              <w:top w:val="nil"/>
              <w:left w:val="nil"/>
              <w:bottom w:val="nil"/>
              <w:right w:val="nil"/>
            </w:tcBorders>
            <w:shd w:val="clear" w:color="auto" w:fill="auto"/>
            <w:vAlign w:val="center"/>
            <w:hideMark/>
          </w:tcPr>
          <w:p w14:paraId="0F63493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1 319</w:t>
            </w:r>
          </w:p>
        </w:tc>
        <w:tc>
          <w:tcPr>
            <w:tcW w:w="817" w:type="dxa"/>
            <w:tcBorders>
              <w:top w:val="nil"/>
              <w:left w:val="nil"/>
              <w:bottom w:val="nil"/>
              <w:right w:val="nil"/>
            </w:tcBorders>
            <w:shd w:val="clear" w:color="auto" w:fill="auto"/>
            <w:vAlign w:val="center"/>
            <w:hideMark/>
          </w:tcPr>
          <w:p w14:paraId="6EFBDC1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75%</w:t>
            </w:r>
          </w:p>
        </w:tc>
        <w:tc>
          <w:tcPr>
            <w:tcW w:w="658" w:type="dxa"/>
            <w:tcBorders>
              <w:top w:val="nil"/>
              <w:left w:val="nil"/>
              <w:bottom w:val="nil"/>
              <w:right w:val="single" w:sz="4" w:space="0" w:color="auto"/>
            </w:tcBorders>
            <w:shd w:val="clear" w:color="auto" w:fill="auto"/>
            <w:vAlign w:val="center"/>
            <w:hideMark/>
          </w:tcPr>
          <w:p w14:paraId="4F37C29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5%</w:t>
            </w:r>
          </w:p>
        </w:tc>
        <w:tc>
          <w:tcPr>
            <w:tcW w:w="977" w:type="dxa"/>
            <w:tcBorders>
              <w:top w:val="nil"/>
              <w:left w:val="nil"/>
              <w:bottom w:val="nil"/>
              <w:right w:val="nil"/>
            </w:tcBorders>
            <w:shd w:val="clear" w:color="auto" w:fill="auto"/>
            <w:vAlign w:val="center"/>
            <w:hideMark/>
          </w:tcPr>
          <w:p w14:paraId="2930D91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auto"/>
            <w:vAlign w:val="center"/>
            <w:hideMark/>
          </w:tcPr>
          <w:p w14:paraId="520651E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vAlign w:val="center"/>
            <w:hideMark/>
          </w:tcPr>
          <w:p w14:paraId="5781DED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auto"/>
            <w:noWrap/>
            <w:vAlign w:val="center"/>
            <w:hideMark/>
          </w:tcPr>
          <w:p w14:paraId="2C4FC876"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0BCA1A3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auto"/>
            <w:noWrap/>
            <w:vAlign w:val="center"/>
            <w:hideMark/>
          </w:tcPr>
          <w:p w14:paraId="635D083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031154CB" w14:textId="77777777" w:rsidR="005A1399" w:rsidRPr="009A501D" w:rsidRDefault="005A1399" w:rsidP="007F5C1B">
            <w:pPr>
              <w:spacing w:after="0" w:line="240" w:lineRule="auto"/>
              <w:contextualSpacing/>
              <w:rPr>
                <w:sz w:val="20"/>
                <w:szCs w:val="20"/>
              </w:rPr>
            </w:pPr>
          </w:p>
        </w:tc>
      </w:tr>
      <w:tr w:rsidR="005A1399" w:rsidRPr="009A501D" w14:paraId="6BA4F193"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3EA282C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7B7FA7A3"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6B4F23E1"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ENAPE</w:t>
            </w:r>
          </w:p>
        </w:tc>
        <w:tc>
          <w:tcPr>
            <w:tcW w:w="1057" w:type="dxa"/>
            <w:tcBorders>
              <w:top w:val="nil"/>
              <w:left w:val="nil"/>
              <w:bottom w:val="nil"/>
              <w:right w:val="nil"/>
            </w:tcBorders>
            <w:shd w:val="clear" w:color="auto" w:fill="F2F2F2" w:themeFill="background1" w:themeFillShade="F2"/>
            <w:noWrap/>
            <w:vAlign w:val="center"/>
            <w:hideMark/>
          </w:tcPr>
          <w:p w14:paraId="56205EC1"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32E0013C"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569C1C95"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3E016C67"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57A870F3"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740209B1"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77" w:type="dxa"/>
            <w:tcBorders>
              <w:top w:val="nil"/>
              <w:left w:val="nil"/>
              <w:bottom w:val="nil"/>
              <w:right w:val="nil"/>
            </w:tcBorders>
            <w:shd w:val="clear" w:color="auto" w:fill="F2F2F2" w:themeFill="background1" w:themeFillShade="F2"/>
            <w:noWrap/>
            <w:vAlign w:val="center"/>
            <w:hideMark/>
          </w:tcPr>
          <w:p w14:paraId="0D3ACF54"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856" w:type="dxa"/>
            <w:tcBorders>
              <w:top w:val="nil"/>
              <w:left w:val="nil"/>
              <w:bottom w:val="nil"/>
              <w:right w:val="nil"/>
            </w:tcBorders>
            <w:shd w:val="clear" w:color="auto" w:fill="F2F2F2" w:themeFill="background1" w:themeFillShade="F2"/>
            <w:noWrap/>
            <w:vAlign w:val="center"/>
            <w:hideMark/>
          </w:tcPr>
          <w:p w14:paraId="24307F17"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73886A52"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5363CB3E"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857" w:type="dxa"/>
            <w:tcBorders>
              <w:top w:val="nil"/>
              <w:left w:val="nil"/>
              <w:bottom w:val="nil"/>
              <w:right w:val="nil"/>
            </w:tcBorders>
            <w:shd w:val="clear" w:color="auto" w:fill="F2F2F2" w:themeFill="background1" w:themeFillShade="F2"/>
            <w:noWrap/>
            <w:vAlign w:val="center"/>
            <w:hideMark/>
          </w:tcPr>
          <w:p w14:paraId="3678E25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568EFA4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4623EF6D" w14:textId="77777777" w:rsidR="005A1399" w:rsidRPr="009A501D" w:rsidRDefault="005A1399" w:rsidP="007F5C1B">
            <w:pPr>
              <w:spacing w:after="0" w:line="240" w:lineRule="auto"/>
              <w:contextualSpacing/>
              <w:rPr>
                <w:sz w:val="20"/>
                <w:szCs w:val="20"/>
              </w:rPr>
            </w:pPr>
          </w:p>
        </w:tc>
      </w:tr>
      <w:tr w:rsidR="005A1399" w:rsidRPr="009A501D" w14:paraId="426D8261"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31D4917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42DD157D"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auto"/>
            <w:noWrap/>
            <w:vAlign w:val="center"/>
            <w:hideMark/>
          </w:tcPr>
          <w:p w14:paraId="368E2A09"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ENDISEG</w:t>
            </w:r>
          </w:p>
        </w:tc>
        <w:tc>
          <w:tcPr>
            <w:tcW w:w="1057" w:type="dxa"/>
            <w:tcBorders>
              <w:top w:val="nil"/>
              <w:left w:val="nil"/>
              <w:bottom w:val="nil"/>
              <w:right w:val="nil"/>
            </w:tcBorders>
            <w:shd w:val="clear" w:color="auto" w:fill="auto"/>
            <w:noWrap/>
            <w:vAlign w:val="center"/>
            <w:hideMark/>
          </w:tcPr>
          <w:p w14:paraId="06EF7C01"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auto"/>
            <w:noWrap/>
            <w:vAlign w:val="center"/>
            <w:hideMark/>
          </w:tcPr>
          <w:p w14:paraId="2C74F8F2"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auto"/>
            <w:noWrap/>
            <w:vAlign w:val="center"/>
            <w:hideMark/>
          </w:tcPr>
          <w:p w14:paraId="1E7F39C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1037" w:type="dxa"/>
            <w:tcBorders>
              <w:top w:val="nil"/>
              <w:left w:val="nil"/>
              <w:bottom w:val="nil"/>
              <w:right w:val="nil"/>
            </w:tcBorders>
            <w:shd w:val="clear" w:color="auto" w:fill="auto"/>
            <w:vAlign w:val="center"/>
            <w:hideMark/>
          </w:tcPr>
          <w:p w14:paraId="11D937CE"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17" w:type="dxa"/>
            <w:tcBorders>
              <w:top w:val="nil"/>
              <w:left w:val="nil"/>
              <w:bottom w:val="nil"/>
              <w:right w:val="nil"/>
            </w:tcBorders>
            <w:shd w:val="clear" w:color="auto" w:fill="auto"/>
            <w:vAlign w:val="center"/>
            <w:hideMark/>
          </w:tcPr>
          <w:p w14:paraId="553E9481" w14:textId="77777777" w:rsidR="005A1399" w:rsidRPr="009A501D" w:rsidRDefault="005A1399" w:rsidP="007F5C1B">
            <w:pPr>
              <w:spacing w:after="0" w:line="240" w:lineRule="auto"/>
              <w:contextualSpacing/>
              <w:jc w:val="center"/>
              <w:rPr>
                <w:sz w:val="20"/>
                <w:szCs w:val="20"/>
              </w:rPr>
            </w:pPr>
          </w:p>
        </w:tc>
        <w:tc>
          <w:tcPr>
            <w:tcW w:w="658" w:type="dxa"/>
            <w:tcBorders>
              <w:top w:val="nil"/>
              <w:left w:val="nil"/>
              <w:bottom w:val="nil"/>
              <w:right w:val="single" w:sz="4" w:space="0" w:color="auto"/>
            </w:tcBorders>
            <w:shd w:val="clear" w:color="auto" w:fill="auto"/>
            <w:vAlign w:val="center"/>
            <w:hideMark/>
          </w:tcPr>
          <w:p w14:paraId="5CD3FB5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977" w:type="dxa"/>
            <w:tcBorders>
              <w:top w:val="nil"/>
              <w:left w:val="nil"/>
              <w:bottom w:val="nil"/>
              <w:right w:val="nil"/>
            </w:tcBorders>
            <w:shd w:val="clear" w:color="auto" w:fill="auto"/>
            <w:vAlign w:val="center"/>
            <w:hideMark/>
          </w:tcPr>
          <w:p w14:paraId="4B5D4631"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6" w:type="dxa"/>
            <w:tcBorders>
              <w:top w:val="nil"/>
              <w:left w:val="nil"/>
              <w:bottom w:val="nil"/>
              <w:right w:val="nil"/>
            </w:tcBorders>
            <w:shd w:val="clear" w:color="auto" w:fill="auto"/>
            <w:vAlign w:val="center"/>
            <w:hideMark/>
          </w:tcPr>
          <w:p w14:paraId="545A91A1"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auto"/>
            <w:vAlign w:val="center"/>
            <w:hideMark/>
          </w:tcPr>
          <w:p w14:paraId="3191A06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958" w:type="dxa"/>
            <w:tcBorders>
              <w:top w:val="nil"/>
              <w:left w:val="nil"/>
              <w:bottom w:val="nil"/>
              <w:right w:val="nil"/>
            </w:tcBorders>
            <w:shd w:val="clear" w:color="auto" w:fill="auto"/>
            <w:noWrap/>
            <w:vAlign w:val="center"/>
            <w:hideMark/>
          </w:tcPr>
          <w:p w14:paraId="3AC49F1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857" w:type="dxa"/>
            <w:tcBorders>
              <w:top w:val="nil"/>
              <w:left w:val="nil"/>
              <w:bottom w:val="nil"/>
              <w:right w:val="nil"/>
            </w:tcBorders>
            <w:shd w:val="clear" w:color="auto" w:fill="auto"/>
            <w:noWrap/>
            <w:vAlign w:val="center"/>
            <w:hideMark/>
          </w:tcPr>
          <w:p w14:paraId="2417E3E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auto"/>
            <w:noWrap/>
            <w:vAlign w:val="center"/>
            <w:hideMark/>
          </w:tcPr>
          <w:p w14:paraId="438E4D9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45435054" w14:textId="77777777" w:rsidR="005A1399" w:rsidRPr="009A501D" w:rsidRDefault="005A1399" w:rsidP="007F5C1B">
            <w:pPr>
              <w:spacing w:after="0" w:line="240" w:lineRule="auto"/>
              <w:contextualSpacing/>
              <w:rPr>
                <w:sz w:val="20"/>
                <w:szCs w:val="20"/>
              </w:rPr>
            </w:pPr>
          </w:p>
        </w:tc>
      </w:tr>
      <w:tr w:rsidR="005A1399" w:rsidRPr="009A501D" w14:paraId="63CA08E8"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7E2F913C"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F2F2F2" w:themeFill="background1" w:themeFillShade="F2"/>
            <w:noWrap/>
            <w:vAlign w:val="center"/>
            <w:hideMark/>
          </w:tcPr>
          <w:p w14:paraId="01E3AE60"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16A54ADB"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ENFIH</w:t>
            </w:r>
          </w:p>
        </w:tc>
        <w:tc>
          <w:tcPr>
            <w:tcW w:w="1057" w:type="dxa"/>
            <w:tcBorders>
              <w:top w:val="nil"/>
              <w:left w:val="nil"/>
              <w:bottom w:val="nil"/>
              <w:right w:val="nil"/>
            </w:tcBorders>
            <w:shd w:val="clear" w:color="auto" w:fill="F2F2F2" w:themeFill="background1" w:themeFillShade="F2"/>
            <w:noWrap/>
            <w:vAlign w:val="center"/>
            <w:hideMark/>
          </w:tcPr>
          <w:p w14:paraId="5E356CF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42A1C2B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52B83D9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0120033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4428B07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6805E03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4477FC1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w:t>
            </w:r>
          </w:p>
        </w:tc>
        <w:tc>
          <w:tcPr>
            <w:tcW w:w="856" w:type="dxa"/>
            <w:tcBorders>
              <w:top w:val="nil"/>
              <w:left w:val="nil"/>
              <w:bottom w:val="nil"/>
              <w:right w:val="nil"/>
            </w:tcBorders>
            <w:shd w:val="clear" w:color="auto" w:fill="F2F2F2" w:themeFill="background1" w:themeFillShade="F2"/>
            <w:vAlign w:val="center"/>
            <w:hideMark/>
          </w:tcPr>
          <w:p w14:paraId="4A0E00B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F2F2F2" w:themeFill="background1" w:themeFillShade="F2"/>
            <w:vAlign w:val="center"/>
            <w:hideMark/>
          </w:tcPr>
          <w:p w14:paraId="163DBBC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F2F2F2" w:themeFill="background1" w:themeFillShade="F2"/>
            <w:noWrap/>
            <w:vAlign w:val="center"/>
            <w:hideMark/>
          </w:tcPr>
          <w:p w14:paraId="59599895"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F2F2F2" w:themeFill="background1" w:themeFillShade="F2"/>
            <w:noWrap/>
            <w:vAlign w:val="center"/>
            <w:hideMark/>
          </w:tcPr>
          <w:p w14:paraId="5D3F7D6B"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F2F2F2" w:themeFill="background1" w:themeFillShade="F2"/>
            <w:noWrap/>
            <w:vAlign w:val="center"/>
            <w:hideMark/>
          </w:tcPr>
          <w:p w14:paraId="67BB644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shd w:val="clear" w:color="auto" w:fill="F2F2F2" w:themeFill="background1" w:themeFillShade="F2"/>
            <w:vAlign w:val="center"/>
            <w:hideMark/>
          </w:tcPr>
          <w:p w14:paraId="1B032C5F" w14:textId="77777777" w:rsidR="005A1399" w:rsidRPr="009A501D" w:rsidRDefault="005A1399" w:rsidP="007F5C1B">
            <w:pPr>
              <w:spacing w:after="0" w:line="240" w:lineRule="auto"/>
              <w:contextualSpacing/>
              <w:rPr>
                <w:sz w:val="20"/>
                <w:szCs w:val="20"/>
              </w:rPr>
            </w:pPr>
          </w:p>
        </w:tc>
      </w:tr>
      <w:tr w:rsidR="005A1399" w:rsidRPr="009A501D" w14:paraId="54ABAC4D"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58C4A8A9"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1518" w:type="dxa"/>
            <w:tcBorders>
              <w:top w:val="nil"/>
              <w:left w:val="nil"/>
              <w:bottom w:val="nil"/>
              <w:right w:val="nil"/>
            </w:tcBorders>
            <w:shd w:val="clear" w:color="auto" w:fill="auto"/>
            <w:noWrap/>
            <w:vAlign w:val="center"/>
            <w:hideMark/>
          </w:tcPr>
          <w:p w14:paraId="0B874951"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auto"/>
            <w:noWrap/>
            <w:vAlign w:val="center"/>
            <w:hideMark/>
          </w:tcPr>
          <w:p w14:paraId="60146DCF"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ENVI</w:t>
            </w:r>
          </w:p>
        </w:tc>
        <w:tc>
          <w:tcPr>
            <w:tcW w:w="1057" w:type="dxa"/>
            <w:tcBorders>
              <w:top w:val="nil"/>
              <w:left w:val="nil"/>
              <w:bottom w:val="nil"/>
              <w:right w:val="nil"/>
            </w:tcBorders>
            <w:shd w:val="clear" w:color="auto" w:fill="auto"/>
            <w:noWrap/>
            <w:vAlign w:val="center"/>
            <w:hideMark/>
          </w:tcPr>
          <w:p w14:paraId="0AC57FA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55C01C1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46035F9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noWrap/>
            <w:vAlign w:val="center"/>
            <w:hideMark/>
          </w:tcPr>
          <w:p w14:paraId="0A76587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792D247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auto"/>
            <w:noWrap/>
            <w:vAlign w:val="center"/>
            <w:hideMark/>
          </w:tcPr>
          <w:p w14:paraId="53DE16B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auto"/>
            <w:vAlign w:val="center"/>
            <w:hideMark/>
          </w:tcPr>
          <w:p w14:paraId="0A1A70F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33</w:t>
            </w:r>
          </w:p>
        </w:tc>
        <w:tc>
          <w:tcPr>
            <w:tcW w:w="856" w:type="dxa"/>
            <w:tcBorders>
              <w:top w:val="nil"/>
              <w:left w:val="nil"/>
              <w:bottom w:val="nil"/>
              <w:right w:val="nil"/>
            </w:tcBorders>
            <w:shd w:val="clear" w:color="auto" w:fill="auto"/>
            <w:vAlign w:val="center"/>
            <w:hideMark/>
          </w:tcPr>
          <w:p w14:paraId="336D026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vAlign w:val="center"/>
            <w:hideMark/>
          </w:tcPr>
          <w:p w14:paraId="7801421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63515A0C"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42F87B91"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51A9312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62CFB04F" w14:textId="77777777" w:rsidR="005A1399" w:rsidRPr="009A501D" w:rsidRDefault="005A1399" w:rsidP="007F5C1B">
            <w:pPr>
              <w:spacing w:after="0" w:line="240" w:lineRule="auto"/>
              <w:contextualSpacing/>
              <w:rPr>
                <w:sz w:val="20"/>
                <w:szCs w:val="20"/>
              </w:rPr>
            </w:pPr>
          </w:p>
        </w:tc>
      </w:tr>
      <w:tr w:rsidR="005A1399" w:rsidRPr="009A501D" w14:paraId="538305BE"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58FDEB80"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F2F2F2" w:themeFill="background1" w:themeFillShade="F2"/>
            <w:noWrap/>
            <w:vAlign w:val="center"/>
            <w:hideMark/>
          </w:tcPr>
          <w:p w14:paraId="20406C10"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Quinquenal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627E5E21"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ENDIREH</w:t>
            </w:r>
          </w:p>
        </w:tc>
        <w:tc>
          <w:tcPr>
            <w:tcW w:w="1057" w:type="dxa"/>
            <w:tcBorders>
              <w:top w:val="nil"/>
              <w:left w:val="nil"/>
              <w:bottom w:val="nil"/>
              <w:right w:val="nil"/>
            </w:tcBorders>
            <w:shd w:val="clear" w:color="auto" w:fill="F2F2F2" w:themeFill="background1" w:themeFillShade="F2"/>
            <w:noWrap/>
            <w:vAlign w:val="center"/>
            <w:hideMark/>
          </w:tcPr>
          <w:p w14:paraId="24EDFA4C"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F2F2F2" w:themeFill="background1" w:themeFillShade="F2"/>
            <w:noWrap/>
            <w:vAlign w:val="center"/>
            <w:hideMark/>
          </w:tcPr>
          <w:p w14:paraId="58A7F513"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F2F2F2" w:themeFill="background1" w:themeFillShade="F2"/>
            <w:noWrap/>
            <w:vAlign w:val="center"/>
            <w:hideMark/>
          </w:tcPr>
          <w:p w14:paraId="3E71ADF9"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037" w:type="dxa"/>
            <w:tcBorders>
              <w:top w:val="nil"/>
              <w:left w:val="nil"/>
              <w:bottom w:val="nil"/>
              <w:right w:val="nil"/>
            </w:tcBorders>
            <w:shd w:val="clear" w:color="auto" w:fill="F2F2F2" w:themeFill="background1" w:themeFillShade="F2"/>
            <w:noWrap/>
            <w:vAlign w:val="center"/>
            <w:hideMark/>
          </w:tcPr>
          <w:p w14:paraId="2A2BFBA8"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p>
        </w:tc>
        <w:tc>
          <w:tcPr>
            <w:tcW w:w="817" w:type="dxa"/>
            <w:tcBorders>
              <w:top w:val="nil"/>
              <w:left w:val="nil"/>
              <w:bottom w:val="nil"/>
              <w:right w:val="nil"/>
            </w:tcBorders>
            <w:shd w:val="clear" w:color="auto" w:fill="F2F2F2" w:themeFill="background1" w:themeFillShade="F2"/>
            <w:noWrap/>
            <w:vAlign w:val="center"/>
            <w:hideMark/>
          </w:tcPr>
          <w:p w14:paraId="74621978" w14:textId="77777777" w:rsidR="005A1399" w:rsidRPr="009A501D" w:rsidRDefault="005A1399" w:rsidP="007F5C1B">
            <w:pPr>
              <w:spacing w:after="0" w:line="240" w:lineRule="auto"/>
              <w:contextualSpacing/>
              <w:jc w:val="center"/>
              <w:rPr>
                <w:sz w:val="20"/>
                <w:szCs w:val="20"/>
              </w:rPr>
            </w:pPr>
          </w:p>
        </w:tc>
        <w:tc>
          <w:tcPr>
            <w:tcW w:w="658" w:type="dxa"/>
            <w:tcBorders>
              <w:top w:val="nil"/>
              <w:left w:val="nil"/>
              <w:bottom w:val="nil"/>
              <w:right w:val="single" w:sz="4" w:space="0" w:color="auto"/>
            </w:tcBorders>
            <w:shd w:val="clear" w:color="auto" w:fill="F2F2F2" w:themeFill="background1" w:themeFillShade="F2"/>
            <w:noWrap/>
            <w:vAlign w:val="center"/>
            <w:hideMark/>
          </w:tcPr>
          <w:p w14:paraId="72780EB2"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977" w:type="dxa"/>
            <w:tcBorders>
              <w:top w:val="nil"/>
              <w:left w:val="nil"/>
              <w:bottom w:val="nil"/>
              <w:right w:val="nil"/>
            </w:tcBorders>
            <w:shd w:val="clear" w:color="auto" w:fill="F2F2F2" w:themeFill="background1" w:themeFillShade="F2"/>
            <w:noWrap/>
            <w:vAlign w:val="center"/>
            <w:hideMark/>
          </w:tcPr>
          <w:p w14:paraId="02D8B77B"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p>
        </w:tc>
        <w:tc>
          <w:tcPr>
            <w:tcW w:w="856" w:type="dxa"/>
            <w:tcBorders>
              <w:top w:val="nil"/>
              <w:left w:val="nil"/>
              <w:bottom w:val="nil"/>
              <w:right w:val="nil"/>
            </w:tcBorders>
            <w:shd w:val="clear" w:color="auto" w:fill="F2F2F2" w:themeFill="background1" w:themeFillShade="F2"/>
            <w:noWrap/>
            <w:vAlign w:val="center"/>
            <w:hideMark/>
          </w:tcPr>
          <w:p w14:paraId="4F03A40D"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F2F2F2" w:themeFill="background1" w:themeFillShade="F2"/>
            <w:noWrap/>
            <w:vAlign w:val="center"/>
            <w:hideMark/>
          </w:tcPr>
          <w:p w14:paraId="59B973AB"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958" w:type="dxa"/>
            <w:tcBorders>
              <w:top w:val="nil"/>
              <w:left w:val="nil"/>
              <w:bottom w:val="nil"/>
              <w:right w:val="nil"/>
            </w:tcBorders>
            <w:shd w:val="clear" w:color="auto" w:fill="F2F2F2" w:themeFill="background1" w:themeFillShade="F2"/>
            <w:noWrap/>
            <w:vAlign w:val="center"/>
            <w:hideMark/>
          </w:tcPr>
          <w:p w14:paraId="3A975C03"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82</w:t>
            </w:r>
          </w:p>
        </w:tc>
        <w:tc>
          <w:tcPr>
            <w:tcW w:w="857" w:type="dxa"/>
            <w:tcBorders>
              <w:top w:val="nil"/>
              <w:left w:val="nil"/>
              <w:bottom w:val="nil"/>
              <w:right w:val="nil"/>
            </w:tcBorders>
            <w:shd w:val="clear" w:color="auto" w:fill="F2F2F2" w:themeFill="background1" w:themeFillShade="F2"/>
            <w:noWrap/>
            <w:vAlign w:val="center"/>
            <w:hideMark/>
          </w:tcPr>
          <w:p w14:paraId="5BB1A05A"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48617E8D"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36" w:type="dxa"/>
            <w:shd w:val="clear" w:color="auto" w:fill="F2F2F2" w:themeFill="background1" w:themeFillShade="F2"/>
            <w:vAlign w:val="center"/>
            <w:hideMark/>
          </w:tcPr>
          <w:p w14:paraId="5F40C99A" w14:textId="77777777" w:rsidR="005A1399" w:rsidRPr="009A501D" w:rsidRDefault="005A1399" w:rsidP="007F5C1B">
            <w:pPr>
              <w:spacing w:after="0" w:line="240" w:lineRule="auto"/>
              <w:contextualSpacing/>
              <w:rPr>
                <w:sz w:val="20"/>
                <w:szCs w:val="20"/>
              </w:rPr>
            </w:pPr>
          </w:p>
        </w:tc>
      </w:tr>
      <w:tr w:rsidR="005A1399" w:rsidRPr="009A501D" w14:paraId="2050F759"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648019F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auto"/>
            <w:noWrap/>
            <w:vAlign w:val="center"/>
            <w:hideMark/>
          </w:tcPr>
          <w:p w14:paraId="2171380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999" w:type="dxa"/>
            <w:tcBorders>
              <w:top w:val="nil"/>
              <w:left w:val="nil"/>
              <w:bottom w:val="nil"/>
              <w:right w:val="single" w:sz="4" w:space="0" w:color="auto"/>
            </w:tcBorders>
            <w:shd w:val="clear" w:color="auto" w:fill="auto"/>
            <w:noWrap/>
            <w:vAlign w:val="center"/>
            <w:hideMark/>
          </w:tcPr>
          <w:p w14:paraId="0F7F44D4"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ENAID</w:t>
            </w:r>
          </w:p>
        </w:tc>
        <w:tc>
          <w:tcPr>
            <w:tcW w:w="1057" w:type="dxa"/>
            <w:tcBorders>
              <w:top w:val="nil"/>
              <w:left w:val="nil"/>
              <w:bottom w:val="nil"/>
              <w:right w:val="nil"/>
            </w:tcBorders>
            <w:shd w:val="clear" w:color="auto" w:fill="auto"/>
            <w:noWrap/>
            <w:vAlign w:val="center"/>
            <w:hideMark/>
          </w:tcPr>
          <w:p w14:paraId="20803C2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7290746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2ACEF4F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noWrap/>
            <w:vAlign w:val="center"/>
            <w:hideMark/>
          </w:tcPr>
          <w:p w14:paraId="6098049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42F4E76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auto"/>
            <w:noWrap/>
            <w:vAlign w:val="center"/>
            <w:hideMark/>
          </w:tcPr>
          <w:p w14:paraId="485F20E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auto"/>
            <w:vAlign w:val="center"/>
            <w:hideMark/>
          </w:tcPr>
          <w:p w14:paraId="047D413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auto"/>
            <w:vAlign w:val="center"/>
            <w:hideMark/>
          </w:tcPr>
          <w:p w14:paraId="543C916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vAlign w:val="center"/>
            <w:hideMark/>
          </w:tcPr>
          <w:p w14:paraId="32A3313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auto"/>
            <w:noWrap/>
            <w:vAlign w:val="center"/>
            <w:hideMark/>
          </w:tcPr>
          <w:p w14:paraId="39A44DDF"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6F4C28A5"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57C02A7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022A000F" w14:textId="77777777" w:rsidR="005A1399" w:rsidRPr="009A501D" w:rsidRDefault="005A1399" w:rsidP="007F5C1B">
            <w:pPr>
              <w:spacing w:after="0" w:line="240" w:lineRule="auto"/>
              <w:contextualSpacing/>
              <w:rPr>
                <w:sz w:val="20"/>
                <w:szCs w:val="20"/>
              </w:rPr>
            </w:pPr>
          </w:p>
        </w:tc>
      </w:tr>
      <w:tr w:rsidR="005A1399" w:rsidRPr="009A501D" w14:paraId="2D82B285"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5D2DD824"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F2F2F2" w:themeFill="background1" w:themeFillShade="F2"/>
            <w:noWrap/>
            <w:vAlign w:val="center"/>
            <w:hideMark/>
          </w:tcPr>
          <w:p w14:paraId="42C9C082"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50EB167D"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ENCIG</w:t>
            </w:r>
          </w:p>
        </w:tc>
        <w:tc>
          <w:tcPr>
            <w:tcW w:w="1057" w:type="dxa"/>
            <w:tcBorders>
              <w:top w:val="nil"/>
              <w:left w:val="nil"/>
              <w:bottom w:val="nil"/>
              <w:right w:val="nil"/>
            </w:tcBorders>
            <w:shd w:val="clear" w:color="auto" w:fill="F2F2F2" w:themeFill="background1" w:themeFillShade="F2"/>
            <w:noWrap/>
            <w:vAlign w:val="center"/>
            <w:hideMark/>
          </w:tcPr>
          <w:p w14:paraId="65CA9C63"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28DE802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7AE6E0C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064A549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6C9BE91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344AE99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38EFD04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F2F2F2" w:themeFill="background1" w:themeFillShade="F2"/>
            <w:vAlign w:val="center"/>
            <w:hideMark/>
          </w:tcPr>
          <w:p w14:paraId="6315CA6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vAlign w:val="center"/>
            <w:hideMark/>
          </w:tcPr>
          <w:p w14:paraId="5603658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5B5AD32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264</w:t>
            </w:r>
          </w:p>
        </w:tc>
        <w:tc>
          <w:tcPr>
            <w:tcW w:w="857" w:type="dxa"/>
            <w:tcBorders>
              <w:top w:val="nil"/>
              <w:left w:val="nil"/>
              <w:bottom w:val="nil"/>
              <w:right w:val="nil"/>
            </w:tcBorders>
            <w:shd w:val="clear" w:color="auto" w:fill="F2F2F2" w:themeFill="background1" w:themeFillShade="F2"/>
            <w:noWrap/>
            <w:vAlign w:val="center"/>
            <w:hideMark/>
          </w:tcPr>
          <w:p w14:paraId="466309E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607EFBF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02951CE8" w14:textId="77777777" w:rsidR="005A1399" w:rsidRPr="009A501D" w:rsidRDefault="005A1399" w:rsidP="007F5C1B">
            <w:pPr>
              <w:spacing w:after="0" w:line="240" w:lineRule="auto"/>
              <w:contextualSpacing/>
              <w:rPr>
                <w:sz w:val="20"/>
                <w:szCs w:val="20"/>
              </w:rPr>
            </w:pPr>
          </w:p>
        </w:tc>
      </w:tr>
      <w:tr w:rsidR="005A1399" w:rsidRPr="009A501D" w14:paraId="6056E2BD"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0A0761AD"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auto"/>
            <w:noWrap/>
            <w:vAlign w:val="center"/>
            <w:hideMark/>
          </w:tcPr>
          <w:p w14:paraId="583AEDA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nil"/>
              <w:left w:val="nil"/>
              <w:bottom w:val="nil"/>
              <w:right w:val="single" w:sz="4" w:space="0" w:color="auto"/>
            </w:tcBorders>
            <w:shd w:val="clear" w:color="auto" w:fill="auto"/>
            <w:noWrap/>
            <w:vAlign w:val="center"/>
            <w:hideMark/>
          </w:tcPr>
          <w:p w14:paraId="67BC2EA1"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ENVIPE</w:t>
            </w:r>
          </w:p>
        </w:tc>
        <w:tc>
          <w:tcPr>
            <w:tcW w:w="1057" w:type="dxa"/>
            <w:tcBorders>
              <w:top w:val="nil"/>
              <w:left w:val="nil"/>
              <w:bottom w:val="nil"/>
              <w:right w:val="nil"/>
            </w:tcBorders>
            <w:shd w:val="clear" w:color="auto" w:fill="auto"/>
            <w:noWrap/>
            <w:vAlign w:val="center"/>
            <w:hideMark/>
          </w:tcPr>
          <w:p w14:paraId="3955C63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817" w:type="dxa"/>
            <w:tcBorders>
              <w:top w:val="nil"/>
              <w:left w:val="nil"/>
              <w:bottom w:val="nil"/>
              <w:right w:val="nil"/>
            </w:tcBorders>
            <w:shd w:val="clear" w:color="auto" w:fill="auto"/>
            <w:noWrap/>
            <w:vAlign w:val="center"/>
            <w:hideMark/>
          </w:tcPr>
          <w:p w14:paraId="2AA1B26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noWrap/>
            <w:vAlign w:val="center"/>
            <w:hideMark/>
          </w:tcPr>
          <w:p w14:paraId="1846CAE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1037" w:type="dxa"/>
            <w:tcBorders>
              <w:top w:val="nil"/>
              <w:left w:val="nil"/>
              <w:bottom w:val="nil"/>
              <w:right w:val="nil"/>
            </w:tcBorders>
            <w:shd w:val="clear" w:color="auto" w:fill="auto"/>
            <w:vAlign w:val="center"/>
            <w:hideMark/>
          </w:tcPr>
          <w:p w14:paraId="6EE2C87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817" w:type="dxa"/>
            <w:tcBorders>
              <w:top w:val="nil"/>
              <w:left w:val="nil"/>
              <w:bottom w:val="nil"/>
              <w:right w:val="nil"/>
            </w:tcBorders>
            <w:shd w:val="clear" w:color="auto" w:fill="auto"/>
            <w:vAlign w:val="center"/>
            <w:hideMark/>
          </w:tcPr>
          <w:p w14:paraId="0D30B70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58" w:type="dxa"/>
            <w:tcBorders>
              <w:top w:val="nil"/>
              <w:left w:val="nil"/>
              <w:bottom w:val="nil"/>
              <w:right w:val="single" w:sz="4" w:space="0" w:color="auto"/>
            </w:tcBorders>
            <w:shd w:val="clear" w:color="auto" w:fill="auto"/>
            <w:vAlign w:val="center"/>
            <w:hideMark/>
          </w:tcPr>
          <w:p w14:paraId="20EA3387"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77" w:type="dxa"/>
            <w:tcBorders>
              <w:top w:val="nil"/>
              <w:left w:val="nil"/>
              <w:bottom w:val="nil"/>
              <w:right w:val="nil"/>
            </w:tcBorders>
            <w:shd w:val="clear" w:color="auto" w:fill="auto"/>
            <w:vAlign w:val="center"/>
            <w:hideMark/>
          </w:tcPr>
          <w:p w14:paraId="53C78D6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856" w:type="dxa"/>
            <w:tcBorders>
              <w:top w:val="nil"/>
              <w:left w:val="nil"/>
              <w:bottom w:val="nil"/>
              <w:right w:val="nil"/>
            </w:tcBorders>
            <w:shd w:val="clear" w:color="auto" w:fill="auto"/>
            <w:vAlign w:val="center"/>
            <w:hideMark/>
          </w:tcPr>
          <w:p w14:paraId="298937B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auto"/>
            <w:vAlign w:val="center"/>
            <w:hideMark/>
          </w:tcPr>
          <w:p w14:paraId="102BF66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auto"/>
            <w:noWrap/>
            <w:vAlign w:val="center"/>
            <w:hideMark/>
          </w:tcPr>
          <w:p w14:paraId="01995FE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2085</w:t>
            </w:r>
          </w:p>
        </w:tc>
        <w:tc>
          <w:tcPr>
            <w:tcW w:w="857" w:type="dxa"/>
            <w:tcBorders>
              <w:top w:val="nil"/>
              <w:left w:val="nil"/>
              <w:bottom w:val="nil"/>
              <w:right w:val="nil"/>
            </w:tcBorders>
            <w:shd w:val="clear" w:color="auto" w:fill="auto"/>
            <w:noWrap/>
            <w:vAlign w:val="center"/>
            <w:hideMark/>
          </w:tcPr>
          <w:p w14:paraId="740021F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98%</w:t>
            </w:r>
          </w:p>
        </w:tc>
        <w:tc>
          <w:tcPr>
            <w:tcW w:w="618" w:type="dxa"/>
            <w:tcBorders>
              <w:top w:val="nil"/>
              <w:left w:val="nil"/>
              <w:bottom w:val="nil"/>
              <w:right w:val="single" w:sz="4" w:space="0" w:color="auto"/>
            </w:tcBorders>
            <w:shd w:val="clear" w:color="auto" w:fill="auto"/>
            <w:noWrap/>
            <w:vAlign w:val="center"/>
            <w:hideMark/>
          </w:tcPr>
          <w:p w14:paraId="4424CC4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36" w:type="dxa"/>
            <w:vAlign w:val="center"/>
            <w:hideMark/>
          </w:tcPr>
          <w:p w14:paraId="52BE0F1E" w14:textId="77777777" w:rsidR="005A1399" w:rsidRPr="009A501D" w:rsidRDefault="005A1399" w:rsidP="007F5C1B">
            <w:pPr>
              <w:spacing w:after="0" w:line="240" w:lineRule="auto"/>
              <w:contextualSpacing/>
              <w:rPr>
                <w:sz w:val="20"/>
                <w:szCs w:val="20"/>
              </w:rPr>
            </w:pPr>
          </w:p>
        </w:tc>
      </w:tr>
      <w:tr w:rsidR="005A1399" w:rsidRPr="009A501D" w14:paraId="567DB763"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00455BA2"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F2F2F2" w:themeFill="background1" w:themeFillShade="F2"/>
            <w:noWrap/>
            <w:vAlign w:val="center"/>
            <w:hideMark/>
          </w:tcPr>
          <w:p w14:paraId="7FD909B3"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44560C8B"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MOCIBA</w:t>
            </w:r>
          </w:p>
        </w:tc>
        <w:tc>
          <w:tcPr>
            <w:tcW w:w="1057" w:type="dxa"/>
            <w:tcBorders>
              <w:top w:val="nil"/>
              <w:left w:val="nil"/>
              <w:bottom w:val="nil"/>
              <w:right w:val="nil"/>
            </w:tcBorders>
            <w:shd w:val="clear" w:color="auto" w:fill="F2F2F2" w:themeFill="background1" w:themeFillShade="F2"/>
            <w:noWrap/>
            <w:vAlign w:val="center"/>
            <w:hideMark/>
          </w:tcPr>
          <w:p w14:paraId="342C03B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1798624C"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noWrap/>
            <w:vAlign w:val="center"/>
            <w:hideMark/>
          </w:tcPr>
          <w:p w14:paraId="4BFFC20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F2F2F2" w:themeFill="background1" w:themeFillShade="F2"/>
            <w:noWrap/>
            <w:vAlign w:val="center"/>
            <w:hideMark/>
          </w:tcPr>
          <w:p w14:paraId="2DC30D7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F2F2F2" w:themeFill="background1" w:themeFillShade="F2"/>
            <w:noWrap/>
            <w:vAlign w:val="center"/>
            <w:hideMark/>
          </w:tcPr>
          <w:p w14:paraId="2EE75070"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F2F2F2" w:themeFill="background1" w:themeFillShade="F2"/>
            <w:noWrap/>
            <w:vAlign w:val="center"/>
            <w:hideMark/>
          </w:tcPr>
          <w:p w14:paraId="7B05AED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F2F2F2" w:themeFill="background1" w:themeFillShade="F2"/>
            <w:vAlign w:val="center"/>
            <w:hideMark/>
          </w:tcPr>
          <w:p w14:paraId="2411DD0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w:t>
            </w:r>
          </w:p>
        </w:tc>
        <w:tc>
          <w:tcPr>
            <w:tcW w:w="856" w:type="dxa"/>
            <w:tcBorders>
              <w:top w:val="nil"/>
              <w:left w:val="nil"/>
              <w:bottom w:val="nil"/>
              <w:right w:val="nil"/>
            </w:tcBorders>
            <w:shd w:val="clear" w:color="auto" w:fill="F2F2F2" w:themeFill="background1" w:themeFillShade="F2"/>
            <w:vAlign w:val="center"/>
            <w:hideMark/>
          </w:tcPr>
          <w:p w14:paraId="5C5A1F4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38" w:type="dxa"/>
            <w:tcBorders>
              <w:top w:val="nil"/>
              <w:left w:val="nil"/>
              <w:bottom w:val="nil"/>
              <w:right w:val="single" w:sz="4" w:space="0" w:color="auto"/>
            </w:tcBorders>
            <w:shd w:val="clear" w:color="auto" w:fill="F2F2F2" w:themeFill="background1" w:themeFillShade="F2"/>
            <w:vAlign w:val="center"/>
            <w:hideMark/>
          </w:tcPr>
          <w:p w14:paraId="086FB62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958" w:type="dxa"/>
            <w:tcBorders>
              <w:top w:val="nil"/>
              <w:left w:val="nil"/>
              <w:bottom w:val="nil"/>
              <w:right w:val="nil"/>
            </w:tcBorders>
            <w:shd w:val="clear" w:color="auto" w:fill="F2F2F2" w:themeFill="background1" w:themeFillShade="F2"/>
            <w:noWrap/>
            <w:vAlign w:val="center"/>
            <w:hideMark/>
          </w:tcPr>
          <w:p w14:paraId="40AC90B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w:t>
            </w:r>
          </w:p>
        </w:tc>
        <w:tc>
          <w:tcPr>
            <w:tcW w:w="857" w:type="dxa"/>
            <w:tcBorders>
              <w:top w:val="nil"/>
              <w:left w:val="nil"/>
              <w:bottom w:val="nil"/>
              <w:right w:val="nil"/>
            </w:tcBorders>
            <w:shd w:val="clear" w:color="auto" w:fill="F2F2F2" w:themeFill="background1" w:themeFillShade="F2"/>
            <w:noWrap/>
            <w:vAlign w:val="center"/>
            <w:hideMark/>
          </w:tcPr>
          <w:p w14:paraId="3738E1C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100%</w:t>
            </w:r>
          </w:p>
        </w:tc>
        <w:tc>
          <w:tcPr>
            <w:tcW w:w="618" w:type="dxa"/>
            <w:tcBorders>
              <w:top w:val="nil"/>
              <w:left w:val="nil"/>
              <w:bottom w:val="nil"/>
              <w:right w:val="single" w:sz="4" w:space="0" w:color="auto"/>
            </w:tcBorders>
            <w:shd w:val="clear" w:color="auto" w:fill="F2F2F2" w:themeFill="background1" w:themeFillShade="F2"/>
            <w:noWrap/>
            <w:vAlign w:val="center"/>
            <w:hideMark/>
          </w:tcPr>
          <w:p w14:paraId="1C3A373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shd w:val="clear" w:color="auto" w:fill="F2F2F2" w:themeFill="background1" w:themeFillShade="F2"/>
            <w:vAlign w:val="center"/>
            <w:hideMark/>
          </w:tcPr>
          <w:p w14:paraId="0065A529" w14:textId="77777777" w:rsidR="005A1399" w:rsidRPr="009A501D" w:rsidRDefault="005A1399" w:rsidP="007F5C1B">
            <w:pPr>
              <w:spacing w:after="0" w:line="240" w:lineRule="auto"/>
              <w:contextualSpacing/>
              <w:rPr>
                <w:sz w:val="20"/>
                <w:szCs w:val="20"/>
              </w:rPr>
            </w:pPr>
          </w:p>
        </w:tc>
      </w:tr>
      <w:tr w:rsidR="005A1399" w:rsidRPr="009A501D" w14:paraId="103A7967"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2FF13239"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auto"/>
            <w:noWrap/>
            <w:vAlign w:val="center"/>
            <w:hideMark/>
          </w:tcPr>
          <w:p w14:paraId="53209417"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999" w:type="dxa"/>
            <w:tcBorders>
              <w:top w:val="nil"/>
              <w:left w:val="nil"/>
              <w:bottom w:val="nil"/>
              <w:right w:val="single" w:sz="4" w:space="0" w:color="auto"/>
            </w:tcBorders>
            <w:shd w:val="clear" w:color="auto" w:fill="auto"/>
            <w:noWrap/>
            <w:vAlign w:val="center"/>
            <w:hideMark/>
          </w:tcPr>
          <w:p w14:paraId="23DE18F7"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ENSU</w:t>
            </w:r>
          </w:p>
        </w:tc>
        <w:tc>
          <w:tcPr>
            <w:tcW w:w="1057" w:type="dxa"/>
            <w:tcBorders>
              <w:top w:val="nil"/>
              <w:left w:val="nil"/>
              <w:bottom w:val="nil"/>
              <w:right w:val="nil"/>
            </w:tcBorders>
            <w:shd w:val="clear" w:color="auto" w:fill="auto"/>
            <w:noWrap/>
            <w:vAlign w:val="center"/>
            <w:hideMark/>
          </w:tcPr>
          <w:p w14:paraId="1A7070B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1 376</w:t>
            </w:r>
          </w:p>
        </w:tc>
        <w:tc>
          <w:tcPr>
            <w:tcW w:w="817" w:type="dxa"/>
            <w:tcBorders>
              <w:top w:val="nil"/>
              <w:left w:val="nil"/>
              <w:bottom w:val="nil"/>
              <w:right w:val="nil"/>
            </w:tcBorders>
            <w:shd w:val="clear" w:color="auto" w:fill="auto"/>
            <w:noWrap/>
            <w:vAlign w:val="center"/>
            <w:hideMark/>
          </w:tcPr>
          <w:p w14:paraId="66A0935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92%</w:t>
            </w:r>
          </w:p>
        </w:tc>
        <w:tc>
          <w:tcPr>
            <w:tcW w:w="638" w:type="dxa"/>
            <w:tcBorders>
              <w:top w:val="nil"/>
              <w:left w:val="nil"/>
              <w:bottom w:val="nil"/>
              <w:right w:val="single" w:sz="4" w:space="0" w:color="auto"/>
            </w:tcBorders>
            <w:shd w:val="clear" w:color="auto" w:fill="auto"/>
            <w:noWrap/>
            <w:vAlign w:val="center"/>
            <w:hideMark/>
          </w:tcPr>
          <w:p w14:paraId="3941444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1037" w:type="dxa"/>
            <w:tcBorders>
              <w:top w:val="nil"/>
              <w:left w:val="nil"/>
              <w:bottom w:val="nil"/>
              <w:right w:val="nil"/>
            </w:tcBorders>
            <w:shd w:val="clear" w:color="auto" w:fill="auto"/>
            <w:vAlign w:val="center"/>
            <w:hideMark/>
          </w:tcPr>
          <w:p w14:paraId="17E613B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936</w:t>
            </w:r>
          </w:p>
        </w:tc>
        <w:tc>
          <w:tcPr>
            <w:tcW w:w="817" w:type="dxa"/>
            <w:tcBorders>
              <w:top w:val="nil"/>
              <w:left w:val="nil"/>
              <w:bottom w:val="nil"/>
              <w:right w:val="nil"/>
            </w:tcBorders>
            <w:shd w:val="clear" w:color="auto" w:fill="auto"/>
            <w:vAlign w:val="center"/>
            <w:hideMark/>
          </w:tcPr>
          <w:p w14:paraId="708E3F5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92%</w:t>
            </w:r>
          </w:p>
        </w:tc>
        <w:tc>
          <w:tcPr>
            <w:tcW w:w="658" w:type="dxa"/>
            <w:tcBorders>
              <w:top w:val="nil"/>
              <w:left w:val="nil"/>
              <w:bottom w:val="nil"/>
              <w:right w:val="single" w:sz="4" w:space="0" w:color="auto"/>
            </w:tcBorders>
            <w:shd w:val="clear" w:color="auto" w:fill="auto"/>
            <w:vAlign w:val="center"/>
            <w:hideMark/>
          </w:tcPr>
          <w:p w14:paraId="1C210F34"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977" w:type="dxa"/>
            <w:tcBorders>
              <w:top w:val="nil"/>
              <w:left w:val="nil"/>
              <w:bottom w:val="nil"/>
              <w:right w:val="nil"/>
            </w:tcBorders>
            <w:shd w:val="clear" w:color="auto" w:fill="auto"/>
            <w:vAlign w:val="center"/>
            <w:hideMark/>
          </w:tcPr>
          <w:p w14:paraId="3B50F7A9"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1412</w:t>
            </w:r>
          </w:p>
        </w:tc>
        <w:tc>
          <w:tcPr>
            <w:tcW w:w="856" w:type="dxa"/>
            <w:tcBorders>
              <w:top w:val="nil"/>
              <w:left w:val="nil"/>
              <w:bottom w:val="nil"/>
              <w:right w:val="nil"/>
            </w:tcBorders>
            <w:shd w:val="clear" w:color="auto" w:fill="auto"/>
            <w:vAlign w:val="center"/>
            <w:hideMark/>
          </w:tcPr>
          <w:p w14:paraId="2C39E9F5"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94%</w:t>
            </w:r>
          </w:p>
        </w:tc>
        <w:tc>
          <w:tcPr>
            <w:tcW w:w="638" w:type="dxa"/>
            <w:tcBorders>
              <w:top w:val="nil"/>
              <w:left w:val="nil"/>
              <w:bottom w:val="nil"/>
              <w:right w:val="single" w:sz="4" w:space="0" w:color="auto"/>
            </w:tcBorders>
            <w:shd w:val="clear" w:color="auto" w:fill="auto"/>
            <w:vAlign w:val="center"/>
            <w:hideMark/>
          </w:tcPr>
          <w:p w14:paraId="44D1347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958" w:type="dxa"/>
            <w:tcBorders>
              <w:top w:val="nil"/>
              <w:left w:val="nil"/>
              <w:bottom w:val="nil"/>
              <w:right w:val="nil"/>
            </w:tcBorders>
            <w:shd w:val="clear" w:color="auto" w:fill="auto"/>
            <w:noWrap/>
            <w:vAlign w:val="center"/>
            <w:hideMark/>
          </w:tcPr>
          <w:p w14:paraId="28D7B37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3988</w:t>
            </w:r>
          </w:p>
        </w:tc>
        <w:tc>
          <w:tcPr>
            <w:tcW w:w="857" w:type="dxa"/>
            <w:tcBorders>
              <w:top w:val="nil"/>
              <w:left w:val="nil"/>
              <w:bottom w:val="nil"/>
              <w:right w:val="nil"/>
            </w:tcBorders>
            <w:shd w:val="clear" w:color="auto" w:fill="auto"/>
            <w:noWrap/>
            <w:vAlign w:val="center"/>
            <w:hideMark/>
          </w:tcPr>
          <w:p w14:paraId="760CD96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95%</w:t>
            </w:r>
          </w:p>
        </w:tc>
        <w:tc>
          <w:tcPr>
            <w:tcW w:w="618" w:type="dxa"/>
            <w:tcBorders>
              <w:top w:val="nil"/>
              <w:left w:val="nil"/>
              <w:bottom w:val="nil"/>
              <w:right w:val="single" w:sz="4" w:space="0" w:color="auto"/>
            </w:tcBorders>
            <w:shd w:val="clear" w:color="auto" w:fill="auto"/>
            <w:noWrap/>
            <w:vAlign w:val="center"/>
            <w:hideMark/>
          </w:tcPr>
          <w:p w14:paraId="65FE652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0%</w:t>
            </w:r>
          </w:p>
        </w:tc>
        <w:tc>
          <w:tcPr>
            <w:tcW w:w="36" w:type="dxa"/>
            <w:vAlign w:val="center"/>
            <w:hideMark/>
          </w:tcPr>
          <w:p w14:paraId="6B7C078C" w14:textId="77777777" w:rsidR="005A1399" w:rsidRPr="009A501D" w:rsidRDefault="005A1399" w:rsidP="007F5C1B">
            <w:pPr>
              <w:spacing w:after="0" w:line="240" w:lineRule="auto"/>
              <w:contextualSpacing/>
              <w:rPr>
                <w:sz w:val="20"/>
                <w:szCs w:val="20"/>
              </w:rPr>
            </w:pPr>
          </w:p>
        </w:tc>
      </w:tr>
      <w:tr w:rsidR="005A1399" w:rsidRPr="009A501D" w14:paraId="6C09D509" w14:textId="77777777" w:rsidTr="009D02D7">
        <w:trPr>
          <w:trHeight w:val="284"/>
          <w:jc w:val="center"/>
        </w:trPr>
        <w:tc>
          <w:tcPr>
            <w:tcW w:w="899" w:type="dxa"/>
            <w:tcBorders>
              <w:top w:val="nil"/>
              <w:left w:val="single" w:sz="4" w:space="0" w:color="auto"/>
              <w:bottom w:val="nil"/>
              <w:right w:val="nil"/>
            </w:tcBorders>
            <w:shd w:val="clear" w:color="auto" w:fill="F2F2F2" w:themeFill="background1" w:themeFillShade="F2"/>
            <w:noWrap/>
            <w:vAlign w:val="center"/>
            <w:hideMark/>
          </w:tcPr>
          <w:p w14:paraId="2E501B7E"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F2F2F2" w:themeFill="background1" w:themeFillShade="F2"/>
            <w:noWrap/>
            <w:vAlign w:val="center"/>
            <w:hideMark/>
          </w:tcPr>
          <w:p w14:paraId="523B77A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F2F2F2" w:themeFill="background1" w:themeFillShade="F2"/>
            <w:noWrap/>
            <w:vAlign w:val="center"/>
            <w:hideMark/>
          </w:tcPr>
          <w:p w14:paraId="4E6A3B6D"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ENASJUP</w:t>
            </w:r>
          </w:p>
        </w:tc>
        <w:tc>
          <w:tcPr>
            <w:tcW w:w="1057" w:type="dxa"/>
            <w:tcBorders>
              <w:top w:val="nil"/>
              <w:left w:val="nil"/>
              <w:bottom w:val="nil"/>
              <w:right w:val="nil"/>
            </w:tcBorders>
            <w:shd w:val="clear" w:color="auto" w:fill="F2F2F2" w:themeFill="background1" w:themeFillShade="F2"/>
            <w:noWrap/>
            <w:vAlign w:val="center"/>
            <w:hideMark/>
          </w:tcPr>
          <w:p w14:paraId="5C76A4CE" w14:textId="77777777" w:rsidR="005A1399" w:rsidRPr="009A501D" w:rsidRDefault="005A1399" w:rsidP="007F5C1B">
            <w:pPr>
              <w:spacing w:after="0" w:line="240" w:lineRule="auto"/>
              <w:contextualSpacing/>
              <w:rPr>
                <w:rFonts w:ascii="Century Gothic" w:hAnsi="Century Gothic" w:cs="Calibri"/>
                <w:sz w:val="16"/>
                <w:szCs w:val="16"/>
              </w:rPr>
            </w:pPr>
          </w:p>
        </w:tc>
        <w:tc>
          <w:tcPr>
            <w:tcW w:w="817" w:type="dxa"/>
            <w:tcBorders>
              <w:top w:val="nil"/>
              <w:left w:val="nil"/>
              <w:bottom w:val="nil"/>
              <w:right w:val="nil"/>
            </w:tcBorders>
            <w:shd w:val="clear" w:color="auto" w:fill="F2F2F2" w:themeFill="background1" w:themeFillShade="F2"/>
            <w:noWrap/>
            <w:vAlign w:val="center"/>
            <w:hideMark/>
          </w:tcPr>
          <w:p w14:paraId="4E9D555E" w14:textId="77777777" w:rsidR="005A1399" w:rsidRPr="009A501D" w:rsidRDefault="005A1399" w:rsidP="007F5C1B">
            <w:pPr>
              <w:spacing w:after="0" w:line="240" w:lineRule="auto"/>
              <w:contextualSpacing/>
              <w:jc w:val="center"/>
              <w:rPr>
                <w:sz w:val="20"/>
                <w:szCs w:val="20"/>
              </w:rPr>
            </w:pPr>
          </w:p>
        </w:tc>
        <w:tc>
          <w:tcPr>
            <w:tcW w:w="638" w:type="dxa"/>
            <w:tcBorders>
              <w:top w:val="nil"/>
              <w:left w:val="nil"/>
              <w:bottom w:val="nil"/>
              <w:right w:val="single" w:sz="4" w:space="0" w:color="auto"/>
            </w:tcBorders>
            <w:shd w:val="clear" w:color="auto" w:fill="F2F2F2" w:themeFill="background1" w:themeFillShade="F2"/>
            <w:noWrap/>
            <w:vAlign w:val="center"/>
            <w:hideMark/>
          </w:tcPr>
          <w:p w14:paraId="04E0CB8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1037" w:type="dxa"/>
            <w:tcBorders>
              <w:top w:val="nil"/>
              <w:left w:val="nil"/>
              <w:bottom w:val="nil"/>
              <w:right w:val="nil"/>
            </w:tcBorders>
            <w:shd w:val="clear" w:color="auto" w:fill="F2F2F2" w:themeFill="background1" w:themeFillShade="F2"/>
            <w:vAlign w:val="center"/>
            <w:hideMark/>
          </w:tcPr>
          <w:p w14:paraId="3EEC750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99</w:t>
            </w:r>
          </w:p>
        </w:tc>
        <w:tc>
          <w:tcPr>
            <w:tcW w:w="817" w:type="dxa"/>
            <w:tcBorders>
              <w:top w:val="nil"/>
              <w:left w:val="nil"/>
              <w:bottom w:val="nil"/>
              <w:right w:val="nil"/>
            </w:tcBorders>
            <w:shd w:val="clear" w:color="auto" w:fill="F2F2F2" w:themeFill="background1" w:themeFillShade="F2"/>
            <w:vAlign w:val="center"/>
            <w:hideMark/>
          </w:tcPr>
          <w:p w14:paraId="10523A8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75%</w:t>
            </w:r>
          </w:p>
        </w:tc>
        <w:tc>
          <w:tcPr>
            <w:tcW w:w="658" w:type="dxa"/>
            <w:tcBorders>
              <w:top w:val="nil"/>
              <w:left w:val="nil"/>
              <w:bottom w:val="nil"/>
              <w:right w:val="single" w:sz="4" w:space="0" w:color="auto"/>
            </w:tcBorders>
            <w:shd w:val="clear" w:color="auto" w:fill="F2F2F2" w:themeFill="background1" w:themeFillShade="F2"/>
            <w:vAlign w:val="center"/>
            <w:hideMark/>
          </w:tcPr>
          <w:p w14:paraId="3D9B19B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4%</w:t>
            </w:r>
          </w:p>
        </w:tc>
        <w:tc>
          <w:tcPr>
            <w:tcW w:w="977" w:type="dxa"/>
            <w:tcBorders>
              <w:top w:val="nil"/>
              <w:left w:val="nil"/>
              <w:bottom w:val="nil"/>
              <w:right w:val="nil"/>
            </w:tcBorders>
            <w:shd w:val="clear" w:color="auto" w:fill="F2F2F2" w:themeFill="background1" w:themeFillShade="F2"/>
            <w:vAlign w:val="center"/>
            <w:hideMark/>
          </w:tcPr>
          <w:p w14:paraId="02374E5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56" w:type="dxa"/>
            <w:tcBorders>
              <w:top w:val="nil"/>
              <w:left w:val="nil"/>
              <w:bottom w:val="nil"/>
              <w:right w:val="nil"/>
            </w:tcBorders>
            <w:shd w:val="clear" w:color="auto" w:fill="F2F2F2" w:themeFill="background1" w:themeFillShade="F2"/>
            <w:vAlign w:val="center"/>
            <w:hideMark/>
          </w:tcPr>
          <w:p w14:paraId="1EC4270F"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F2F2F2" w:themeFill="background1" w:themeFillShade="F2"/>
            <w:vAlign w:val="center"/>
            <w:hideMark/>
          </w:tcPr>
          <w:p w14:paraId="661B35A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58" w:type="dxa"/>
            <w:tcBorders>
              <w:top w:val="nil"/>
              <w:left w:val="nil"/>
              <w:bottom w:val="nil"/>
              <w:right w:val="nil"/>
            </w:tcBorders>
            <w:shd w:val="clear" w:color="auto" w:fill="F2F2F2" w:themeFill="background1" w:themeFillShade="F2"/>
            <w:noWrap/>
            <w:vAlign w:val="center"/>
            <w:hideMark/>
          </w:tcPr>
          <w:p w14:paraId="3CE72CC7"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F2F2F2" w:themeFill="background1" w:themeFillShade="F2"/>
            <w:noWrap/>
            <w:vAlign w:val="center"/>
            <w:hideMark/>
          </w:tcPr>
          <w:p w14:paraId="0BAD9C99"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F2F2F2" w:themeFill="background1" w:themeFillShade="F2"/>
            <w:noWrap/>
            <w:vAlign w:val="center"/>
            <w:hideMark/>
          </w:tcPr>
          <w:p w14:paraId="1E5D45F1"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shd w:val="clear" w:color="auto" w:fill="F2F2F2" w:themeFill="background1" w:themeFillShade="F2"/>
            <w:vAlign w:val="center"/>
            <w:hideMark/>
          </w:tcPr>
          <w:p w14:paraId="7B50F667" w14:textId="77777777" w:rsidR="005A1399" w:rsidRPr="009A501D" w:rsidRDefault="005A1399" w:rsidP="007F5C1B">
            <w:pPr>
              <w:spacing w:after="0" w:line="240" w:lineRule="auto"/>
              <w:contextualSpacing/>
              <w:rPr>
                <w:sz w:val="20"/>
                <w:szCs w:val="20"/>
              </w:rPr>
            </w:pPr>
          </w:p>
        </w:tc>
      </w:tr>
      <w:tr w:rsidR="005A1399" w:rsidRPr="009A501D" w14:paraId="73CA5B11" w14:textId="77777777" w:rsidTr="00317772">
        <w:trPr>
          <w:trHeight w:val="284"/>
          <w:jc w:val="center"/>
        </w:trPr>
        <w:tc>
          <w:tcPr>
            <w:tcW w:w="899" w:type="dxa"/>
            <w:tcBorders>
              <w:top w:val="nil"/>
              <w:left w:val="single" w:sz="4" w:space="0" w:color="auto"/>
              <w:bottom w:val="nil"/>
              <w:right w:val="nil"/>
            </w:tcBorders>
            <w:shd w:val="clear" w:color="auto" w:fill="auto"/>
            <w:noWrap/>
            <w:vAlign w:val="center"/>
            <w:hideMark/>
          </w:tcPr>
          <w:p w14:paraId="503EB1C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nil"/>
              <w:right w:val="nil"/>
            </w:tcBorders>
            <w:shd w:val="clear" w:color="auto" w:fill="auto"/>
            <w:noWrap/>
            <w:vAlign w:val="center"/>
            <w:hideMark/>
          </w:tcPr>
          <w:p w14:paraId="103714B5"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nil"/>
              <w:right w:val="single" w:sz="4" w:space="0" w:color="auto"/>
            </w:tcBorders>
            <w:shd w:val="clear" w:color="auto" w:fill="auto"/>
            <w:noWrap/>
            <w:vAlign w:val="center"/>
            <w:hideMark/>
          </w:tcPr>
          <w:p w14:paraId="2C222F6F" w14:textId="77777777" w:rsidR="005A1399" w:rsidRPr="009A501D" w:rsidRDefault="005A1399" w:rsidP="004917C6">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ENCUCI</w:t>
            </w:r>
          </w:p>
        </w:tc>
        <w:tc>
          <w:tcPr>
            <w:tcW w:w="1057" w:type="dxa"/>
            <w:tcBorders>
              <w:top w:val="nil"/>
              <w:left w:val="nil"/>
              <w:bottom w:val="nil"/>
              <w:right w:val="nil"/>
            </w:tcBorders>
            <w:shd w:val="clear" w:color="auto" w:fill="auto"/>
            <w:noWrap/>
            <w:vAlign w:val="center"/>
            <w:hideMark/>
          </w:tcPr>
          <w:p w14:paraId="36827A5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469BF3E2"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38" w:type="dxa"/>
            <w:tcBorders>
              <w:top w:val="nil"/>
              <w:left w:val="nil"/>
              <w:bottom w:val="nil"/>
              <w:right w:val="single" w:sz="4" w:space="0" w:color="auto"/>
            </w:tcBorders>
            <w:shd w:val="clear" w:color="auto" w:fill="auto"/>
            <w:noWrap/>
            <w:vAlign w:val="center"/>
            <w:hideMark/>
          </w:tcPr>
          <w:p w14:paraId="67E7F93E"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1037" w:type="dxa"/>
            <w:tcBorders>
              <w:top w:val="nil"/>
              <w:left w:val="nil"/>
              <w:bottom w:val="nil"/>
              <w:right w:val="nil"/>
            </w:tcBorders>
            <w:shd w:val="clear" w:color="auto" w:fill="auto"/>
            <w:noWrap/>
            <w:vAlign w:val="center"/>
            <w:hideMark/>
          </w:tcPr>
          <w:p w14:paraId="4951BF0D"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817" w:type="dxa"/>
            <w:tcBorders>
              <w:top w:val="nil"/>
              <w:left w:val="nil"/>
              <w:bottom w:val="nil"/>
              <w:right w:val="nil"/>
            </w:tcBorders>
            <w:shd w:val="clear" w:color="auto" w:fill="auto"/>
            <w:noWrap/>
            <w:vAlign w:val="center"/>
            <w:hideMark/>
          </w:tcPr>
          <w:p w14:paraId="601B356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658" w:type="dxa"/>
            <w:tcBorders>
              <w:top w:val="nil"/>
              <w:left w:val="nil"/>
              <w:bottom w:val="nil"/>
              <w:right w:val="single" w:sz="4" w:space="0" w:color="auto"/>
            </w:tcBorders>
            <w:shd w:val="clear" w:color="auto" w:fill="auto"/>
            <w:noWrap/>
            <w:vAlign w:val="center"/>
            <w:hideMark/>
          </w:tcPr>
          <w:p w14:paraId="0EDCAEE6"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w:t>
            </w:r>
          </w:p>
        </w:tc>
        <w:tc>
          <w:tcPr>
            <w:tcW w:w="977" w:type="dxa"/>
            <w:tcBorders>
              <w:top w:val="nil"/>
              <w:left w:val="nil"/>
              <w:bottom w:val="nil"/>
              <w:right w:val="nil"/>
            </w:tcBorders>
            <w:shd w:val="clear" w:color="auto" w:fill="auto"/>
            <w:vAlign w:val="center"/>
            <w:hideMark/>
          </w:tcPr>
          <w:p w14:paraId="432E786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84</w:t>
            </w:r>
          </w:p>
        </w:tc>
        <w:tc>
          <w:tcPr>
            <w:tcW w:w="856" w:type="dxa"/>
            <w:tcBorders>
              <w:top w:val="nil"/>
              <w:left w:val="nil"/>
              <w:bottom w:val="nil"/>
              <w:right w:val="nil"/>
            </w:tcBorders>
            <w:shd w:val="clear" w:color="auto" w:fill="auto"/>
            <w:vAlign w:val="center"/>
            <w:hideMark/>
          </w:tcPr>
          <w:p w14:paraId="68CE193A"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90%</w:t>
            </w:r>
          </w:p>
        </w:tc>
        <w:tc>
          <w:tcPr>
            <w:tcW w:w="638" w:type="dxa"/>
            <w:tcBorders>
              <w:top w:val="nil"/>
              <w:left w:val="nil"/>
              <w:bottom w:val="nil"/>
              <w:right w:val="single" w:sz="4" w:space="0" w:color="auto"/>
            </w:tcBorders>
            <w:shd w:val="clear" w:color="auto" w:fill="auto"/>
            <w:vAlign w:val="center"/>
            <w:hideMark/>
          </w:tcPr>
          <w:p w14:paraId="45AAB20B"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1%</w:t>
            </w:r>
          </w:p>
        </w:tc>
        <w:tc>
          <w:tcPr>
            <w:tcW w:w="958" w:type="dxa"/>
            <w:tcBorders>
              <w:top w:val="nil"/>
              <w:left w:val="nil"/>
              <w:bottom w:val="nil"/>
              <w:right w:val="nil"/>
            </w:tcBorders>
            <w:shd w:val="clear" w:color="auto" w:fill="auto"/>
            <w:noWrap/>
            <w:vAlign w:val="center"/>
            <w:hideMark/>
          </w:tcPr>
          <w:p w14:paraId="407D2005" w14:textId="77777777" w:rsidR="005A1399" w:rsidRPr="009A501D" w:rsidRDefault="005A1399" w:rsidP="007F5C1B">
            <w:pPr>
              <w:spacing w:after="0" w:line="240" w:lineRule="auto"/>
              <w:contextualSpacing/>
              <w:jc w:val="center"/>
              <w:rPr>
                <w:rFonts w:ascii="Century Gothic" w:hAnsi="Century Gothic" w:cs="Calibri"/>
                <w:sz w:val="16"/>
                <w:szCs w:val="16"/>
              </w:rPr>
            </w:pPr>
          </w:p>
        </w:tc>
        <w:tc>
          <w:tcPr>
            <w:tcW w:w="857" w:type="dxa"/>
            <w:tcBorders>
              <w:top w:val="nil"/>
              <w:left w:val="nil"/>
              <w:bottom w:val="nil"/>
              <w:right w:val="nil"/>
            </w:tcBorders>
            <w:shd w:val="clear" w:color="auto" w:fill="auto"/>
            <w:noWrap/>
            <w:vAlign w:val="center"/>
            <w:hideMark/>
          </w:tcPr>
          <w:p w14:paraId="1B42395C" w14:textId="77777777" w:rsidR="005A1399" w:rsidRPr="009A501D" w:rsidRDefault="005A1399" w:rsidP="007F5C1B">
            <w:pPr>
              <w:spacing w:after="0" w:line="240" w:lineRule="auto"/>
              <w:contextualSpacing/>
              <w:jc w:val="center"/>
              <w:rPr>
                <w:sz w:val="20"/>
                <w:szCs w:val="20"/>
              </w:rPr>
            </w:pPr>
          </w:p>
        </w:tc>
        <w:tc>
          <w:tcPr>
            <w:tcW w:w="618" w:type="dxa"/>
            <w:tcBorders>
              <w:top w:val="nil"/>
              <w:left w:val="nil"/>
              <w:bottom w:val="nil"/>
              <w:right w:val="single" w:sz="4" w:space="0" w:color="auto"/>
            </w:tcBorders>
            <w:shd w:val="clear" w:color="auto" w:fill="auto"/>
            <w:noWrap/>
            <w:vAlign w:val="center"/>
            <w:hideMark/>
          </w:tcPr>
          <w:p w14:paraId="569F3438" w14:textId="77777777" w:rsidR="005A1399" w:rsidRPr="009A501D" w:rsidRDefault="005A1399" w:rsidP="007F5C1B">
            <w:pPr>
              <w:spacing w:after="0" w:line="240" w:lineRule="auto"/>
              <w:contextualSpacing/>
              <w:jc w:val="center"/>
              <w:rPr>
                <w:rFonts w:ascii="Century Gothic" w:hAnsi="Century Gothic" w:cs="Calibri"/>
                <w:sz w:val="16"/>
                <w:szCs w:val="16"/>
              </w:rPr>
            </w:pPr>
            <w:r w:rsidRPr="009A501D">
              <w:rPr>
                <w:rFonts w:ascii="Century Gothic" w:hAnsi="Century Gothic" w:cs="Calibri"/>
                <w:sz w:val="16"/>
                <w:szCs w:val="16"/>
              </w:rPr>
              <w:t> </w:t>
            </w:r>
          </w:p>
        </w:tc>
        <w:tc>
          <w:tcPr>
            <w:tcW w:w="36" w:type="dxa"/>
            <w:vAlign w:val="center"/>
            <w:hideMark/>
          </w:tcPr>
          <w:p w14:paraId="34A33238" w14:textId="77777777" w:rsidR="005A1399" w:rsidRPr="009A501D" w:rsidRDefault="005A1399" w:rsidP="007F5C1B">
            <w:pPr>
              <w:spacing w:after="0" w:line="240" w:lineRule="auto"/>
              <w:contextualSpacing/>
              <w:rPr>
                <w:sz w:val="20"/>
                <w:szCs w:val="20"/>
              </w:rPr>
            </w:pPr>
          </w:p>
        </w:tc>
      </w:tr>
      <w:tr w:rsidR="005A1399" w:rsidRPr="009A501D" w14:paraId="53CFA463" w14:textId="77777777" w:rsidTr="009D02D7">
        <w:trPr>
          <w:trHeight w:val="284"/>
          <w:jc w:val="center"/>
        </w:trPr>
        <w:tc>
          <w:tcPr>
            <w:tcW w:w="899" w:type="dxa"/>
            <w:tcBorders>
              <w:top w:val="nil"/>
              <w:left w:val="single" w:sz="4" w:space="0" w:color="auto"/>
              <w:bottom w:val="single" w:sz="4" w:space="0" w:color="auto"/>
              <w:right w:val="nil"/>
            </w:tcBorders>
            <w:shd w:val="clear" w:color="auto" w:fill="F2F2F2" w:themeFill="background1" w:themeFillShade="F2"/>
            <w:noWrap/>
            <w:vAlign w:val="center"/>
            <w:hideMark/>
          </w:tcPr>
          <w:p w14:paraId="35149B61"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518" w:type="dxa"/>
            <w:tcBorders>
              <w:top w:val="nil"/>
              <w:left w:val="nil"/>
              <w:bottom w:val="single" w:sz="4" w:space="0" w:color="auto"/>
              <w:right w:val="nil"/>
            </w:tcBorders>
            <w:shd w:val="clear" w:color="auto" w:fill="F2F2F2" w:themeFill="background1" w:themeFillShade="F2"/>
            <w:noWrap/>
            <w:vAlign w:val="center"/>
            <w:hideMark/>
          </w:tcPr>
          <w:p w14:paraId="7299A9FB"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99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1B08E8" w14:textId="77777777" w:rsidR="005A1399" w:rsidRPr="009A501D" w:rsidRDefault="005A1399" w:rsidP="004917C6">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ENPOL</w:t>
            </w:r>
          </w:p>
        </w:tc>
        <w:tc>
          <w:tcPr>
            <w:tcW w:w="1057" w:type="dxa"/>
            <w:tcBorders>
              <w:top w:val="nil"/>
              <w:left w:val="nil"/>
              <w:bottom w:val="single" w:sz="4" w:space="0" w:color="auto"/>
              <w:right w:val="nil"/>
            </w:tcBorders>
            <w:shd w:val="clear" w:color="auto" w:fill="F2F2F2" w:themeFill="background1" w:themeFillShade="F2"/>
            <w:noWrap/>
            <w:vAlign w:val="center"/>
            <w:hideMark/>
          </w:tcPr>
          <w:p w14:paraId="0431768A"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817" w:type="dxa"/>
            <w:tcBorders>
              <w:top w:val="nil"/>
              <w:left w:val="nil"/>
              <w:bottom w:val="single" w:sz="4" w:space="0" w:color="auto"/>
              <w:right w:val="nil"/>
            </w:tcBorders>
            <w:shd w:val="clear" w:color="auto" w:fill="F2F2F2" w:themeFill="background1" w:themeFillShade="F2"/>
            <w:noWrap/>
            <w:vAlign w:val="center"/>
            <w:hideMark/>
          </w:tcPr>
          <w:p w14:paraId="789D3FD5"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638" w:type="dxa"/>
            <w:tcBorders>
              <w:top w:val="nil"/>
              <w:left w:val="nil"/>
              <w:bottom w:val="single" w:sz="4" w:space="0" w:color="auto"/>
              <w:right w:val="single" w:sz="4" w:space="0" w:color="auto"/>
            </w:tcBorders>
            <w:shd w:val="clear" w:color="auto" w:fill="F2F2F2" w:themeFill="background1" w:themeFillShade="F2"/>
            <w:noWrap/>
            <w:vAlign w:val="center"/>
            <w:hideMark/>
          </w:tcPr>
          <w:p w14:paraId="43A6B4F5"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1037" w:type="dxa"/>
            <w:tcBorders>
              <w:top w:val="nil"/>
              <w:left w:val="nil"/>
              <w:bottom w:val="single" w:sz="4" w:space="0" w:color="auto"/>
              <w:right w:val="nil"/>
            </w:tcBorders>
            <w:shd w:val="clear" w:color="auto" w:fill="F2F2F2" w:themeFill="background1" w:themeFillShade="F2"/>
            <w:noWrap/>
            <w:vAlign w:val="center"/>
            <w:hideMark/>
          </w:tcPr>
          <w:p w14:paraId="6D78E81A"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817" w:type="dxa"/>
            <w:tcBorders>
              <w:top w:val="nil"/>
              <w:left w:val="nil"/>
              <w:bottom w:val="single" w:sz="4" w:space="0" w:color="auto"/>
              <w:right w:val="nil"/>
            </w:tcBorders>
            <w:shd w:val="clear" w:color="auto" w:fill="F2F2F2" w:themeFill="background1" w:themeFillShade="F2"/>
            <w:noWrap/>
            <w:vAlign w:val="center"/>
            <w:hideMark/>
          </w:tcPr>
          <w:p w14:paraId="526D2A20"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658" w:type="dxa"/>
            <w:tcBorders>
              <w:top w:val="nil"/>
              <w:left w:val="nil"/>
              <w:bottom w:val="single" w:sz="4" w:space="0" w:color="auto"/>
              <w:right w:val="single" w:sz="4" w:space="0" w:color="auto"/>
            </w:tcBorders>
            <w:shd w:val="clear" w:color="auto" w:fill="F2F2F2" w:themeFill="background1" w:themeFillShade="F2"/>
            <w:noWrap/>
            <w:vAlign w:val="center"/>
            <w:hideMark/>
          </w:tcPr>
          <w:p w14:paraId="40F5F10E"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977" w:type="dxa"/>
            <w:tcBorders>
              <w:top w:val="nil"/>
              <w:left w:val="nil"/>
              <w:bottom w:val="single" w:sz="4" w:space="0" w:color="auto"/>
              <w:right w:val="nil"/>
            </w:tcBorders>
            <w:shd w:val="clear" w:color="auto" w:fill="F2F2F2" w:themeFill="background1" w:themeFillShade="F2"/>
            <w:noWrap/>
            <w:vAlign w:val="center"/>
            <w:hideMark/>
          </w:tcPr>
          <w:p w14:paraId="362D8159"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462</w:t>
            </w:r>
          </w:p>
        </w:tc>
        <w:tc>
          <w:tcPr>
            <w:tcW w:w="856" w:type="dxa"/>
            <w:tcBorders>
              <w:top w:val="nil"/>
              <w:left w:val="nil"/>
              <w:bottom w:val="single" w:sz="4" w:space="0" w:color="auto"/>
              <w:right w:val="nil"/>
            </w:tcBorders>
            <w:shd w:val="clear" w:color="auto" w:fill="F2F2F2" w:themeFill="background1" w:themeFillShade="F2"/>
            <w:noWrap/>
            <w:vAlign w:val="center"/>
            <w:hideMark/>
          </w:tcPr>
          <w:p w14:paraId="0AC81651"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100%</w:t>
            </w:r>
          </w:p>
        </w:tc>
        <w:tc>
          <w:tcPr>
            <w:tcW w:w="638" w:type="dxa"/>
            <w:tcBorders>
              <w:top w:val="nil"/>
              <w:left w:val="nil"/>
              <w:bottom w:val="single" w:sz="4" w:space="0" w:color="auto"/>
              <w:right w:val="single" w:sz="4" w:space="0" w:color="auto"/>
            </w:tcBorders>
            <w:shd w:val="clear" w:color="auto" w:fill="F2F2F2" w:themeFill="background1" w:themeFillShade="F2"/>
            <w:noWrap/>
            <w:vAlign w:val="center"/>
            <w:hideMark/>
          </w:tcPr>
          <w:p w14:paraId="390CD2E1"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0%</w:t>
            </w:r>
          </w:p>
        </w:tc>
        <w:tc>
          <w:tcPr>
            <w:tcW w:w="958" w:type="dxa"/>
            <w:tcBorders>
              <w:top w:val="nil"/>
              <w:left w:val="nil"/>
              <w:bottom w:val="single" w:sz="4" w:space="0" w:color="auto"/>
              <w:right w:val="nil"/>
            </w:tcBorders>
            <w:shd w:val="clear" w:color="auto" w:fill="F2F2F2" w:themeFill="background1" w:themeFillShade="F2"/>
            <w:noWrap/>
            <w:vAlign w:val="center"/>
            <w:hideMark/>
          </w:tcPr>
          <w:p w14:paraId="3C02D715"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857" w:type="dxa"/>
            <w:tcBorders>
              <w:top w:val="nil"/>
              <w:left w:val="nil"/>
              <w:bottom w:val="single" w:sz="4" w:space="0" w:color="auto"/>
              <w:right w:val="nil"/>
            </w:tcBorders>
            <w:shd w:val="clear" w:color="auto" w:fill="F2F2F2" w:themeFill="background1" w:themeFillShade="F2"/>
            <w:noWrap/>
            <w:vAlign w:val="center"/>
            <w:hideMark/>
          </w:tcPr>
          <w:p w14:paraId="54021632"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618" w:type="dxa"/>
            <w:tcBorders>
              <w:top w:val="nil"/>
              <w:left w:val="nil"/>
              <w:bottom w:val="single" w:sz="4" w:space="0" w:color="auto"/>
              <w:right w:val="single" w:sz="4" w:space="0" w:color="auto"/>
            </w:tcBorders>
            <w:shd w:val="clear" w:color="auto" w:fill="F2F2F2" w:themeFill="background1" w:themeFillShade="F2"/>
            <w:noWrap/>
            <w:vAlign w:val="center"/>
            <w:hideMark/>
          </w:tcPr>
          <w:p w14:paraId="6F1A66A2" w14:textId="77777777" w:rsidR="005A1399" w:rsidRPr="009A501D" w:rsidRDefault="005A1399" w:rsidP="007F5C1B">
            <w:pPr>
              <w:spacing w:after="0" w:line="240" w:lineRule="auto"/>
              <w:contextualSpacing/>
              <w:jc w:val="center"/>
              <w:rPr>
                <w:rFonts w:ascii="Century Gothic" w:hAnsi="Century Gothic" w:cs="Calibri"/>
                <w:color w:val="000000"/>
                <w:sz w:val="16"/>
                <w:szCs w:val="16"/>
              </w:rPr>
            </w:pPr>
            <w:r w:rsidRPr="009A501D">
              <w:rPr>
                <w:rFonts w:ascii="Century Gothic" w:hAnsi="Century Gothic" w:cs="Calibri"/>
                <w:color w:val="000000"/>
                <w:sz w:val="16"/>
                <w:szCs w:val="16"/>
              </w:rPr>
              <w:t> </w:t>
            </w:r>
          </w:p>
        </w:tc>
        <w:tc>
          <w:tcPr>
            <w:tcW w:w="36" w:type="dxa"/>
            <w:shd w:val="clear" w:color="auto" w:fill="F2F2F2" w:themeFill="background1" w:themeFillShade="F2"/>
            <w:vAlign w:val="center"/>
            <w:hideMark/>
          </w:tcPr>
          <w:p w14:paraId="62E05953" w14:textId="77777777" w:rsidR="005A1399" w:rsidRPr="009A501D" w:rsidRDefault="005A1399" w:rsidP="007F5C1B">
            <w:pPr>
              <w:spacing w:after="0" w:line="240" w:lineRule="auto"/>
              <w:contextualSpacing/>
              <w:rPr>
                <w:sz w:val="20"/>
                <w:szCs w:val="20"/>
              </w:rPr>
            </w:pPr>
          </w:p>
        </w:tc>
      </w:tr>
    </w:tbl>
    <w:p w14:paraId="5FE23EA2" w14:textId="52FA5C5F" w:rsidR="005A1399" w:rsidRPr="009A501D" w:rsidRDefault="005A1399" w:rsidP="007F5C1B">
      <w:pPr>
        <w:spacing w:after="0"/>
        <w:ind w:left="426" w:right="650"/>
        <w:jc w:val="both"/>
        <w:rPr>
          <w:rFonts w:ascii="Century Gothic" w:eastAsia="Century Gothic" w:hAnsi="Century Gothic" w:cs="Century Gothic"/>
          <w:position w:val="4"/>
          <w:sz w:val="14"/>
          <w:szCs w:val="14"/>
        </w:rPr>
      </w:pPr>
      <w:r w:rsidRPr="009A501D">
        <w:rPr>
          <w:rFonts w:ascii="Century Gothic" w:eastAsia="Century Gothic" w:hAnsi="Century Gothic" w:cs="Century Gothic"/>
          <w:position w:val="4"/>
          <w:sz w:val="14"/>
          <w:szCs w:val="14"/>
          <w:vertAlign w:val="superscript"/>
        </w:rPr>
        <w:t>a/</w:t>
      </w:r>
      <w:r w:rsidRPr="009A501D">
        <w:rPr>
          <w:rFonts w:ascii="Century Gothic" w:eastAsia="Century Gothic" w:hAnsi="Century Gothic" w:cs="Century Gothic"/>
          <w:position w:val="4"/>
          <w:sz w:val="14"/>
          <w:szCs w:val="14"/>
        </w:rPr>
        <w:t xml:space="preserve"> Los umbrales para el coeficiente de variación aprobados por el Comité para las encuestas en hogares y otras unidades diferentes a las económicas. Debido a cuestiones de espacio, se omitió el umbral de calidad Moderada [15-30), sin embargo, el porcentaje de casos que caen en dicho umbral por </w:t>
      </w:r>
      <w:r w:rsidR="00EC4113" w:rsidRPr="009A501D">
        <w:rPr>
          <w:rFonts w:ascii="Century Gothic" w:eastAsia="Century Gothic" w:hAnsi="Century Gothic" w:cs="Century Gothic"/>
          <w:position w:val="4"/>
          <w:sz w:val="14"/>
          <w:szCs w:val="14"/>
        </w:rPr>
        <w:t>proceso</w:t>
      </w:r>
      <w:r w:rsidRPr="009A501D">
        <w:rPr>
          <w:rFonts w:ascii="Century Gothic" w:eastAsia="Century Gothic" w:hAnsi="Century Gothic" w:cs="Century Gothic"/>
          <w:position w:val="4"/>
          <w:sz w:val="14"/>
          <w:szCs w:val="14"/>
        </w:rPr>
        <w:t xml:space="preserve"> se puede obtener como el complemento de la suma de los umbrales presentes.</w:t>
      </w:r>
    </w:p>
    <w:p w14:paraId="0589B06F" w14:textId="74393929" w:rsidR="005A1399" w:rsidRPr="009A501D" w:rsidRDefault="005A1399" w:rsidP="007F5C1B">
      <w:pPr>
        <w:spacing w:after="0"/>
        <w:ind w:left="426" w:right="650"/>
        <w:jc w:val="both"/>
        <w:rPr>
          <w:rFonts w:ascii="Century Gothic" w:hAnsi="Century Gothic"/>
          <w:sz w:val="14"/>
          <w:szCs w:val="14"/>
        </w:rPr>
      </w:pPr>
      <w:r w:rsidRPr="009A501D">
        <w:rPr>
          <w:rFonts w:ascii="Century Gothic" w:hAnsi="Century Gothic"/>
          <w:sz w:val="14"/>
          <w:szCs w:val="14"/>
        </w:rPr>
        <w:t xml:space="preserve">*Estos datos corresponden a la información publicada en 2022, y que reportaron indicadores en los metadatos hasta el 31 de enero de 2023. </w:t>
      </w:r>
    </w:p>
    <w:p w14:paraId="0E42552A" w14:textId="4D092E12" w:rsidR="005A1399" w:rsidRPr="009A501D" w:rsidRDefault="005A1399" w:rsidP="007F5C1B">
      <w:pPr>
        <w:spacing w:after="0"/>
        <w:ind w:left="426" w:right="650"/>
        <w:jc w:val="both"/>
        <w:rPr>
          <w:rFonts w:ascii="Century Gothic" w:hAnsi="Century Gothic" w:cstheme="majorHAnsi"/>
          <w:b/>
          <w:sz w:val="19"/>
          <w:szCs w:val="19"/>
        </w:rPr>
      </w:pPr>
      <w:r w:rsidRPr="009A501D">
        <w:rPr>
          <w:rFonts w:ascii="Century Gothic" w:hAnsi="Century Gothic"/>
          <w:sz w:val="14"/>
          <w:szCs w:val="14"/>
        </w:rPr>
        <w:t>**El número de casos corresponde a la multiplicación de los indicadores-objetivo por los dominios de estudio por el número de publicaciones durante el año.  Dado que en 2018 se comenzó la publicación de los indicadores de precisión estadística, no se publicaron para los 12 meses; en 2019 se publicaron más de 12 meses ya que se reportaron los faltantes en 2018; en 2020 se publicaron 12 meses con algunas excepciones por la contingencia sanitaria, en 2021 se publicaron 12 meses y en 2022 se publicaron conforme a lo mencionado en el cuadro A.6.2.</w:t>
      </w:r>
    </w:p>
    <w:p w14:paraId="58BB7F6A" w14:textId="05842C37" w:rsidR="005A1399"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ajorHAnsi"/>
          <w:bCs/>
          <w:sz w:val="19"/>
          <w:szCs w:val="19"/>
        </w:rPr>
        <w:t>En el cuadro A.</w:t>
      </w:r>
      <w:r w:rsidR="00AE6C80" w:rsidRPr="009A501D">
        <w:rPr>
          <w:rFonts w:ascii="Century Gothic" w:hAnsi="Century Gothic" w:cstheme="majorHAnsi"/>
          <w:bCs/>
          <w:sz w:val="19"/>
          <w:szCs w:val="19"/>
        </w:rPr>
        <w:t>5</w:t>
      </w:r>
      <w:r w:rsidRPr="009A501D">
        <w:rPr>
          <w:rFonts w:ascii="Century Gothic" w:hAnsi="Century Gothic" w:cstheme="majorHAnsi"/>
          <w:bCs/>
          <w:sz w:val="19"/>
          <w:szCs w:val="19"/>
        </w:rPr>
        <w:t>.7 se presenta</w:t>
      </w:r>
      <w:r w:rsidR="00EB173D" w:rsidRPr="009A501D">
        <w:rPr>
          <w:rFonts w:ascii="Century Gothic" w:hAnsi="Century Gothic" w:cstheme="majorHAnsi"/>
          <w:bCs/>
          <w:sz w:val="19"/>
          <w:szCs w:val="19"/>
        </w:rPr>
        <w:t xml:space="preserve">n </w:t>
      </w:r>
      <w:r w:rsidRPr="009A501D">
        <w:rPr>
          <w:rFonts w:ascii="Century Gothic" w:hAnsi="Century Gothic" w:cstheme="majorHAnsi"/>
          <w:bCs/>
          <w:sz w:val="19"/>
          <w:szCs w:val="19"/>
        </w:rPr>
        <w:t xml:space="preserve">los </w:t>
      </w:r>
      <w:r w:rsidR="00EC4113" w:rsidRPr="009A501D">
        <w:rPr>
          <w:rFonts w:ascii="Century Gothic" w:hAnsi="Century Gothic" w:cstheme="majorHAnsi"/>
          <w:bCs/>
          <w:sz w:val="19"/>
          <w:szCs w:val="19"/>
        </w:rPr>
        <w:t xml:space="preserve">procesos </w:t>
      </w:r>
      <w:r w:rsidRPr="009A501D">
        <w:rPr>
          <w:rFonts w:ascii="Century Gothic" w:hAnsi="Century Gothic" w:cstheme="majorHAnsi"/>
          <w:bCs/>
          <w:sz w:val="19"/>
          <w:szCs w:val="19"/>
        </w:rPr>
        <w:t xml:space="preserve">que </w:t>
      </w:r>
      <w:r w:rsidR="00BB106F" w:rsidRPr="009A501D">
        <w:rPr>
          <w:rFonts w:ascii="Century Gothic" w:hAnsi="Century Gothic" w:cstheme="majorHAnsi"/>
          <w:bCs/>
          <w:sz w:val="19"/>
          <w:szCs w:val="19"/>
        </w:rPr>
        <w:t>presentaron</w:t>
      </w:r>
      <w:r w:rsidRPr="009A501D">
        <w:rPr>
          <w:rFonts w:ascii="Century Gothic" w:hAnsi="Century Gothic" w:cstheme="majorHAnsi"/>
          <w:bCs/>
          <w:sz w:val="19"/>
          <w:szCs w:val="19"/>
        </w:rPr>
        <w:t xml:space="preserve"> un incremento en el número de indicadores-objetivo </w:t>
      </w:r>
      <w:r w:rsidR="00476CC7" w:rsidRPr="009A501D">
        <w:rPr>
          <w:rFonts w:ascii="Century Gothic" w:hAnsi="Century Gothic" w:cstheme="majorHAnsi"/>
          <w:bCs/>
          <w:sz w:val="19"/>
          <w:szCs w:val="19"/>
        </w:rPr>
        <w:t>y casos</w:t>
      </w:r>
      <w:r w:rsidR="003B2D8F" w:rsidRPr="009A501D">
        <w:rPr>
          <w:rFonts w:ascii="Century Gothic" w:hAnsi="Century Gothic" w:cstheme="majorHAnsi"/>
          <w:bCs/>
          <w:sz w:val="19"/>
          <w:szCs w:val="19"/>
        </w:rPr>
        <w:t>, en razón de lo mencionado en los párrafos anteriores.</w:t>
      </w:r>
      <w:r w:rsidRPr="009A501D">
        <w:rPr>
          <w:rFonts w:ascii="Century Gothic" w:hAnsi="Century Gothic" w:cstheme="minorHAnsi"/>
          <w:sz w:val="19"/>
          <w:szCs w:val="19"/>
        </w:rPr>
        <w:t xml:space="preserve"> Se dará continuidad con ejercicios similares con otras áreas y </w:t>
      </w:r>
      <w:r w:rsidR="00EC4113" w:rsidRPr="009A501D">
        <w:rPr>
          <w:rFonts w:ascii="Century Gothic" w:hAnsi="Century Gothic" w:cstheme="minorHAnsi"/>
          <w:sz w:val="19"/>
          <w:szCs w:val="19"/>
        </w:rPr>
        <w:t>proceso</w:t>
      </w:r>
      <w:r w:rsidRPr="009A501D">
        <w:rPr>
          <w:rFonts w:ascii="Century Gothic" w:hAnsi="Century Gothic" w:cstheme="minorHAnsi"/>
          <w:sz w:val="19"/>
          <w:szCs w:val="19"/>
        </w:rPr>
        <w:t>s con el fin de contar con</w:t>
      </w:r>
      <w:r w:rsidR="00985A3B" w:rsidRPr="009A501D">
        <w:rPr>
          <w:rFonts w:ascii="Century Gothic" w:hAnsi="Century Gothic" w:cstheme="minorHAnsi"/>
          <w:sz w:val="19"/>
          <w:szCs w:val="19"/>
        </w:rPr>
        <w:t xml:space="preserve"> indicadores de precisión</w:t>
      </w:r>
      <w:r w:rsidRPr="009A501D">
        <w:rPr>
          <w:rFonts w:ascii="Century Gothic" w:hAnsi="Century Gothic" w:cstheme="minorHAnsi"/>
          <w:sz w:val="19"/>
          <w:szCs w:val="19"/>
        </w:rPr>
        <w:t xml:space="preserve"> para la totalidad de indicadores-objetivo producidos y publicados.</w:t>
      </w:r>
    </w:p>
    <w:p w14:paraId="2E8C3B34" w14:textId="54C817DA" w:rsidR="007F5C1B" w:rsidRPr="009A501D" w:rsidRDefault="007F5C1B">
      <w:pPr>
        <w:rPr>
          <w:rFonts w:ascii="Century Gothic" w:hAnsi="Century Gothic" w:cstheme="minorHAnsi"/>
          <w:sz w:val="19"/>
          <w:szCs w:val="19"/>
        </w:rPr>
      </w:pPr>
      <w:r w:rsidRPr="009A501D">
        <w:rPr>
          <w:rFonts w:ascii="Century Gothic" w:hAnsi="Century Gothic" w:cstheme="minorHAnsi"/>
          <w:sz w:val="19"/>
          <w:szCs w:val="19"/>
        </w:rPr>
        <w:br w:type="page"/>
      </w:r>
    </w:p>
    <w:p w14:paraId="15713CB5" w14:textId="0367635B" w:rsidR="005A1399" w:rsidRPr="009A501D" w:rsidRDefault="005A1399"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lastRenderedPageBreak/>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.7. Encuestas para las cuales en 2022 se observa un incremento en el número de casos reportados</w:t>
      </w:r>
    </w:p>
    <w:tbl>
      <w:tblPr>
        <w:tblW w:w="1133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000"/>
        <w:gridCol w:w="1188"/>
        <w:gridCol w:w="950"/>
        <w:gridCol w:w="1960"/>
        <w:gridCol w:w="851"/>
        <w:gridCol w:w="2126"/>
        <w:gridCol w:w="1985"/>
        <w:gridCol w:w="1275"/>
      </w:tblGrid>
      <w:tr w:rsidR="005A1399" w:rsidRPr="009A501D" w14:paraId="5B74B969" w14:textId="77777777" w:rsidTr="00C43585">
        <w:trPr>
          <w:trHeight w:val="284"/>
          <w:jc w:val="center"/>
        </w:trPr>
        <w:tc>
          <w:tcPr>
            <w:tcW w:w="1000" w:type="dxa"/>
            <w:shd w:val="clear" w:color="000000" w:fill="002060"/>
            <w:vAlign w:val="center"/>
            <w:hideMark/>
          </w:tcPr>
          <w:p w14:paraId="3432B39C" w14:textId="77777777"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188" w:type="dxa"/>
            <w:shd w:val="clear" w:color="000000" w:fill="002060"/>
            <w:vAlign w:val="center"/>
            <w:hideMark/>
          </w:tcPr>
          <w:p w14:paraId="182148EE" w14:textId="77777777"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Periodicidad</w:t>
            </w:r>
          </w:p>
        </w:tc>
        <w:tc>
          <w:tcPr>
            <w:tcW w:w="950" w:type="dxa"/>
            <w:shd w:val="clear" w:color="000000" w:fill="002060"/>
            <w:vAlign w:val="center"/>
            <w:hideMark/>
          </w:tcPr>
          <w:p w14:paraId="4FF7A375" w14:textId="2E200D95" w:rsidR="005A1399" w:rsidRPr="009A501D" w:rsidRDefault="00EC4113"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1960" w:type="dxa"/>
            <w:shd w:val="clear" w:color="000000" w:fill="002060"/>
            <w:vAlign w:val="center"/>
            <w:hideMark/>
          </w:tcPr>
          <w:p w14:paraId="6A46A6E7" w14:textId="77777777"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Informe de calidad</w:t>
            </w:r>
          </w:p>
        </w:tc>
        <w:tc>
          <w:tcPr>
            <w:tcW w:w="851" w:type="dxa"/>
            <w:shd w:val="clear" w:color="000000" w:fill="002060"/>
            <w:vAlign w:val="center"/>
            <w:hideMark/>
          </w:tcPr>
          <w:p w14:paraId="337DDF3C" w14:textId="77777777"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Ciclos</w:t>
            </w:r>
          </w:p>
        </w:tc>
        <w:tc>
          <w:tcPr>
            <w:tcW w:w="2126" w:type="dxa"/>
            <w:shd w:val="clear" w:color="000000" w:fill="002060"/>
            <w:vAlign w:val="center"/>
            <w:hideMark/>
          </w:tcPr>
          <w:p w14:paraId="7EE9C92D" w14:textId="7C1867BF"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I</w:t>
            </w:r>
            <w:r w:rsidR="00C43585" w:rsidRPr="009A501D">
              <w:rPr>
                <w:rFonts w:ascii="Century Gothic" w:hAnsi="Century Gothic" w:cs="Calibri"/>
                <w:b/>
                <w:color w:val="FFFFFF"/>
                <w:sz w:val="16"/>
                <w:szCs w:val="16"/>
              </w:rPr>
              <w:t>ndicadores</w:t>
            </w:r>
            <w:r w:rsidR="00EA5C0F" w:rsidRPr="009A501D">
              <w:rPr>
                <w:rFonts w:ascii="Century Gothic" w:hAnsi="Century Gothic" w:cs="Calibri"/>
                <w:b/>
                <w:bCs/>
                <w:color w:val="FFFFFF"/>
                <w:sz w:val="16"/>
                <w:szCs w:val="16"/>
              </w:rPr>
              <w:t>-objetivo</w:t>
            </w:r>
          </w:p>
        </w:tc>
        <w:tc>
          <w:tcPr>
            <w:tcW w:w="1985" w:type="dxa"/>
            <w:shd w:val="clear" w:color="000000" w:fill="002060"/>
            <w:vAlign w:val="center"/>
            <w:hideMark/>
          </w:tcPr>
          <w:p w14:paraId="69D7AF04" w14:textId="77777777"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Dominios de Estudio</w:t>
            </w:r>
          </w:p>
        </w:tc>
        <w:tc>
          <w:tcPr>
            <w:tcW w:w="1275" w:type="dxa"/>
            <w:shd w:val="clear" w:color="000000" w:fill="002060"/>
            <w:vAlign w:val="center"/>
            <w:hideMark/>
          </w:tcPr>
          <w:p w14:paraId="12622D68" w14:textId="2BBC3FF5" w:rsidR="005A1399" w:rsidRPr="009A501D" w:rsidRDefault="005A1399" w:rsidP="00A32765">
            <w:pPr>
              <w:spacing w:after="0"/>
              <w:jc w:val="center"/>
              <w:rPr>
                <w:rFonts w:ascii="Century Gothic" w:hAnsi="Century Gothic" w:cs="Calibri"/>
                <w:b/>
                <w:color w:val="FFFFFF"/>
                <w:sz w:val="16"/>
                <w:szCs w:val="16"/>
              </w:rPr>
            </w:pPr>
            <w:r w:rsidRPr="009A501D">
              <w:rPr>
                <w:rFonts w:ascii="Century Gothic" w:hAnsi="Century Gothic" w:cs="Calibri"/>
                <w:b/>
                <w:color w:val="FFFFFF"/>
                <w:sz w:val="16"/>
                <w:szCs w:val="16"/>
              </w:rPr>
              <w:t xml:space="preserve">Casos </w:t>
            </w:r>
          </w:p>
        </w:tc>
      </w:tr>
      <w:tr w:rsidR="00C43585" w:rsidRPr="009A501D" w14:paraId="3B0C8DCE" w14:textId="77777777" w:rsidTr="009D02D7">
        <w:trPr>
          <w:trHeight w:val="284"/>
          <w:jc w:val="center"/>
        </w:trPr>
        <w:tc>
          <w:tcPr>
            <w:tcW w:w="1000" w:type="dxa"/>
            <w:vMerge w:val="restart"/>
            <w:shd w:val="clear" w:color="auto" w:fill="F2F2F2" w:themeFill="background1" w:themeFillShade="F2"/>
            <w:noWrap/>
            <w:vAlign w:val="center"/>
            <w:hideMark/>
          </w:tcPr>
          <w:p w14:paraId="27F9C7B0"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188" w:type="dxa"/>
            <w:vMerge w:val="restart"/>
            <w:shd w:val="clear" w:color="auto" w:fill="F2F2F2" w:themeFill="background1" w:themeFillShade="F2"/>
            <w:noWrap/>
            <w:vAlign w:val="center"/>
            <w:hideMark/>
          </w:tcPr>
          <w:p w14:paraId="346E7CE9"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950" w:type="dxa"/>
            <w:vMerge w:val="restart"/>
            <w:shd w:val="clear" w:color="auto" w:fill="F2F2F2" w:themeFill="background1" w:themeFillShade="F2"/>
            <w:noWrap/>
            <w:vAlign w:val="center"/>
            <w:hideMark/>
          </w:tcPr>
          <w:p w14:paraId="0DBAC58C"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ENVE</w:t>
            </w:r>
          </w:p>
        </w:tc>
        <w:tc>
          <w:tcPr>
            <w:tcW w:w="1960" w:type="dxa"/>
            <w:shd w:val="clear" w:color="auto" w:fill="F2F2F2" w:themeFill="background1" w:themeFillShade="F2"/>
            <w:noWrap/>
            <w:vAlign w:val="center"/>
            <w:hideMark/>
          </w:tcPr>
          <w:p w14:paraId="51394999"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Informe2020</w:t>
            </w:r>
          </w:p>
        </w:tc>
        <w:tc>
          <w:tcPr>
            <w:tcW w:w="851" w:type="dxa"/>
            <w:shd w:val="clear" w:color="auto" w:fill="F2F2F2" w:themeFill="background1" w:themeFillShade="F2"/>
            <w:noWrap/>
            <w:vAlign w:val="center"/>
            <w:hideMark/>
          </w:tcPr>
          <w:p w14:paraId="1DC96633"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2126" w:type="dxa"/>
            <w:shd w:val="clear" w:color="auto" w:fill="F2F2F2" w:themeFill="background1" w:themeFillShade="F2"/>
            <w:noWrap/>
            <w:vAlign w:val="center"/>
            <w:hideMark/>
          </w:tcPr>
          <w:p w14:paraId="5262706B"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1985" w:type="dxa"/>
            <w:shd w:val="clear" w:color="auto" w:fill="F2F2F2" w:themeFill="background1" w:themeFillShade="F2"/>
            <w:noWrap/>
            <w:vAlign w:val="center"/>
            <w:hideMark/>
          </w:tcPr>
          <w:p w14:paraId="257F9410"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1275" w:type="dxa"/>
            <w:shd w:val="clear" w:color="auto" w:fill="F2F2F2" w:themeFill="background1" w:themeFillShade="F2"/>
            <w:noWrap/>
            <w:vAlign w:val="center"/>
            <w:hideMark/>
          </w:tcPr>
          <w:p w14:paraId="2A5FDF76"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66</w:t>
            </w:r>
          </w:p>
        </w:tc>
      </w:tr>
      <w:tr w:rsidR="00C43585" w:rsidRPr="009A501D" w14:paraId="764A99D1" w14:textId="77777777" w:rsidTr="009D02D7">
        <w:trPr>
          <w:trHeight w:val="284"/>
          <w:jc w:val="center"/>
        </w:trPr>
        <w:tc>
          <w:tcPr>
            <w:tcW w:w="1000" w:type="dxa"/>
            <w:vMerge/>
            <w:shd w:val="clear" w:color="auto" w:fill="F2F2F2" w:themeFill="background1" w:themeFillShade="F2"/>
            <w:vAlign w:val="center"/>
            <w:hideMark/>
          </w:tcPr>
          <w:p w14:paraId="6BA8ECCD" w14:textId="77777777" w:rsidR="005A1399" w:rsidRPr="009A501D" w:rsidRDefault="005A1399" w:rsidP="00072718">
            <w:pPr>
              <w:spacing w:after="0"/>
              <w:jc w:val="center"/>
              <w:rPr>
                <w:rFonts w:ascii="Century Gothic" w:hAnsi="Century Gothic" w:cs="Calibri"/>
                <w:color w:val="000000"/>
                <w:sz w:val="16"/>
                <w:szCs w:val="16"/>
              </w:rPr>
            </w:pPr>
          </w:p>
        </w:tc>
        <w:tc>
          <w:tcPr>
            <w:tcW w:w="1188" w:type="dxa"/>
            <w:vMerge/>
            <w:shd w:val="clear" w:color="auto" w:fill="F2F2F2" w:themeFill="background1" w:themeFillShade="F2"/>
            <w:vAlign w:val="center"/>
            <w:hideMark/>
          </w:tcPr>
          <w:p w14:paraId="4A9173ED" w14:textId="77777777" w:rsidR="005A1399" w:rsidRPr="009A501D" w:rsidRDefault="005A1399" w:rsidP="00072718">
            <w:pPr>
              <w:spacing w:after="0"/>
              <w:jc w:val="center"/>
              <w:rPr>
                <w:rFonts w:ascii="Century Gothic" w:hAnsi="Century Gothic" w:cs="Calibri"/>
                <w:color w:val="000000"/>
                <w:sz w:val="16"/>
                <w:szCs w:val="16"/>
              </w:rPr>
            </w:pPr>
          </w:p>
        </w:tc>
        <w:tc>
          <w:tcPr>
            <w:tcW w:w="950" w:type="dxa"/>
            <w:vMerge/>
            <w:shd w:val="clear" w:color="auto" w:fill="F2F2F2" w:themeFill="background1" w:themeFillShade="F2"/>
            <w:vAlign w:val="center"/>
            <w:hideMark/>
          </w:tcPr>
          <w:p w14:paraId="491923E3" w14:textId="77777777" w:rsidR="005A1399" w:rsidRPr="009A501D" w:rsidRDefault="005A1399" w:rsidP="00072718">
            <w:pPr>
              <w:spacing w:after="0"/>
              <w:jc w:val="center"/>
              <w:rPr>
                <w:rFonts w:ascii="Century Gothic" w:hAnsi="Century Gothic" w:cs="Calibri"/>
                <w:color w:val="000000"/>
                <w:sz w:val="16"/>
                <w:szCs w:val="16"/>
              </w:rPr>
            </w:pPr>
          </w:p>
        </w:tc>
        <w:tc>
          <w:tcPr>
            <w:tcW w:w="1960" w:type="dxa"/>
            <w:shd w:val="clear" w:color="auto" w:fill="F2F2F2" w:themeFill="background1" w:themeFillShade="F2"/>
            <w:noWrap/>
            <w:vAlign w:val="center"/>
            <w:hideMark/>
          </w:tcPr>
          <w:p w14:paraId="64829EAB"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Informe2022</w:t>
            </w:r>
          </w:p>
        </w:tc>
        <w:tc>
          <w:tcPr>
            <w:tcW w:w="851" w:type="dxa"/>
            <w:shd w:val="clear" w:color="auto" w:fill="F2F2F2" w:themeFill="background1" w:themeFillShade="F2"/>
            <w:noWrap/>
            <w:vAlign w:val="center"/>
            <w:hideMark/>
          </w:tcPr>
          <w:p w14:paraId="020DF2D9"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2126" w:type="dxa"/>
            <w:shd w:val="clear" w:color="auto" w:fill="F2F2F2" w:themeFill="background1" w:themeFillShade="F2"/>
            <w:noWrap/>
            <w:vAlign w:val="center"/>
            <w:hideMark/>
          </w:tcPr>
          <w:p w14:paraId="6C2A1172" w14:textId="77777777" w:rsidR="005A1399" w:rsidRPr="009A501D" w:rsidRDefault="005A1399" w:rsidP="00A32765">
            <w:pPr>
              <w:spacing w:after="0"/>
              <w:jc w:val="center"/>
              <w:rPr>
                <w:rFonts w:ascii="Century Gothic" w:hAnsi="Century Gothic" w:cs="Calibri"/>
                <w:b/>
                <w:color w:val="000000"/>
                <w:sz w:val="16"/>
                <w:szCs w:val="16"/>
              </w:rPr>
            </w:pPr>
            <w:r w:rsidRPr="009A501D">
              <w:rPr>
                <w:rFonts w:ascii="Century Gothic" w:hAnsi="Century Gothic" w:cs="Calibri"/>
                <w:b/>
                <w:color w:val="000000"/>
                <w:sz w:val="16"/>
                <w:szCs w:val="16"/>
              </w:rPr>
              <w:t>94</w:t>
            </w:r>
          </w:p>
        </w:tc>
        <w:tc>
          <w:tcPr>
            <w:tcW w:w="1985" w:type="dxa"/>
            <w:shd w:val="clear" w:color="auto" w:fill="F2F2F2" w:themeFill="background1" w:themeFillShade="F2"/>
            <w:noWrap/>
            <w:vAlign w:val="center"/>
            <w:hideMark/>
          </w:tcPr>
          <w:p w14:paraId="24EC3F79"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1275" w:type="dxa"/>
            <w:shd w:val="clear" w:color="auto" w:fill="F2F2F2" w:themeFill="background1" w:themeFillShade="F2"/>
            <w:noWrap/>
            <w:vAlign w:val="center"/>
            <w:hideMark/>
          </w:tcPr>
          <w:p w14:paraId="164BD582" w14:textId="77777777" w:rsidR="005A1399" w:rsidRPr="009A501D" w:rsidRDefault="005A1399" w:rsidP="00A32765">
            <w:pPr>
              <w:spacing w:after="0"/>
              <w:jc w:val="center"/>
              <w:rPr>
                <w:rFonts w:ascii="Century Gothic" w:hAnsi="Century Gothic" w:cs="Calibri"/>
                <w:b/>
                <w:color w:val="000000"/>
                <w:sz w:val="16"/>
                <w:szCs w:val="16"/>
              </w:rPr>
            </w:pPr>
            <w:r w:rsidRPr="009A501D">
              <w:rPr>
                <w:rFonts w:ascii="Century Gothic" w:hAnsi="Century Gothic" w:cs="Calibri"/>
                <w:b/>
                <w:color w:val="000000"/>
                <w:sz w:val="16"/>
                <w:szCs w:val="16"/>
              </w:rPr>
              <w:t>1461</w:t>
            </w:r>
          </w:p>
        </w:tc>
      </w:tr>
      <w:tr w:rsidR="005A1399" w:rsidRPr="009A501D" w14:paraId="718DE0AB" w14:textId="77777777" w:rsidTr="00C43585">
        <w:trPr>
          <w:trHeight w:val="284"/>
          <w:jc w:val="center"/>
        </w:trPr>
        <w:tc>
          <w:tcPr>
            <w:tcW w:w="1000" w:type="dxa"/>
            <w:vMerge w:val="restart"/>
            <w:shd w:val="clear" w:color="auto" w:fill="auto"/>
            <w:noWrap/>
            <w:vAlign w:val="center"/>
            <w:hideMark/>
          </w:tcPr>
          <w:p w14:paraId="26FBCC9B"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188" w:type="dxa"/>
            <w:vMerge w:val="restart"/>
            <w:shd w:val="clear" w:color="auto" w:fill="auto"/>
            <w:noWrap/>
            <w:vAlign w:val="center"/>
            <w:hideMark/>
          </w:tcPr>
          <w:p w14:paraId="24E51C85"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950" w:type="dxa"/>
            <w:vMerge w:val="restart"/>
            <w:shd w:val="clear" w:color="auto" w:fill="auto"/>
            <w:noWrap/>
            <w:vAlign w:val="center"/>
            <w:hideMark/>
          </w:tcPr>
          <w:p w14:paraId="0483D55D"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ENVIPE</w:t>
            </w:r>
          </w:p>
        </w:tc>
        <w:tc>
          <w:tcPr>
            <w:tcW w:w="1960" w:type="dxa"/>
            <w:shd w:val="clear" w:color="auto" w:fill="auto"/>
            <w:noWrap/>
            <w:vAlign w:val="center"/>
            <w:hideMark/>
          </w:tcPr>
          <w:p w14:paraId="509D095B"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Informe2021</w:t>
            </w:r>
          </w:p>
        </w:tc>
        <w:tc>
          <w:tcPr>
            <w:tcW w:w="851" w:type="dxa"/>
            <w:shd w:val="clear" w:color="auto" w:fill="auto"/>
            <w:noWrap/>
            <w:vAlign w:val="center"/>
            <w:hideMark/>
          </w:tcPr>
          <w:p w14:paraId="337CC738"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2126" w:type="dxa"/>
            <w:shd w:val="clear" w:color="auto" w:fill="auto"/>
            <w:noWrap/>
            <w:vAlign w:val="center"/>
            <w:hideMark/>
          </w:tcPr>
          <w:p w14:paraId="54F37D0B"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1985" w:type="dxa"/>
            <w:shd w:val="clear" w:color="auto" w:fill="auto"/>
            <w:noWrap/>
            <w:vAlign w:val="center"/>
            <w:hideMark/>
          </w:tcPr>
          <w:p w14:paraId="1C10F6B3"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1275" w:type="dxa"/>
            <w:shd w:val="clear" w:color="auto" w:fill="auto"/>
            <w:noWrap/>
            <w:vAlign w:val="center"/>
            <w:hideMark/>
          </w:tcPr>
          <w:p w14:paraId="51D4F37D"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99</w:t>
            </w:r>
          </w:p>
        </w:tc>
      </w:tr>
      <w:tr w:rsidR="005A1399" w:rsidRPr="009A501D" w14:paraId="4BB56D0D" w14:textId="77777777" w:rsidTr="00C43585">
        <w:trPr>
          <w:trHeight w:val="284"/>
          <w:jc w:val="center"/>
        </w:trPr>
        <w:tc>
          <w:tcPr>
            <w:tcW w:w="1000" w:type="dxa"/>
            <w:vMerge/>
            <w:vAlign w:val="center"/>
            <w:hideMark/>
          </w:tcPr>
          <w:p w14:paraId="6AF0ED4A" w14:textId="77777777" w:rsidR="005A1399" w:rsidRPr="009A501D" w:rsidRDefault="005A1399" w:rsidP="00072718">
            <w:pPr>
              <w:spacing w:after="0"/>
              <w:jc w:val="center"/>
              <w:rPr>
                <w:rFonts w:ascii="Century Gothic" w:hAnsi="Century Gothic" w:cs="Calibri"/>
                <w:color w:val="000000"/>
                <w:sz w:val="16"/>
                <w:szCs w:val="16"/>
              </w:rPr>
            </w:pPr>
          </w:p>
        </w:tc>
        <w:tc>
          <w:tcPr>
            <w:tcW w:w="1188" w:type="dxa"/>
            <w:vMerge/>
            <w:vAlign w:val="center"/>
            <w:hideMark/>
          </w:tcPr>
          <w:p w14:paraId="37CC22C0" w14:textId="77777777" w:rsidR="005A1399" w:rsidRPr="009A501D" w:rsidRDefault="005A1399" w:rsidP="00072718">
            <w:pPr>
              <w:spacing w:after="0"/>
              <w:jc w:val="center"/>
              <w:rPr>
                <w:rFonts w:ascii="Century Gothic" w:hAnsi="Century Gothic" w:cs="Calibri"/>
                <w:color w:val="000000"/>
                <w:sz w:val="16"/>
                <w:szCs w:val="16"/>
              </w:rPr>
            </w:pPr>
          </w:p>
        </w:tc>
        <w:tc>
          <w:tcPr>
            <w:tcW w:w="950" w:type="dxa"/>
            <w:vMerge/>
            <w:vAlign w:val="center"/>
            <w:hideMark/>
          </w:tcPr>
          <w:p w14:paraId="2D5DE4C3" w14:textId="77777777" w:rsidR="005A1399" w:rsidRPr="009A501D" w:rsidRDefault="005A1399" w:rsidP="00072718">
            <w:pPr>
              <w:spacing w:after="0"/>
              <w:jc w:val="center"/>
              <w:rPr>
                <w:rFonts w:ascii="Century Gothic" w:hAnsi="Century Gothic" w:cs="Calibri"/>
                <w:color w:val="000000"/>
                <w:sz w:val="16"/>
                <w:szCs w:val="16"/>
              </w:rPr>
            </w:pPr>
          </w:p>
        </w:tc>
        <w:tc>
          <w:tcPr>
            <w:tcW w:w="1960" w:type="dxa"/>
            <w:shd w:val="clear" w:color="auto" w:fill="auto"/>
            <w:noWrap/>
            <w:vAlign w:val="center"/>
            <w:hideMark/>
          </w:tcPr>
          <w:p w14:paraId="061DCB7C"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Informe2022</w:t>
            </w:r>
          </w:p>
        </w:tc>
        <w:tc>
          <w:tcPr>
            <w:tcW w:w="851" w:type="dxa"/>
            <w:shd w:val="clear" w:color="auto" w:fill="auto"/>
            <w:noWrap/>
            <w:vAlign w:val="center"/>
            <w:hideMark/>
          </w:tcPr>
          <w:p w14:paraId="401401D4"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2126" w:type="dxa"/>
            <w:shd w:val="clear" w:color="auto" w:fill="auto"/>
            <w:noWrap/>
            <w:vAlign w:val="center"/>
            <w:hideMark/>
          </w:tcPr>
          <w:p w14:paraId="5A96FB2E" w14:textId="77777777" w:rsidR="005A1399" w:rsidRPr="009A501D" w:rsidRDefault="005A1399" w:rsidP="00A32765">
            <w:pPr>
              <w:spacing w:after="0"/>
              <w:jc w:val="center"/>
              <w:rPr>
                <w:rFonts w:ascii="Century Gothic" w:hAnsi="Century Gothic" w:cs="Calibri"/>
                <w:b/>
                <w:color w:val="000000"/>
                <w:sz w:val="16"/>
                <w:szCs w:val="16"/>
              </w:rPr>
            </w:pPr>
            <w:r w:rsidRPr="009A501D">
              <w:rPr>
                <w:rFonts w:ascii="Century Gothic" w:hAnsi="Century Gothic" w:cs="Calibri"/>
                <w:b/>
                <w:color w:val="000000"/>
                <w:sz w:val="16"/>
                <w:szCs w:val="16"/>
              </w:rPr>
              <w:t>73</w:t>
            </w:r>
          </w:p>
        </w:tc>
        <w:tc>
          <w:tcPr>
            <w:tcW w:w="1985" w:type="dxa"/>
            <w:shd w:val="clear" w:color="auto" w:fill="auto"/>
            <w:noWrap/>
            <w:vAlign w:val="center"/>
            <w:hideMark/>
          </w:tcPr>
          <w:p w14:paraId="6D2EF364"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1275" w:type="dxa"/>
            <w:shd w:val="clear" w:color="auto" w:fill="auto"/>
            <w:noWrap/>
            <w:vAlign w:val="center"/>
            <w:hideMark/>
          </w:tcPr>
          <w:p w14:paraId="3D3C41CF" w14:textId="77777777" w:rsidR="005A1399" w:rsidRPr="009A501D" w:rsidRDefault="005A1399" w:rsidP="00A32765">
            <w:pPr>
              <w:spacing w:after="0"/>
              <w:jc w:val="center"/>
              <w:rPr>
                <w:rFonts w:ascii="Century Gothic" w:hAnsi="Century Gothic" w:cs="Calibri"/>
                <w:b/>
                <w:color w:val="000000"/>
                <w:sz w:val="16"/>
                <w:szCs w:val="16"/>
              </w:rPr>
            </w:pPr>
            <w:r w:rsidRPr="009A501D">
              <w:rPr>
                <w:rFonts w:ascii="Century Gothic" w:hAnsi="Century Gothic" w:cs="Calibri"/>
                <w:b/>
                <w:color w:val="000000"/>
                <w:sz w:val="16"/>
                <w:szCs w:val="16"/>
              </w:rPr>
              <w:t>2085</w:t>
            </w:r>
          </w:p>
        </w:tc>
      </w:tr>
      <w:tr w:rsidR="00C43585" w:rsidRPr="009A501D" w14:paraId="79981679" w14:textId="77777777" w:rsidTr="009D02D7">
        <w:trPr>
          <w:trHeight w:val="284"/>
          <w:jc w:val="center"/>
        </w:trPr>
        <w:tc>
          <w:tcPr>
            <w:tcW w:w="1000" w:type="dxa"/>
            <w:vMerge w:val="restart"/>
            <w:shd w:val="clear" w:color="auto" w:fill="F2F2F2" w:themeFill="background1" w:themeFillShade="F2"/>
            <w:noWrap/>
            <w:vAlign w:val="center"/>
            <w:hideMark/>
          </w:tcPr>
          <w:p w14:paraId="0A25772C"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1188" w:type="dxa"/>
            <w:vMerge w:val="restart"/>
            <w:shd w:val="clear" w:color="auto" w:fill="F2F2F2" w:themeFill="background1" w:themeFillShade="F2"/>
            <w:noWrap/>
            <w:vAlign w:val="center"/>
            <w:hideMark/>
          </w:tcPr>
          <w:p w14:paraId="5A599897"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950" w:type="dxa"/>
            <w:vMerge w:val="restart"/>
            <w:shd w:val="clear" w:color="auto" w:fill="F2F2F2" w:themeFill="background1" w:themeFillShade="F2"/>
            <w:noWrap/>
            <w:vAlign w:val="center"/>
            <w:hideMark/>
          </w:tcPr>
          <w:p w14:paraId="3A3FCF3E"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ENSU</w:t>
            </w:r>
          </w:p>
        </w:tc>
        <w:tc>
          <w:tcPr>
            <w:tcW w:w="1960" w:type="dxa"/>
            <w:shd w:val="clear" w:color="auto" w:fill="F2F2F2" w:themeFill="background1" w:themeFillShade="F2"/>
            <w:noWrap/>
            <w:vAlign w:val="center"/>
            <w:hideMark/>
          </w:tcPr>
          <w:p w14:paraId="3CFE5710"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Informe2021</w:t>
            </w:r>
          </w:p>
        </w:tc>
        <w:tc>
          <w:tcPr>
            <w:tcW w:w="851" w:type="dxa"/>
            <w:shd w:val="clear" w:color="auto" w:fill="F2F2F2" w:themeFill="background1" w:themeFillShade="F2"/>
            <w:noWrap/>
            <w:vAlign w:val="center"/>
            <w:hideMark/>
          </w:tcPr>
          <w:p w14:paraId="045EDCFA"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2126" w:type="dxa"/>
            <w:shd w:val="clear" w:color="auto" w:fill="F2F2F2" w:themeFill="background1" w:themeFillShade="F2"/>
            <w:noWrap/>
            <w:vAlign w:val="center"/>
            <w:hideMark/>
          </w:tcPr>
          <w:p w14:paraId="46502655"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1985" w:type="dxa"/>
            <w:shd w:val="clear" w:color="auto" w:fill="F2F2F2" w:themeFill="background1" w:themeFillShade="F2"/>
            <w:noWrap/>
            <w:vAlign w:val="center"/>
            <w:hideMark/>
          </w:tcPr>
          <w:p w14:paraId="0BDB579C"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91</w:t>
            </w:r>
          </w:p>
        </w:tc>
        <w:tc>
          <w:tcPr>
            <w:tcW w:w="1275" w:type="dxa"/>
            <w:shd w:val="clear" w:color="auto" w:fill="F2F2F2" w:themeFill="background1" w:themeFillShade="F2"/>
            <w:noWrap/>
            <w:vAlign w:val="center"/>
            <w:hideMark/>
          </w:tcPr>
          <w:p w14:paraId="78BCAF25"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1412</w:t>
            </w:r>
          </w:p>
        </w:tc>
      </w:tr>
      <w:tr w:rsidR="00C43585" w:rsidRPr="009A501D" w14:paraId="193D9AF8" w14:textId="77777777" w:rsidTr="009D02D7">
        <w:trPr>
          <w:trHeight w:val="284"/>
          <w:jc w:val="center"/>
        </w:trPr>
        <w:tc>
          <w:tcPr>
            <w:tcW w:w="1000" w:type="dxa"/>
            <w:vMerge/>
            <w:shd w:val="clear" w:color="auto" w:fill="F2F2F2" w:themeFill="background1" w:themeFillShade="F2"/>
            <w:vAlign w:val="center"/>
            <w:hideMark/>
          </w:tcPr>
          <w:p w14:paraId="5AA31FDC" w14:textId="77777777" w:rsidR="005A1399" w:rsidRPr="009A501D" w:rsidRDefault="005A1399" w:rsidP="00072718">
            <w:pPr>
              <w:spacing w:after="0"/>
              <w:jc w:val="center"/>
              <w:rPr>
                <w:rFonts w:ascii="Century Gothic" w:hAnsi="Century Gothic" w:cs="Calibri"/>
                <w:color w:val="000000"/>
                <w:sz w:val="16"/>
                <w:szCs w:val="16"/>
              </w:rPr>
            </w:pPr>
          </w:p>
        </w:tc>
        <w:tc>
          <w:tcPr>
            <w:tcW w:w="1188" w:type="dxa"/>
            <w:vMerge/>
            <w:shd w:val="clear" w:color="auto" w:fill="F2F2F2" w:themeFill="background1" w:themeFillShade="F2"/>
            <w:vAlign w:val="center"/>
            <w:hideMark/>
          </w:tcPr>
          <w:p w14:paraId="3F0A1729" w14:textId="77777777" w:rsidR="005A1399" w:rsidRPr="009A501D" w:rsidRDefault="005A1399" w:rsidP="00072718">
            <w:pPr>
              <w:spacing w:after="0"/>
              <w:jc w:val="center"/>
              <w:rPr>
                <w:rFonts w:ascii="Century Gothic" w:hAnsi="Century Gothic" w:cs="Calibri"/>
                <w:color w:val="000000"/>
                <w:sz w:val="16"/>
                <w:szCs w:val="16"/>
              </w:rPr>
            </w:pPr>
          </w:p>
        </w:tc>
        <w:tc>
          <w:tcPr>
            <w:tcW w:w="950" w:type="dxa"/>
            <w:vMerge/>
            <w:shd w:val="clear" w:color="auto" w:fill="F2F2F2" w:themeFill="background1" w:themeFillShade="F2"/>
            <w:vAlign w:val="center"/>
            <w:hideMark/>
          </w:tcPr>
          <w:p w14:paraId="01274A61" w14:textId="77777777" w:rsidR="005A1399" w:rsidRPr="009A501D" w:rsidRDefault="005A1399" w:rsidP="00072718">
            <w:pPr>
              <w:spacing w:after="0"/>
              <w:jc w:val="center"/>
              <w:rPr>
                <w:rFonts w:ascii="Century Gothic" w:hAnsi="Century Gothic" w:cs="Calibri"/>
                <w:color w:val="000000"/>
                <w:sz w:val="16"/>
                <w:szCs w:val="16"/>
              </w:rPr>
            </w:pPr>
          </w:p>
        </w:tc>
        <w:tc>
          <w:tcPr>
            <w:tcW w:w="1960" w:type="dxa"/>
            <w:shd w:val="clear" w:color="auto" w:fill="F2F2F2" w:themeFill="background1" w:themeFillShade="F2"/>
            <w:noWrap/>
            <w:vAlign w:val="center"/>
            <w:hideMark/>
          </w:tcPr>
          <w:p w14:paraId="5B5D0D7B" w14:textId="77777777" w:rsidR="005A1399" w:rsidRPr="009A501D" w:rsidRDefault="005A1399" w:rsidP="00072718">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Informe2022</w:t>
            </w:r>
          </w:p>
        </w:tc>
        <w:tc>
          <w:tcPr>
            <w:tcW w:w="851" w:type="dxa"/>
            <w:shd w:val="clear" w:color="auto" w:fill="F2F2F2" w:themeFill="background1" w:themeFillShade="F2"/>
            <w:noWrap/>
            <w:vAlign w:val="center"/>
            <w:hideMark/>
          </w:tcPr>
          <w:p w14:paraId="1BDB01E7"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2126" w:type="dxa"/>
            <w:shd w:val="clear" w:color="auto" w:fill="F2F2F2" w:themeFill="background1" w:themeFillShade="F2"/>
            <w:noWrap/>
            <w:vAlign w:val="center"/>
            <w:hideMark/>
          </w:tcPr>
          <w:p w14:paraId="3BE4AE2B" w14:textId="77777777" w:rsidR="005A1399" w:rsidRPr="009A501D" w:rsidRDefault="005A1399" w:rsidP="00A32765">
            <w:pPr>
              <w:spacing w:after="0"/>
              <w:jc w:val="center"/>
              <w:rPr>
                <w:rFonts w:ascii="Century Gothic" w:hAnsi="Century Gothic" w:cs="Calibri"/>
                <w:b/>
                <w:color w:val="000000"/>
                <w:sz w:val="16"/>
                <w:szCs w:val="16"/>
              </w:rPr>
            </w:pPr>
            <w:r w:rsidRPr="009A501D">
              <w:rPr>
                <w:rFonts w:ascii="Century Gothic" w:hAnsi="Century Gothic" w:cs="Calibri"/>
                <w:b/>
                <w:color w:val="000000"/>
                <w:sz w:val="16"/>
                <w:szCs w:val="16"/>
              </w:rPr>
              <w:t>79</w:t>
            </w:r>
          </w:p>
        </w:tc>
        <w:tc>
          <w:tcPr>
            <w:tcW w:w="1985" w:type="dxa"/>
            <w:shd w:val="clear" w:color="auto" w:fill="F2F2F2" w:themeFill="background1" w:themeFillShade="F2"/>
            <w:noWrap/>
            <w:vAlign w:val="center"/>
            <w:hideMark/>
          </w:tcPr>
          <w:p w14:paraId="4EFA8AC0" w14:textId="77777777" w:rsidR="005A1399" w:rsidRPr="009A501D" w:rsidRDefault="005A1399" w:rsidP="00A32765">
            <w:pPr>
              <w:spacing w:after="0"/>
              <w:jc w:val="center"/>
              <w:rPr>
                <w:rFonts w:ascii="Century Gothic" w:hAnsi="Century Gothic" w:cs="Calibri"/>
                <w:color w:val="000000"/>
                <w:sz w:val="16"/>
                <w:szCs w:val="16"/>
              </w:rPr>
            </w:pPr>
            <w:r w:rsidRPr="009A501D">
              <w:rPr>
                <w:rFonts w:ascii="Century Gothic" w:hAnsi="Century Gothic" w:cs="Calibri"/>
                <w:color w:val="000000"/>
                <w:sz w:val="16"/>
                <w:szCs w:val="16"/>
              </w:rPr>
              <w:t>91</w:t>
            </w:r>
          </w:p>
        </w:tc>
        <w:tc>
          <w:tcPr>
            <w:tcW w:w="1275" w:type="dxa"/>
            <w:shd w:val="clear" w:color="auto" w:fill="F2F2F2" w:themeFill="background1" w:themeFillShade="F2"/>
            <w:noWrap/>
            <w:vAlign w:val="center"/>
            <w:hideMark/>
          </w:tcPr>
          <w:p w14:paraId="7CA9CD80" w14:textId="77777777" w:rsidR="005A1399" w:rsidRPr="009A501D" w:rsidRDefault="005A1399" w:rsidP="00A32765">
            <w:pPr>
              <w:spacing w:after="0"/>
              <w:jc w:val="center"/>
              <w:rPr>
                <w:rFonts w:ascii="Century Gothic" w:hAnsi="Century Gothic" w:cs="Calibri"/>
                <w:b/>
                <w:color w:val="000000"/>
                <w:sz w:val="16"/>
                <w:szCs w:val="16"/>
              </w:rPr>
            </w:pPr>
            <w:r w:rsidRPr="009A501D">
              <w:rPr>
                <w:rFonts w:ascii="Century Gothic" w:hAnsi="Century Gothic" w:cs="Calibri"/>
                <w:b/>
                <w:color w:val="000000"/>
                <w:sz w:val="16"/>
                <w:szCs w:val="16"/>
              </w:rPr>
              <w:t>3988</w:t>
            </w:r>
          </w:p>
        </w:tc>
      </w:tr>
    </w:tbl>
    <w:p w14:paraId="1499ABAA" w14:textId="77777777" w:rsidR="005A1399" w:rsidRPr="009A501D" w:rsidRDefault="005A1399" w:rsidP="00664A1D">
      <w:pPr>
        <w:spacing w:before="240"/>
        <w:jc w:val="both"/>
        <w:rPr>
          <w:rFonts w:ascii="Century Gothic" w:hAnsi="Century Gothic" w:cstheme="majorHAnsi"/>
          <w:b/>
          <w:sz w:val="19"/>
          <w:szCs w:val="19"/>
        </w:rPr>
      </w:pPr>
      <w:r w:rsidRPr="009A501D">
        <w:rPr>
          <w:rFonts w:ascii="Century Gothic" w:hAnsi="Century Gothic" w:cstheme="majorHAnsi"/>
          <w:b/>
          <w:sz w:val="19"/>
          <w:szCs w:val="19"/>
        </w:rPr>
        <w:t>INDICADORES DE USO INTERNO</w:t>
      </w:r>
    </w:p>
    <w:p w14:paraId="5720F020" w14:textId="77777777" w:rsidR="005A1399" w:rsidRPr="009A501D" w:rsidRDefault="005A1399" w:rsidP="00664A1D">
      <w:pPr>
        <w:spacing w:before="240"/>
        <w:jc w:val="both"/>
        <w:rPr>
          <w:rFonts w:ascii="Century Gothic" w:hAnsi="Century Gothic" w:cstheme="majorHAnsi"/>
          <w:sz w:val="19"/>
          <w:szCs w:val="19"/>
        </w:rPr>
      </w:pPr>
      <w:r w:rsidRPr="009A501D">
        <w:rPr>
          <w:rFonts w:ascii="Century Gothic" w:hAnsi="Century Gothic" w:cstheme="majorHAnsi"/>
          <w:sz w:val="19"/>
          <w:szCs w:val="19"/>
        </w:rPr>
        <w:t xml:space="preserve">El primer indicador de uso interno es la </w:t>
      </w:r>
      <w:r w:rsidRPr="009A501D">
        <w:rPr>
          <w:rFonts w:ascii="Century Gothic" w:hAnsi="Century Gothic" w:cstheme="majorHAnsi"/>
          <w:i/>
          <w:iCs/>
          <w:sz w:val="19"/>
          <w:szCs w:val="19"/>
        </w:rPr>
        <w:t>tasa de sobrecobertura</w:t>
      </w:r>
      <w:r w:rsidRPr="009A501D">
        <w:rPr>
          <w:rFonts w:ascii="Century Gothic" w:hAnsi="Century Gothic" w:cstheme="majorHAnsi"/>
          <w:sz w:val="19"/>
          <w:szCs w:val="19"/>
        </w:rPr>
        <w:t>, que mide el grado en que el marco de referencia incluye población que no pertenece a la población objeto de estudio; es decir, refleja el grado en que se ha ido perdiendo vigencia.</w:t>
      </w:r>
    </w:p>
    <w:p w14:paraId="583D5179" w14:textId="7B452EAD" w:rsidR="005A1399" w:rsidRPr="009A501D" w:rsidRDefault="005A1399" w:rsidP="00664A1D">
      <w:pPr>
        <w:spacing w:before="240"/>
        <w:jc w:val="both"/>
        <w:rPr>
          <w:rFonts w:ascii="Century Gothic" w:hAnsi="Century Gothic" w:cstheme="majorHAnsi"/>
          <w:sz w:val="19"/>
          <w:szCs w:val="19"/>
        </w:rPr>
      </w:pPr>
      <w:r w:rsidRPr="009A501D">
        <w:rPr>
          <w:rFonts w:ascii="Century Gothic" w:hAnsi="Century Gothic" w:cstheme="majorHAnsi"/>
          <w:sz w:val="19"/>
          <w:szCs w:val="19"/>
        </w:rPr>
        <w:t xml:space="preserve">La no respuesta o existencia de valores perdidos está presente en todo </w:t>
      </w:r>
      <w:r w:rsidR="00EC4113" w:rsidRPr="009A501D">
        <w:rPr>
          <w:rFonts w:ascii="Century Gothic" w:hAnsi="Century Gothic" w:cstheme="majorHAnsi"/>
          <w:sz w:val="19"/>
          <w:szCs w:val="19"/>
        </w:rPr>
        <w:t>proceso de producción</w:t>
      </w:r>
      <w:r w:rsidRPr="009A501D">
        <w:rPr>
          <w:rFonts w:ascii="Century Gothic" w:hAnsi="Century Gothic" w:cstheme="majorHAnsi"/>
          <w:sz w:val="19"/>
          <w:szCs w:val="19"/>
        </w:rPr>
        <w:t xml:space="preserve"> y puede inducir un sesgo en las estimaciones o estadísticas que se generen. Para este indicador no se adopta un valor de referencia; sin embargo, es deseable que no se supere el porcentaje que se utilizó en el cálculo de la muestra, es decir, la </w:t>
      </w:r>
      <w:r w:rsidRPr="009A501D">
        <w:rPr>
          <w:rFonts w:ascii="Century Gothic" w:hAnsi="Century Gothic" w:cstheme="majorHAnsi"/>
          <w:i/>
          <w:iCs/>
          <w:sz w:val="19"/>
          <w:szCs w:val="19"/>
        </w:rPr>
        <w:t>tasa de no respuesta máxima esperada</w:t>
      </w:r>
      <w:r w:rsidRPr="009A501D">
        <w:rPr>
          <w:rFonts w:ascii="Century Gothic" w:hAnsi="Century Gothic" w:cstheme="majorHAnsi"/>
          <w:sz w:val="19"/>
          <w:szCs w:val="19"/>
        </w:rPr>
        <w:t xml:space="preserve"> establecida en el diseño muestral para cada </w:t>
      </w:r>
      <w:r w:rsidR="00EC4113" w:rsidRPr="009A501D">
        <w:rPr>
          <w:rFonts w:ascii="Century Gothic" w:hAnsi="Century Gothic" w:cstheme="majorHAnsi"/>
          <w:sz w:val="19"/>
          <w:szCs w:val="19"/>
        </w:rPr>
        <w:t>proceso de producción</w:t>
      </w:r>
      <w:r w:rsidRPr="009A501D">
        <w:rPr>
          <w:rFonts w:ascii="Century Gothic" w:hAnsi="Century Gothic" w:cstheme="majorHAnsi"/>
          <w:sz w:val="19"/>
          <w:szCs w:val="19"/>
        </w:rPr>
        <w:t xml:space="preserve">. </w:t>
      </w:r>
      <w:r w:rsidRPr="009A501D">
        <w:rPr>
          <w:rFonts w:ascii="Century Gothic" w:hAnsi="Century Gothic" w:cstheme="majorHAnsi"/>
          <w:i/>
          <w:iCs/>
          <w:sz w:val="19"/>
          <w:szCs w:val="19"/>
        </w:rPr>
        <w:t>Tasas de no respuesta</w:t>
      </w:r>
      <w:r w:rsidRPr="009A501D">
        <w:rPr>
          <w:rFonts w:ascii="Century Gothic" w:hAnsi="Century Gothic" w:cstheme="majorHAnsi"/>
          <w:sz w:val="19"/>
          <w:szCs w:val="19"/>
        </w:rPr>
        <w:t xml:space="preserve"> superiores podrían comprometer la confiabilidad estadística de las estimaciones y, por tanto, el incumplimiento de los objetivos del </w:t>
      </w:r>
      <w:r w:rsidR="00EC4113" w:rsidRPr="009A501D">
        <w:rPr>
          <w:rFonts w:ascii="Century Gothic" w:hAnsi="Century Gothic" w:cstheme="majorHAnsi"/>
          <w:sz w:val="19"/>
          <w:szCs w:val="19"/>
        </w:rPr>
        <w:t>proceso</w:t>
      </w:r>
      <w:r w:rsidRPr="009A501D">
        <w:rPr>
          <w:rFonts w:ascii="Century Gothic" w:hAnsi="Century Gothic" w:cstheme="majorHAnsi"/>
          <w:sz w:val="19"/>
          <w:szCs w:val="19"/>
        </w:rPr>
        <w:t>.</w:t>
      </w:r>
    </w:p>
    <w:p w14:paraId="0A442FEC" w14:textId="74515552" w:rsidR="005A1399" w:rsidRPr="009A501D" w:rsidRDefault="005A1399" w:rsidP="00664A1D">
      <w:pPr>
        <w:spacing w:before="240"/>
        <w:jc w:val="both"/>
        <w:rPr>
          <w:rFonts w:ascii="Century Gothic" w:hAnsi="Century Gothic" w:cstheme="majorHAnsi"/>
          <w:sz w:val="19"/>
          <w:szCs w:val="19"/>
        </w:rPr>
      </w:pPr>
      <w:r w:rsidRPr="009A501D">
        <w:rPr>
          <w:rFonts w:ascii="Century Gothic" w:hAnsi="Century Gothic" w:cstheme="majorHAnsi"/>
          <w:sz w:val="19"/>
          <w:szCs w:val="19"/>
        </w:rPr>
        <w:t xml:space="preserve">Como complemento al análisis de la no respuesta, la </w:t>
      </w:r>
      <w:r w:rsidRPr="009A501D">
        <w:rPr>
          <w:rFonts w:ascii="Century Gothic" w:hAnsi="Century Gothic" w:cstheme="majorHAnsi"/>
          <w:i/>
          <w:iCs/>
          <w:sz w:val="19"/>
          <w:szCs w:val="19"/>
        </w:rPr>
        <w:t>tasa de cumplimiento de la muestra mínima antes de imputación a nivel unidad de observación</w:t>
      </w:r>
      <w:r w:rsidRPr="009A501D">
        <w:rPr>
          <w:rFonts w:ascii="Century Gothic" w:hAnsi="Century Gothic" w:cstheme="majorHAnsi"/>
          <w:sz w:val="19"/>
          <w:szCs w:val="19"/>
        </w:rPr>
        <w:t xml:space="preserve"> tiene el objetivo de verificar la obtención de la muestra mínima necesaria para cumplir con los parámetros de precisión y confiabilidad comprometidos en el diseño muestral para cada </w:t>
      </w:r>
      <w:r w:rsidR="00EC4113" w:rsidRPr="009A501D">
        <w:rPr>
          <w:rFonts w:ascii="Century Gothic" w:hAnsi="Century Gothic" w:cstheme="majorHAnsi"/>
          <w:sz w:val="19"/>
          <w:szCs w:val="19"/>
        </w:rPr>
        <w:t>proceso de producción</w:t>
      </w:r>
      <w:r w:rsidRPr="009A501D">
        <w:rPr>
          <w:rFonts w:ascii="Century Gothic" w:hAnsi="Century Gothic" w:cstheme="majorHAnsi"/>
          <w:sz w:val="19"/>
          <w:szCs w:val="19"/>
        </w:rPr>
        <w:t>. Si el indicador es igual o mayor a 100%, se está cumpliendo con el tamaño de muestra mínima necesario, de lo contrario debería realizarse un análisis más profundo para determinar las causas.</w:t>
      </w:r>
    </w:p>
    <w:p w14:paraId="17BFA119" w14:textId="6F4321FF" w:rsidR="005A1399" w:rsidRPr="009A501D" w:rsidRDefault="005A1399" w:rsidP="00664A1D">
      <w:pPr>
        <w:spacing w:before="240"/>
        <w:jc w:val="both"/>
        <w:rPr>
          <w:rFonts w:ascii="Century Gothic" w:hAnsi="Century Gothic" w:cstheme="majorHAnsi"/>
          <w:sz w:val="19"/>
          <w:szCs w:val="19"/>
        </w:rPr>
      </w:pPr>
      <w:r w:rsidRPr="009A501D">
        <w:rPr>
          <w:rFonts w:ascii="Century Gothic" w:hAnsi="Century Gothic" w:cstheme="majorHAnsi"/>
          <w:sz w:val="19"/>
          <w:szCs w:val="19"/>
        </w:rPr>
        <w:t xml:space="preserve">Como atenuante a los problemas surgidos a partir de la existencia de no respuesta, la imputación es un procedimiento que se emplea en todo </w:t>
      </w:r>
      <w:r w:rsidR="00EC4113" w:rsidRPr="009A501D">
        <w:rPr>
          <w:rFonts w:ascii="Century Gothic" w:hAnsi="Century Gothic" w:cstheme="majorHAnsi"/>
          <w:sz w:val="19"/>
          <w:szCs w:val="19"/>
        </w:rPr>
        <w:t>proceso de producción</w:t>
      </w:r>
      <w:r w:rsidRPr="009A501D">
        <w:rPr>
          <w:rFonts w:ascii="Century Gothic" w:hAnsi="Century Gothic" w:cstheme="majorHAnsi"/>
          <w:sz w:val="19"/>
          <w:szCs w:val="19"/>
        </w:rPr>
        <w:t xml:space="preserve"> debido a la falta de respuesta en unidades de observación. El objetivo principal de la </w:t>
      </w:r>
      <w:r w:rsidRPr="009A501D">
        <w:rPr>
          <w:rFonts w:ascii="Century Gothic" w:hAnsi="Century Gothic" w:cstheme="majorHAnsi"/>
          <w:i/>
          <w:iCs/>
          <w:sz w:val="19"/>
          <w:szCs w:val="19"/>
        </w:rPr>
        <w:t>tasa de imputación a nivel unidad de observación</w:t>
      </w:r>
      <w:r w:rsidRPr="009A501D">
        <w:rPr>
          <w:rFonts w:ascii="Century Gothic" w:hAnsi="Century Gothic" w:cstheme="majorHAnsi"/>
          <w:sz w:val="19"/>
          <w:szCs w:val="19"/>
        </w:rPr>
        <w:t xml:space="preserve"> es tener un parámetro que permita medir el porcentaje de observaciones que se imputan.</w:t>
      </w:r>
    </w:p>
    <w:p w14:paraId="22A16CDC" w14:textId="400D97F2" w:rsidR="005A1399" w:rsidRPr="009A501D" w:rsidRDefault="005A1399" w:rsidP="00664A1D">
      <w:pPr>
        <w:spacing w:before="240"/>
        <w:jc w:val="both"/>
        <w:rPr>
          <w:rFonts w:ascii="Century Gothic" w:hAnsi="Century Gothic" w:cstheme="majorHAnsi"/>
          <w:sz w:val="19"/>
          <w:szCs w:val="19"/>
        </w:rPr>
      </w:pPr>
      <w:r w:rsidRPr="009A501D">
        <w:rPr>
          <w:rFonts w:ascii="Century Gothic" w:hAnsi="Century Gothic" w:cstheme="majorHAnsi"/>
          <w:sz w:val="19"/>
          <w:szCs w:val="19"/>
        </w:rPr>
        <w:t>Con el fin de dar un resumen general de los indicadores de uso interno en el cuadro A.</w:t>
      </w:r>
      <w:r w:rsidR="00AE6C80" w:rsidRPr="009A501D">
        <w:rPr>
          <w:rFonts w:ascii="Century Gothic" w:hAnsi="Century Gothic" w:cstheme="majorHAnsi"/>
          <w:sz w:val="19"/>
          <w:szCs w:val="19"/>
        </w:rPr>
        <w:t>5</w:t>
      </w:r>
      <w:r w:rsidRPr="009A501D">
        <w:rPr>
          <w:rFonts w:ascii="Century Gothic" w:hAnsi="Century Gothic" w:cstheme="majorHAnsi"/>
          <w:sz w:val="19"/>
          <w:szCs w:val="19"/>
        </w:rPr>
        <w:t xml:space="preserve">.8 se presenta, para cada encuesta, el promedio de las tasas reportadas durante 2022, la </w:t>
      </w:r>
      <w:r w:rsidRPr="009A501D">
        <w:rPr>
          <w:rFonts w:ascii="Century Gothic" w:hAnsi="Century Gothic" w:cstheme="majorHAnsi"/>
          <w:i/>
          <w:iCs/>
          <w:sz w:val="19"/>
          <w:szCs w:val="19"/>
        </w:rPr>
        <w:t>tasa de no respuesta antes de imputación (ponderada</w:t>
      </w:r>
      <w:r w:rsidRPr="009A501D">
        <w:rPr>
          <w:rFonts w:ascii="Century Gothic" w:hAnsi="Century Gothic" w:cstheme="majorHAnsi"/>
          <w:sz w:val="19"/>
          <w:szCs w:val="19"/>
        </w:rPr>
        <w:t xml:space="preserve">) y la </w:t>
      </w:r>
      <w:r w:rsidRPr="009A501D">
        <w:rPr>
          <w:rFonts w:ascii="Century Gothic" w:hAnsi="Century Gothic" w:cstheme="majorHAnsi"/>
          <w:i/>
          <w:iCs/>
          <w:sz w:val="19"/>
          <w:szCs w:val="19"/>
        </w:rPr>
        <w:t>tasa de sobrecobertura (ponderada)</w:t>
      </w:r>
      <w:r w:rsidR="00B143DF" w:rsidRPr="009A501D">
        <w:rPr>
          <w:rFonts w:ascii="Century Gothic" w:hAnsi="Century Gothic" w:cstheme="majorHAnsi"/>
          <w:sz w:val="19"/>
          <w:szCs w:val="19"/>
        </w:rPr>
        <w:t>. En</w:t>
      </w:r>
      <w:r w:rsidRPr="009A501D">
        <w:rPr>
          <w:rFonts w:ascii="Century Gothic" w:hAnsi="Century Gothic" w:cstheme="majorHAnsi"/>
          <w:sz w:val="19"/>
          <w:szCs w:val="19"/>
        </w:rPr>
        <w:t xml:space="preserve"> el cuadro</w:t>
      </w:r>
      <w:r w:rsidR="00B143DF" w:rsidRPr="009A501D">
        <w:rPr>
          <w:rFonts w:ascii="Century Gothic" w:hAnsi="Century Gothic" w:cstheme="majorHAnsi"/>
          <w:sz w:val="19"/>
          <w:szCs w:val="19"/>
        </w:rPr>
        <w:t xml:space="preserve"> A.5.9</w:t>
      </w:r>
      <w:r w:rsidRPr="009A501D">
        <w:rPr>
          <w:rFonts w:ascii="Century Gothic" w:hAnsi="Century Gothic" w:cstheme="majorHAnsi"/>
          <w:sz w:val="19"/>
          <w:szCs w:val="19"/>
        </w:rPr>
        <w:t xml:space="preserve"> se observan la </w:t>
      </w:r>
      <w:r w:rsidRPr="009A501D">
        <w:rPr>
          <w:rFonts w:ascii="Century Gothic" w:hAnsi="Century Gothic" w:cstheme="majorHAnsi"/>
          <w:i/>
          <w:iCs/>
          <w:sz w:val="19"/>
          <w:szCs w:val="19"/>
        </w:rPr>
        <w:t>tasa de imputación (ponderada)</w:t>
      </w:r>
      <w:r w:rsidRPr="009A501D">
        <w:rPr>
          <w:rFonts w:ascii="Century Gothic" w:hAnsi="Century Gothic" w:cstheme="majorHAnsi"/>
          <w:sz w:val="19"/>
          <w:szCs w:val="19"/>
        </w:rPr>
        <w:t xml:space="preserve"> y </w:t>
      </w:r>
      <w:r w:rsidRPr="009A501D">
        <w:rPr>
          <w:rFonts w:ascii="Century Gothic" w:hAnsi="Century Gothic" w:cstheme="majorHAnsi"/>
          <w:i/>
          <w:iCs/>
          <w:sz w:val="19"/>
          <w:szCs w:val="19"/>
        </w:rPr>
        <w:t>la tasa de cumplimiento de la muestra mínima</w:t>
      </w:r>
      <w:r w:rsidRPr="009A501D">
        <w:rPr>
          <w:rFonts w:ascii="Century Gothic" w:hAnsi="Century Gothic" w:cstheme="majorHAnsi"/>
          <w:sz w:val="19"/>
          <w:szCs w:val="19"/>
        </w:rPr>
        <w:t>. Como referencia para la interpretación, en el cuadro A.</w:t>
      </w:r>
      <w:r w:rsidR="00AE6C80" w:rsidRPr="009A501D">
        <w:rPr>
          <w:rFonts w:ascii="Century Gothic" w:hAnsi="Century Gothic" w:cstheme="majorHAnsi"/>
          <w:sz w:val="19"/>
          <w:szCs w:val="19"/>
        </w:rPr>
        <w:t>5</w:t>
      </w:r>
      <w:r w:rsidRPr="009A501D">
        <w:rPr>
          <w:rFonts w:ascii="Century Gothic" w:hAnsi="Century Gothic" w:cstheme="majorHAnsi"/>
          <w:sz w:val="19"/>
          <w:szCs w:val="19"/>
        </w:rPr>
        <w:t xml:space="preserve">.8 se presenta la </w:t>
      </w:r>
      <w:r w:rsidRPr="009A501D">
        <w:rPr>
          <w:rFonts w:ascii="Century Gothic" w:hAnsi="Century Gothic" w:cstheme="majorHAnsi"/>
          <w:i/>
          <w:iCs/>
          <w:sz w:val="19"/>
          <w:szCs w:val="19"/>
        </w:rPr>
        <w:t>tasa de no respuesta máxima esperada</w:t>
      </w:r>
      <w:r w:rsidRPr="009A501D">
        <w:rPr>
          <w:rFonts w:ascii="Century Gothic" w:hAnsi="Century Gothic" w:cstheme="majorHAnsi"/>
          <w:sz w:val="19"/>
          <w:szCs w:val="19"/>
        </w:rPr>
        <w:t xml:space="preserve"> conforme a los documentos públicos del diseño muestral para cada </w:t>
      </w:r>
      <w:r w:rsidR="00EC4113" w:rsidRPr="009A501D">
        <w:rPr>
          <w:rFonts w:ascii="Century Gothic" w:hAnsi="Century Gothic" w:cstheme="majorHAnsi"/>
          <w:sz w:val="19"/>
          <w:szCs w:val="19"/>
        </w:rPr>
        <w:t>proceso de producción</w:t>
      </w:r>
      <w:r w:rsidRPr="009A501D">
        <w:rPr>
          <w:rFonts w:ascii="Century Gothic" w:hAnsi="Century Gothic" w:cstheme="majorHAnsi"/>
          <w:sz w:val="19"/>
          <w:szCs w:val="19"/>
        </w:rPr>
        <w:t>.</w:t>
      </w:r>
    </w:p>
    <w:p w14:paraId="7D4EA783" w14:textId="4D7D53E9" w:rsidR="007F5C1B" w:rsidRPr="009A501D" w:rsidRDefault="007F5C1B">
      <w:pPr>
        <w:rPr>
          <w:rFonts w:ascii="Century Gothic" w:hAnsi="Century Gothic" w:cstheme="majorHAnsi"/>
          <w:sz w:val="19"/>
          <w:szCs w:val="19"/>
        </w:rPr>
      </w:pPr>
      <w:r w:rsidRPr="009A501D">
        <w:rPr>
          <w:rFonts w:ascii="Century Gothic" w:hAnsi="Century Gothic" w:cstheme="majorHAnsi"/>
          <w:sz w:val="19"/>
          <w:szCs w:val="19"/>
        </w:rPr>
        <w:br w:type="page"/>
      </w:r>
    </w:p>
    <w:p w14:paraId="37211C9A" w14:textId="201508BF" w:rsidR="005A1399" w:rsidRPr="009A501D" w:rsidRDefault="005A1399"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lastRenderedPageBreak/>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.8. Promedio de las tasas de no respuesta antes de imputación y sobrecobertura</w:t>
      </w:r>
    </w:p>
    <w:tbl>
      <w:tblPr>
        <w:tblW w:w="12980" w:type="dxa"/>
        <w:jc w:val="center"/>
        <w:tblCellMar>
          <w:left w:w="70" w:type="dxa"/>
          <w:right w:w="70" w:type="dxa"/>
        </w:tblCellMar>
        <w:tblLook w:val="04A0" w:firstRow="1" w:lastRow="0" w:firstColumn="1" w:lastColumn="0" w:noHBand="0" w:noVBand="1"/>
      </w:tblPr>
      <w:tblGrid>
        <w:gridCol w:w="1540"/>
        <w:gridCol w:w="880"/>
        <w:gridCol w:w="1280"/>
        <w:gridCol w:w="1300"/>
        <w:gridCol w:w="802"/>
        <w:gridCol w:w="666"/>
        <w:gridCol w:w="666"/>
        <w:gridCol w:w="666"/>
        <w:gridCol w:w="1100"/>
        <w:gridCol w:w="589"/>
        <w:gridCol w:w="589"/>
        <w:gridCol w:w="569"/>
        <w:gridCol w:w="640"/>
        <w:gridCol w:w="499"/>
        <w:gridCol w:w="499"/>
        <w:gridCol w:w="499"/>
        <w:gridCol w:w="499"/>
      </w:tblGrid>
      <w:tr w:rsidR="00E729CB" w:rsidRPr="001738EC" w14:paraId="188F125E" w14:textId="77777777" w:rsidTr="003B35A6">
        <w:trPr>
          <w:trHeight w:val="228"/>
          <w:tblHeader/>
          <w:jc w:val="center"/>
        </w:trPr>
        <w:tc>
          <w:tcPr>
            <w:tcW w:w="1540" w:type="dxa"/>
            <w:vMerge w:val="restart"/>
            <w:tcBorders>
              <w:top w:val="single" w:sz="8" w:space="0" w:color="BFBFBF"/>
              <w:left w:val="single" w:sz="8" w:space="0" w:color="BFBFBF"/>
              <w:bottom w:val="single" w:sz="8" w:space="0" w:color="BFBFBF"/>
              <w:right w:val="single" w:sz="8" w:space="0" w:color="BFBFBF"/>
            </w:tcBorders>
            <w:shd w:val="clear" w:color="000000" w:fill="002060"/>
            <w:vAlign w:val="center"/>
            <w:hideMark/>
          </w:tcPr>
          <w:p w14:paraId="07B2AEC7"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Periodicidad</w:t>
            </w:r>
          </w:p>
        </w:tc>
        <w:tc>
          <w:tcPr>
            <w:tcW w:w="880" w:type="dxa"/>
            <w:vMerge w:val="restart"/>
            <w:tcBorders>
              <w:top w:val="single" w:sz="8" w:space="0" w:color="BFBFBF"/>
              <w:left w:val="single" w:sz="8" w:space="0" w:color="BFBFBF"/>
              <w:bottom w:val="single" w:sz="8" w:space="0" w:color="BFBFBF"/>
              <w:right w:val="single" w:sz="8" w:space="0" w:color="BFBFBF"/>
            </w:tcBorders>
            <w:shd w:val="clear" w:color="000000" w:fill="002060"/>
            <w:noWrap/>
            <w:vAlign w:val="center"/>
            <w:hideMark/>
          </w:tcPr>
          <w:p w14:paraId="6CE7C1D6"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UA</w:t>
            </w:r>
          </w:p>
        </w:tc>
        <w:tc>
          <w:tcPr>
            <w:tcW w:w="1280" w:type="dxa"/>
            <w:vMerge w:val="restart"/>
            <w:tcBorders>
              <w:top w:val="single" w:sz="8" w:space="0" w:color="BFBFBF"/>
              <w:left w:val="single" w:sz="8" w:space="0" w:color="BFBFBF"/>
              <w:bottom w:val="single" w:sz="8" w:space="0" w:color="BFBFBF"/>
              <w:right w:val="single" w:sz="8" w:space="0" w:color="BFBFBF"/>
            </w:tcBorders>
            <w:shd w:val="clear" w:color="000000" w:fill="002060"/>
            <w:noWrap/>
            <w:vAlign w:val="center"/>
            <w:hideMark/>
          </w:tcPr>
          <w:p w14:paraId="12041BC4"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Proceso</w:t>
            </w:r>
          </w:p>
        </w:tc>
        <w:tc>
          <w:tcPr>
            <w:tcW w:w="1300" w:type="dxa"/>
            <w:vMerge w:val="restart"/>
            <w:tcBorders>
              <w:top w:val="single" w:sz="8" w:space="0" w:color="BFBFBF"/>
              <w:left w:val="single" w:sz="8" w:space="0" w:color="BFBFBF"/>
              <w:bottom w:val="single" w:sz="8" w:space="0" w:color="BFBFBF"/>
              <w:right w:val="single" w:sz="8" w:space="0" w:color="BFBFBF"/>
            </w:tcBorders>
            <w:shd w:val="clear" w:color="000000" w:fill="002060"/>
            <w:vAlign w:val="center"/>
            <w:hideMark/>
          </w:tcPr>
          <w:p w14:paraId="42A9ECC5"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Periodo reportado en 2022</w:t>
            </w:r>
          </w:p>
        </w:tc>
        <w:tc>
          <w:tcPr>
            <w:tcW w:w="2800" w:type="dxa"/>
            <w:gridSpan w:val="4"/>
            <w:tcBorders>
              <w:top w:val="single" w:sz="8" w:space="0" w:color="BFBFBF"/>
              <w:left w:val="nil"/>
              <w:bottom w:val="single" w:sz="8" w:space="0" w:color="BFBFBF"/>
              <w:right w:val="single" w:sz="8" w:space="0" w:color="BFBFBF"/>
            </w:tcBorders>
            <w:shd w:val="clear" w:color="000000" w:fill="002060"/>
            <w:noWrap/>
            <w:vAlign w:val="center"/>
            <w:hideMark/>
          </w:tcPr>
          <w:p w14:paraId="0BED0EBF"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Casos totales</w:t>
            </w:r>
          </w:p>
        </w:tc>
        <w:tc>
          <w:tcPr>
            <w:tcW w:w="1100" w:type="dxa"/>
            <w:vMerge w:val="restart"/>
            <w:tcBorders>
              <w:top w:val="single" w:sz="8" w:space="0" w:color="BFBFBF"/>
              <w:left w:val="single" w:sz="8" w:space="0" w:color="BFBFBF"/>
              <w:bottom w:val="single" w:sz="8" w:space="0" w:color="BFBFBF"/>
              <w:right w:val="single" w:sz="8" w:space="0" w:color="BFBFBF"/>
            </w:tcBorders>
            <w:shd w:val="clear" w:color="000000" w:fill="002060"/>
            <w:vAlign w:val="center"/>
            <w:hideMark/>
          </w:tcPr>
          <w:p w14:paraId="205B6C50"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TNR (Diseño muestral)</w:t>
            </w:r>
          </w:p>
        </w:tc>
        <w:tc>
          <w:tcPr>
            <w:tcW w:w="4080" w:type="dxa"/>
            <w:gridSpan w:val="8"/>
            <w:tcBorders>
              <w:top w:val="single" w:sz="8" w:space="0" w:color="BFBFBF"/>
              <w:left w:val="nil"/>
              <w:bottom w:val="single" w:sz="8" w:space="0" w:color="BFBFBF"/>
              <w:right w:val="single" w:sz="8" w:space="0" w:color="BFBFBF"/>
            </w:tcBorders>
            <w:shd w:val="clear" w:color="000000" w:fill="002060"/>
            <w:vAlign w:val="center"/>
            <w:hideMark/>
          </w:tcPr>
          <w:p w14:paraId="6E56F201"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Promedio de tasas reportadas</w:t>
            </w:r>
          </w:p>
        </w:tc>
      </w:tr>
      <w:tr w:rsidR="00E729CB" w:rsidRPr="001738EC" w14:paraId="70923759" w14:textId="77777777" w:rsidTr="003B35A6">
        <w:trPr>
          <w:trHeight w:val="516"/>
          <w:tblHeader/>
          <w:jc w:val="center"/>
        </w:trPr>
        <w:tc>
          <w:tcPr>
            <w:tcW w:w="1540" w:type="dxa"/>
            <w:vMerge/>
            <w:tcBorders>
              <w:top w:val="single" w:sz="8" w:space="0" w:color="BFBFBF"/>
              <w:left w:val="single" w:sz="8" w:space="0" w:color="BFBFBF"/>
              <w:bottom w:val="single" w:sz="8" w:space="0" w:color="BFBFBF"/>
              <w:right w:val="single" w:sz="8" w:space="0" w:color="BFBFBF"/>
            </w:tcBorders>
            <w:vAlign w:val="center"/>
            <w:hideMark/>
          </w:tcPr>
          <w:p w14:paraId="43C05952"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880" w:type="dxa"/>
            <w:vMerge/>
            <w:tcBorders>
              <w:top w:val="single" w:sz="8" w:space="0" w:color="BFBFBF"/>
              <w:left w:val="single" w:sz="8" w:space="0" w:color="BFBFBF"/>
              <w:bottom w:val="single" w:sz="8" w:space="0" w:color="BFBFBF"/>
              <w:right w:val="single" w:sz="8" w:space="0" w:color="BFBFBF"/>
            </w:tcBorders>
            <w:vAlign w:val="center"/>
            <w:hideMark/>
          </w:tcPr>
          <w:p w14:paraId="452F68F8"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1280" w:type="dxa"/>
            <w:vMerge/>
            <w:tcBorders>
              <w:top w:val="single" w:sz="8" w:space="0" w:color="BFBFBF"/>
              <w:left w:val="single" w:sz="8" w:space="0" w:color="BFBFBF"/>
              <w:bottom w:val="single" w:sz="8" w:space="0" w:color="BFBFBF"/>
              <w:right w:val="single" w:sz="8" w:space="0" w:color="BFBFBF"/>
            </w:tcBorders>
            <w:vAlign w:val="center"/>
            <w:hideMark/>
          </w:tcPr>
          <w:p w14:paraId="46DAC530"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1300" w:type="dxa"/>
            <w:vMerge/>
            <w:tcBorders>
              <w:top w:val="single" w:sz="8" w:space="0" w:color="BFBFBF"/>
              <w:left w:val="single" w:sz="8" w:space="0" w:color="BFBFBF"/>
              <w:bottom w:val="single" w:sz="8" w:space="0" w:color="BFBFBF"/>
              <w:right w:val="single" w:sz="8" w:space="0" w:color="BFBFBF"/>
            </w:tcBorders>
            <w:vAlign w:val="center"/>
            <w:hideMark/>
          </w:tcPr>
          <w:p w14:paraId="51CBAD22"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802" w:type="dxa"/>
            <w:vMerge w:val="restart"/>
            <w:tcBorders>
              <w:top w:val="nil"/>
              <w:left w:val="single" w:sz="8" w:space="0" w:color="BFBFBF"/>
              <w:bottom w:val="single" w:sz="8" w:space="0" w:color="BFBFBF"/>
              <w:right w:val="single" w:sz="8" w:space="0" w:color="BFBFBF"/>
            </w:tcBorders>
            <w:shd w:val="clear" w:color="000000" w:fill="002060"/>
            <w:vAlign w:val="center"/>
            <w:hideMark/>
          </w:tcPr>
          <w:p w14:paraId="0DBDE45F"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2019</w:t>
            </w:r>
            <w:r w:rsidRPr="001738EC">
              <w:rPr>
                <w:rFonts w:ascii="Century Gothic" w:eastAsia="Times New Roman" w:hAnsi="Century Gothic" w:cs="Calibri"/>
                <w:b/>
                <w:bCs/>
                <w:color w:val="FFFFFF"/>
                <w:sz w:val="16"/>
                <w:szCs w:val="16"/>
                <w:vertAlign w:val="superscript"/>
                <w:lang w:eastAsia="es-MX"/>
              </w:rPr>
              <w:t>a/</w:t>
            </w:r>
            <w:r w:rsidRPr="001738EC">
              <w:rPr>
                <w:rFonts w:ascii="Century Gothic" w:eastAsia="Times New Roman" w:hAnsi="Century Gothic" w:cs="Calibri"/>
                <w:b/>
                <w:bCs/>
                <w:color w:val="FFFFFF"/>
                <w:sz w:val="16"/>
                <w:szCs w:val="16"/>
                <w:lang w:eastAsia="es-MX"/>
              </w:rPr>
              <w:br/>
            </w:r>
            <w:r w:rsidRPr="001738EC">
              <w:rPr>
                <w:rFonts w:ascii="Century Gothic" w:eastAsia="Times New Roman" w:hAnsi="Century Gothic" w:cs="Calibri"/>
                <w:b/>
                <w:bCs/>
                <w:i/>
                <w:iCs/>
                <w:color w:val="FFFFFF"/>
                <w:sz w:val="16"/>
                <w:szCs w:val="16"/>
                <w:lang w:eastAsia="es-MX"/>
              </w:rPr>
              <w:t>Línea</w:t>
            </w:r>
            <w:r w:rsidRPr="001738EC">
              <w:rPr>
                <w:rFonts w:ascii="Century Gothic" w:eastAsia="Times New Roman" w:hAnsi="Century Gothic" w:cs="Calibri"/>
                <w:b/>
                <w:bCs/>
                <w:i/>
                <w:iCs/>
                <w:color w:val="FFFFFF"/>
                <w:sz w:val="16"/>
                <w:szCs w:val="16"/>
                <w:lang w:eastAsia="es-MX"/>
              </w:rPr>
              <w:br/>
              <w:t>base</w:t>
            </w:r>
          </w:p>
        </w:tc>
        <w:tc>
          <w:tcPr>
            <w:tcW w:w="666" w:type="dxa"/>
            <w:vMerge w:val="restart"/>
            <w:tcBorders>
              <w:top w:val="nil"/>
              <w:left w:val="single" w:sz="8" w:space="0" w:color="BFBFBF"/>
              <w:bottom w:val="single" w:sz="8" w:space="0" w:color="BFBFBF"/>
              <w:right w:val="single" w:sz="8" w:space="0" w:color="BFBFBF"/>
            </w:tcBorders>
            <w:shd w:val="clear" w:color="000000" w:fill="002060"/>
            <w:noWrap/>
            <w:vAlign w:val="center"/>
            <w:hideMark/>
          </w:tcPr>
          <w:p w14:paraId="48EEBD05"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2020</w:t>
            </w:r>
            <w:r w:rsidRPr="001738EC">
              <w:rPr>
                <w:rFonts w:ascii="Century Gothic" w:eastAsia="Times New Roman" w:hAnsi="Century Gothic" w:cs="Calibri"/>
                <w:b/>
                <w:bCs/>
                <w:color w:val="FFFFFF"/>
                <w:sz w:val="16"/>
                <w:szCs w:val="16"/>
                <w:vertAlign w:val="superscript"/>
                <w:lang w:eastAsia="es-MX"/>
              </w:rPr>
              <w:t>a/</w:t>
            </w:r>
          </w:p>
        </w:tc>
        <w:tc>
          <w:tcPr>
            <w:tcW w:w="666" w:type="dxa"/>
            <w:vMerge w:val="restart"/>
            <w:tcBorders>
              <w:top w:val="nil"/>
              <w:left w:val="single" w:sz="8" w:space="0" w:color="BFBFBF"/>
              <w:bottom w:val="single" w:sz="8" w:space="0" w:color="BFBFBF"/>
              <w:right w:val="single" w:sz="8" w:space="0" w:color="BFBFBF"/>
            </w:tcBorders>
            <w:shd w:val="clear" w:color="000000" w:fill="002060"/>
            <w:noWrap/>
            <w:vAlign w:val="center"/>
            <w:hideMark/>
          </w:tcPr>
          <w:p w14:paraId="09D63E9D"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2021</w:t>
            </w:r>
            <w:r w:rsidRPr="001738EC">
              <w:rPr>
                <w:rFonts w:ascii="Century Gothic" w:eastAsia="Times New Roman" w:hAnsi="Century Gothic" w:cs="Calibri"/>
                <w:b/>
                <w:bCs/>
                <w:color w:val="FFFFFF"/>
                <w:sz w:val="16"/>
                <w:szCs w:val="16"/>
                <w:vertAlign w:val="superscript"/>
                <w:lang w:eastAsia="es-MX"/>
              </w:rPr>
              <w:t>a/</w:t>
            </w:r>
          </w:p>
        </w:tc>
        <w:tc>
          <w:tcPr>
            <w:tcW w:w="666" w:type="dxa"/>
            <w:vMerge w:val="restart"/>
            <w:tcBorders>
              <w:top w:val="nil"/>
              <w:left w:val="single" w:sz="8" w:space="0" w:color="BFBFBF"/>
              <w:bottom w:val="single" w:sz="8" w:space="0" w:color="BFBFBF"/>
              <w:right w:val="single" w:sz="8" w:space="0" w:color="BFBFBF"/>
            </w:tcBorders>
            <w:shd w:val="clear" w:color="000000" w:fill="002060"/>
            <w:noWrap/>
            <w:vAlign w:val="center"/>
            <w:hideMark/>
          </w:tcPr>
          <w:p w14:paraId="7B2CBFAF"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2022</w:t>
            </w:r>
            <w:r w:rsidRPr="001738EC">
              <w:rPr>
                <w:rFonts w:ascii="Century Gothic" w:eastAsia="Times New Roman" w:hAnsi="Century Gothic" w:cs="Calibri"/>
                <w:b/>
                <w:bCs/>
                <w:color w:val="FFFFFF"/>
                <w:sz w:val="16"/>
                <w:szCs w:val="16"/>
                <w:vertAlign w:val="superscript"/>
                <w:lang w:eastAsia="es-MX"/>
              </w:rPr>
              <w:t>a/</w:t>
            </w:r>
          </w:p>
        </w:tc>
        <w:tc>
          <w:tcPr>
            <w:tcW w:w="1100" w:type="dxa"/>
            <w:vMerge/>
            <w:tcBorders>
              <w:top w:val="single" w:sz="8" w:space="0" w:color="BFBFBF"/>
              <w:left w:val="single" w:sz="8" w:space="0" w:color="BFBFBF"/>
              <w:bottom w:val="single" w:sz="8" w:space="0" w:color="BFBFBF"/>
              <w:right w:val="single" w:sz="8" w:space="0" w:color="BFBFBF"/>
            </w:tcBorders>
            <w:vAlign w:val="center"/>
            <w:hideMark/>
          </w:tcPr>
          <w:p w14:paraId="7EC294AE"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2240" w:type="dxa"/>
            <w:gridSpan w:val="4"/>
            <w:tcBorders>
              <w:top w:val="single" w:sz="8" w:space="0" w:color="BFBFBF"/>
              <w:left w:val="nil"/>
              <w:bottom w:val="single" w:sz="8" w:space="0" w:color="BFBFBF"/>
              <w:right w:val="single" w:sz="8" w:space="0" w:color="BFBFBF"/>
            </w:tcBorders>
            <w:shd w:val="clear" w:color="000000" w:fill="002060"/>
            <w:vAlign w:val="center"/>
            <w:hideMark/>
          </w:tcPr>
          <w:p w14:paraId="09CEDE03"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Tasa de no respuesta antes de imputación (ponderada)</w:t>
            </w:r>
          </w:p>
        </w:tc>
        <w:tc>
          <w:tcPr>
            <w:tcW w:w="1840" w:type="dxa"/>
            <w:gridSpan w:val="4"/>
            <w:tcBorders>
              <w:top w:val="single" w:sz="8" w:space="0" w:color="BFBFBF"/>
              <w:left w:val="nil"/>
              <w:bottom w:val="single" w:sz="8" w:space="0" w:color="BFBFBF"/>
              <w:right w:val="single" w:sz="8" w:space="0" w:color="BFBFBF"/>
            </w:tcBorders>
            <w:shd w:val="clear" w:color="000000" w:fill="002060"/>
            <w:vAlign w:val="center"/>
            <w:hideMark/>
          </w:tcPr>
          <w:p w14:paraId="6027C3DF"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Tasa de sobrecobertura (ponderada)</w:t>
            </w:r>
          </w:p>
        </w:tc>
      </w:tr>
      <w:tr w:rsidR="00E729CB" w:rsidRPr="001738EC" w14:paraId="118724A7" w14:textId="77777777" w:rsidTr="003B35A6">
        <w:trPr>
          <w:trHeight w:val="228"/>
          <w:tblHeader/>
          <w:jc w:val="center"/>
        </w:trPr>
        <w:tc>
          <w:tcPr>
            <w:tcW w:w="1540" w:type="dxa"/>
            <w:vMerge/>
            <w:tcBorders>
              <w:top w:val="single" w:sz="8" w:space="0" w:color="BFBFBF"/>
              <w:left w:val="single" w:sz="8" w:space="0" w:color="BFBFBF"/>
              <w:bottom w:val="single" w:sz="8" w:space="0" w:color="BFBFBF"/>
              <w:right w:val="single" w:sz="8" w:space="0" w:color="BFBFBF"/>
            </w:tcBorders>
            <w:vAlign w:val="center"/>
            <w:hideMark/>
          </w:tcPr>
          <w:p w14:paraId="34623C68"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880" w:type="dxa"/>
            <w:vMerge/>
            <w:tcBorders>
              <w:top w:val="single" w:sz="8" w:space="0" w:color="BFBFBF"/>
              <w:left w:val="single" w:sz="8" w:space="0" w:color="BFBFBF"/>
              <w:bottom w:val="single" w:sz="8" w:space="0" w:color="BFBFBF"/>
              <w:right w:val="single" w:sz="8" w:space="0" w:color="BFBFBF"/>
            </w:tcBorders>
            <w:vAlign w:val="center"/>
            <w:hideMark/>
          </w:tcPr>
          <w:p w14:paraId="37B42AFD"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1280" w:type="dxa"/>
            <w:vMerge/>
            <w:tcBorders>
              <w:top w:val="single" w:sz="8" w:space="0" w:color="BFBFBF"/>
              <w:left w:val="single" w:sz="8" w:space="0" w:color="BFBFBF"/>
              <w:bottom w:val="single" w:sz="8" w:space="0" w:color="BFBFBF"/>
              <w:right w:val="single" w:sz="8" w:space="0" w:color="BFBFBF"/>
            </w:tcBorders>
            <w:vAlign w:val="center"/>
            <w:hideMark/>
          </w:tcPr>
          <w:p w14:paraId="15E1F126"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1300" w:type="dxa"/>
            <w:vMerge/>
            <w:tcBorders>
              <w:top w:val="single" w:sz="8" w:space="0" w:color="BFBFBF"/>
              <w:left w:val="single" w:sz="8" w:space="0" w:color="BFBFBF"/>
              <w:bottom w:val="single" w:sz="8" w:space="0" w:color="BFBFBF"/>
              <w:right w:val="single" w:sz="8" w:space="0" w:color="BFBFBF"/>
            </w:tcBorders>
            <w:vAlign w:val="center"/>
            <w:hideMark/>
          </w:tcPr>
          <w:p w14:paraId="17ECEBFD"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802" w:type="dxa"/>
            <w:vMerge/>
            <w:tcBorders>
              <w:top w:val="nil"/>
              <w:left w:val="single" w:sz="8" w:space="0" w:color="BFBFBF"/>
              <w:bottom w:val="single" w:sz="8" w:space="0" w:color="BFBFBF"/>
              <w:right w:val="single" w:sz="8" w:space="0" w:color="BFBFBF"/>
            </w:tcBorders>
            <w:vAlign w:val="center"/>
            <w:hideMark/>
          </w:tcPr>
          <w:p w14:paraId="772610B0"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666" w:type="dxa"/>
            <w:vMerge/>
            <w:tcBorders>
              <w:top w:val="nil"/>
              <w:left w:val="single" w:sz="8" w:space="0" w:color="BFBFBF"/>
              <w:bottom w:val="single" w:sz="8" w:space="0" w:color="BFBFBF"/>
              <w:right w:val="single" w:sz="8" w:space="0" w:color="BFBFBF"/>
            </w:tcBorders>
            <w:vAlign w:val="center"/>
            <w:hideMark/>
          </w:tcPr>
          <w:p w14:paraId="0A5B3098"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666" w:type="dxa"/>
            <w:vMerge/>
            <w:tcBorders>
              <w:top w:val="nil"/>
              <w:left w:val="single" w:sz="8" w:space="0" w:color="BFBFBF"/>
              <w:bottom w:val="single" w:sz="8" w:space="0" w:color="BFBFBF"/>
              <w:right w:val="single" w:sz="8" w:space="0" w:color="BFBFBF"/>
            </w:tcBorders>
            <w:vAlign w:val="center"/>
            <w:hideMark/>
          </w:tcPr>
          <w:p w14:paraId="6763E60C"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666" w:type="dxa"/>
            <w:vMerge/>
            <w:tcBorders>
              <w:top w:val="nil"/>
              <w:left w:val="single" w:sz="8" w:space="0" w:color="BFBFBF"/>
              <w:bottom w:val="single" w:sz="8" w:space="0" w:color="BFBFBF"/>
              <w:right w:val="single" w:sz="8" w:space="0" w:color="BFBFBF"/>
            </w:tcBorders>
            <w:vAlign w:val="center"/>
            <w:hideMark/>
          </w:tcPr>
          <w:p w14:paraId="7E7D485A"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1100" w:type="dxa"/>
            <w:vMerge/>
            <w:tcBorders>
              <w:top w:val="single" w:sz="8" w:space="0" w:color="BFBFBF"/>
              <w:left w:val="single" w:sz="8" w:space="0" w:color="BFBFBF"/>
              <w:bottom w:val="single" w:sz="8" w:space="0" w:color="BFBFBF"/>
              <w:right w:val="single" w:sz="8" w:space="0" w:color="BFBFBF"/>
            </w:tcBorders>
            <w:vAlign w:val="center"/>
            <w:hideMark/>
          </w:tcPr>
          <w:p w14:paraId="274D976A" w14:textId="77777777" w:rsidR="00E729CB" w:rsidRPr="001738EC" w:rsidRDefault="00E729CB" w:rsidP="003B35A6">
            <w:pPr>
              <w:spacing w:after="0" w:line="240" w:lineRule="auto"/>
              <w:rPr>
                <w:rFonts w:ascii="Century Gothic" w:eastAsia="Times New Roman" w:hAnsi="Century Gothic" w:cs="Calibri"/>
                <w:b/>
                <w:bCs/>
                <w:color w:val="FFFFFF"/>
                <w:sz w:val="16"/>
                <w:szCs w:val="16"/>
                <w:lang w:eastAsia="es-MX"/>
              </w:rPr>
            </w:pPr>
          </w:p>
        </w:tc>
        <w:tc>
          <w:tcPr>
            <w:tcW w:w="589" w:type="dxa"/>
            <w:tcBorders>
              <w:top w:val="nil"/>
              <w:left w:val="nil"/>
              <w:bottom w:val="single" w:sz="8" w:space="0" w:color="BFBFBF"/>
              <w:right w:val="single" w:sz="8" w:space="0" w:color="BFBFBF"/>
            </w:tcBorders>
            <w:shd w:val="clear" w:color="000000" w:fill="002060"/>
            <w:vAlign w:val="center"/>
            <w:hideMark/>
          </w:tcPr>
          <w:p w14:paraId="66B67494"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2019*</w:t>
            </w:r>
          </w:p>
        </w:tc>
        <w:tc>
          <w:tcPr>
            <w:tcW w:w="589" w:type="dxa"/>
            <w:tcBorders>
              <w:top w:val="nil"/>
              <w:left w:val="nil"/>
              <w:bottom w:val="single" w:sz="8" w:space="0" w:color="BFBFBF"/>
              <w:right w:val="single" w:sz="8" w:space="0" w:color="BFBFBF"/>
            </w:tcBorders>
            <w:shd w:val="clear" w:color="000000" w:fill="002060"/>
            <w:vAlign w:val="center"/>
            <w:hideMark/>
          </w:tcPr>
          <w:p w14:paraId="00A33F04"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2020*</w:t>
            </w:r>
          </w:p>
        </w:tc>
        <w:tc>
          <w:tcPr>
            <w:tcW w:w="494" w:type="dxa"/>
            <w:tcBorders>
              <w:top w:val="nil"/>
              <w:left w:val="nil"/>
              <w:bottom w:val="single" w:sz="8" w:space="0" w:color="BFBFBF"/>
              <w:right w:val="single" w:sz="8" w:space="0" w:color="BFBFBF"/>
            </w:tcBorders>
            <w:shd w:val="clear" w:color="000000" w:fill="002060"/>
            <w:noWrap/>
            <w:vAlign w:val="center"/>
            <w:hideMark/>
          </w:tcPr>
          <w:p w14:paraId="11B5297D"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2021*</w:t>
            </w:r>
          </w:p>
        </w:tc>
        <w:tc>
          <w:tcPr>
            <w:tcW w:w="568" w:type="dxa"/>
            <w:tcBorders>
              <w:top w:val="nil"/>
              <w:left w:val="nil"/>
              <w:bottom w:val="single" w:sz="8" w:space="0" w:color="BFBFBF"/>
              <w:right w:val="single" w:sz="8" w:space="0" w:color="BFBFBF"/>
            </w:tcBorders>
            <w:shd w:val="clear" w:color="000000" w:fill="002060"/>
            <w:noWrap/>
            <w:vAlign w:val="center"/>
            <w:hideMark/>
          </w:tcPr>
          <w:p w14:paraId="6E055A41"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2022**</w:t>
            </w:r>
          </w:p>
        </w:tc>
        <w:tc>
          <w:tcPr>
            <w:tcW w:w="460" w:type="dxa"/>
            <w:tcBorders>
              <w:top w:val="nil"/>
              <w:left w:val="nil"/>
              <w:bottom w:val="single" w:sz="8" w:space="0" w:color="BFBFBF"/>
              <w:right w:val="single" w:sz="8" w:space="0" w:color="BFBFBF"/>
            </w:tcBorders>
            <w:shd w:val="clear" w:color="000000" w:fill="002060"/>
            <w:noWrap/>
            <w:vAlign w:val="center"/>
            <w:hideMark/>
          </w:tcPr>
          <w:p w14:paraId="5E645DA5"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2019</w:t>
            </w:r>
          </w:p>
        </w:tc>
        <w:tc>
          <w:tcPr>
            <w:tcW w:w="460" w:type="dxa"/>
            <w:tcBorders>
              <w:top w:val="nil"/>
              <w:left w:val="nil"/>
              <w:bottom w:val="single" w:sz="8" w:space="0" w:color="BFBFBF"/>
              <w:right w:val="single" w:sz="8" w:space="0" w:color="BFBFBF"/>
            </w:tcBorders>
            <w:shd w:val="clear" w:color="000000" w:fill="002060"/>
            <w:noWrap/>
            <w:vAlign w:val="center"/>
            <w:hideMark/>
          </w:tcPr>
          <w:p w14:paraId="4B696612"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2020</w:t>
            </w:r>
          </w:p>
        </w:tc>
        <w:tc>
          <w:tcPr>
            <w:tcW w:w="460" w:type="dxa"/>
            <w:tcBorders>
              <w:top w:val="nil"/>
              <w:left w:val="nil"/>
              <w:bottom w:val="single" w:sz="8" w:space="0" w:color="BFBFBF"/>
              <w:right w:val="single" w:sz="8" w:space="0" w:color="BFBFBF"/>
            </w:tcBorders>
            <w:shd w:val="clear" w:color="000000" w:fill="002060"/>
            <w:noWrap/>
            <w:vAlign w:val="center"/>
            <w:hideMark/>
          </w:tcPr>
          <w:p w14:paraId="257DA64B"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2021</w:t>
            </w:r>
          </w:p>
        </w:tc>
        <w:tc>
          <w:tcPr>
            <w:tcW w:w="460" w:type="dxa"/>
            <w:tcBorders>
              <w:top w:val="nil"/>
              <w:left w:val="nil"/>
              <w:bottom w:val="single" w:sz="8" w:space="0" w:color="BFBFBF"/>
              <w:right w:val="single" w:sz="8" w:space="0" w:color="BFBFBF"/>
            </w:tcBorders>
            <w:shd w:val="clear" w:color="000000" w:fill="002060"/>
            <w:noWrap/>
            <w:vAlign w:val="center"/>
            <w:hideMark/>
          </w:tcPr>
          <w:p w14:paraId="60615858" w14:textId="77777777" w:rsidR="00E729CB" w:rsidRPr="001738EC" w:rsidRDefault="00E729CB" w:rsidP="003B35A6">
            <w:pPr>
              <w:spacing w:after="0" w:line="240" w:lineRule="auto"/>
              <w:jc w:val="center"/>
              <w:rPr>
                <w:rFonts w:ascii="Century Gothic" w:eastAsia="Times New Roman" w:hAnsi="Century Gothic" w:cs="Calibri"/>
                <w:b/>
                <w:bCs/>
                <w:color w:val="FFFFFF"/>
                <w:sz w:val="16"/>
                <w:szCs w:val="16"/>
                <w:lang w:eastAsia="es-MX"/>
              </w:rPr>
            </w:pPr>
            <w:r w:rsidRPr="001738EC">
              <w:rPr>
                <w:rFonts w:ascii="Century Gothic" w:eastAsia="Times New Roman" w:hAnsi="Century Gothic" w:cs="Calibri"/>
                <w:b/>
                <w:bCs/>
                <w:color w:val="FFFFFF"/>
                <w:sz w:val="16"/>
                <w:szCs w:val="16"/>
                <w:lang w:eastAsia="es-MX"/>
              </w:rPr>
              <w:t>2022</w:t>
            </w:r>
          </w:p>
        </w:tc>
      </w:tr>
      <w:tr w:rsidR="00E729CB" w:rsidRPr="001738EC" w14:paraId="14DD33E2"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895D7B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Sexenal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782228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674AAE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ENSANUT</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4CE445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8210D0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6FCD72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CD79DD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6CECF1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6EC8A7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B88C58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90EC52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59%</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6AD4AD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11D21B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5A3AD9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3467B1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1EC7B3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83FDBB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4FD31671"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051C194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Quinquenal</w:t>
            </w:r>
          </w:p>
        </w:tc>
        <w:tc>
          <w:tcPr>
            <w:tcW w:w="880" w:type="dxa"/>
            <w:tcBorders>
              <w:top w:val="nil"/>
              <w:left w:val="nil"/>
              <w:bottom w:val="single" w:sz="8" w:space="0" w:color="BFBFBF"/>
              <w:right w:val="single" w:sz="8" w:space="0" w:color="BFBFBF"/>
            </w:tcBorders>
            <w:shd w:val="clear" w:color="auto" w:fill="auto"/>
            <w:noWrap/>
            <w:vAlign w:val="center"/>
            <w:hideMark/>
          </w:tcPr>
          <w:p w14:paraId="2201964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31EED61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ENUT</w:t>
            </w:r>
          </w:p>
        </w:tc>
        <w:tc>
          <w:tcPr>
            <w:tcW w:w="1300" w:type="dxa"/>
            <w:tcBorders>
              <w:top w:val="nil"/>
              <w:left w:val="nil"/>
              <w:bottom w:val="single" w:sz="8" w:space="0" w:color="BFBFBF"/>
              <w:right w:val="single" w:sz="8" w:space="0" w:color="BFBFBF"/>
            </w:tcBorders>
            <w:shd w:val="clear" w:color="auto" w:fill="auto"/>
            <w:noWrap/>
            <w:vAlign w:val="center"/>
            <w:hideMark/>
          </w:tcPr>
          <w:p w14:paraId="3298285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124F7DD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0E9BC02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666" w:type="dxa"/>
            <w:tcBorders>
              <w:top w:val="nil"/>
              <w:left w:val="nil"/>
              <w:bottom w:val="single" w:sz="8" w:space="0" w:color="BFBFBF"/>
              <w:right w:val="single" w:sz="8" w:space="0" w:color="BFBFBF"/>
            </w:tcBorders>
            <w:shd w:val="clear" w:color="auto" w:fill="auto"/>
            <w:noWrap/>
            <w:vAlign w:val="center"/>
            <w:hideMark/>
          </w:tcPr>
          <w:p w14:paraId="0828701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1260F1D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2C2B2DA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0F84653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652BFC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10%</w:t>
            </w:r>
          </w:p>
        </w:tc>
        <w:tc>
          <w:tcPr>
            <w:tcW w:w="494" w:type="dxa"/>
            <w:tcBorders>
              <w:top w:val="nil"/>
              <w:left w:val="nil"/>
              <w:bottom w:val="single" w:sz="8" w:space="0" w:color="BFBFBF"/>
              <w:right w:val="single" w:sz="8" w:space="0" w:color="BFBFBF"/>
            </w:tcBorders>
            <w:shd w:val="clear" w:color="auto" w:fill="auto"/>
            <w:noWrap/>
            <w:vAlign w:val="center"/>
            <w:hideMark/>
          </w:tcPr>
          <w:p w14:paraId="638638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2F36163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48FEB3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6E45141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6B21AFC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660EF9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36A47294"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010D08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Quinquenal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01DB9D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F6E65D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ENDIREH</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946881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1DF5B5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0BF8D3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F995FC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9FD40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390D15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5BC547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501533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EE233B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6E763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5D1B21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8A9E78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923472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96EB1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r>
      <w:tr w:rsidR="00E729CB" w:rsidRPr="001738EC" w14:paraId="44E7D53D"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5DCC5AF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Trienal</w:t>
            </w:r>
          </w:p>
        </w:tc>
        <w:tc>
          <w:tcPr>
            <w:tcW w:w="880" w:type="dxa"/>
            <w:tcBorders>
              <w:top w:val="nil"/>
              <w:left w:val="nil"/>
              <w:bottom w:val="single" w:sz="8" w:space="0" w:color="BFBFBF"/>
              <w:right w:val="single" w:sz="8" w:space="0" w:color="BFBFBF"/>
            </w:tcBorders>
            <w:shd w:val="clear" w:color="auto" w:fill="auto"/>
            <w:noWrap/>
            <w:vAlign w:val="center"/>
            <w:hideMark/>
          </w:tcPr>
          <w:p w14:paraId="03CB000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1DCD43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ENASEM</w:t>
            </w:r>
          </w:p>
        </w:tc>
        <w:tc>
          <w:tcPr>
            <w:tcW w:w="1300" w:type="dxa"/>
            <w:tcBorders>
              <w:top w:val="nil"/>
              <w:left w:val="nil"/>
              <w:bottom w:val="single" w:sz="8" w:space="0" w:color="BFBFBF"/>
              <w:right w:val="single" w:sz="8" w:space="0" w:color="BFBFBF"/>
            </w:tcBorders>
            <w:shd w:val="clear" w:color="auto" w:fill="auto"/>
            <w:noWrap/>
            <w:vAlign w:val="center"/>
            <w:hideMark/>
          </w:tcPr>
          <w:p w14:paraId="66A6EE6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2D1459C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00C607C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c>
          <w:tcPr>
            <w:tcW w:w="666" w:type="dxa"/>
            <w:tcBorders>
              <w:top w:val="nil"/>
              <w:left w:val="nil"/>
              <w:bottom w:val="single" w:sz="8" w:space="0" w:color="BFBFBF"/>
              <w:right w:val="single" w:sz="8" w:space="0" w:color="BFBFBF"/>
            </w:tcBorders>
            <w:shd w:val="clear" w:color="auto" w:fill="auto"/>
            <w:noWrap/>
            <w:vAlign w:val="center"/>
            <w:hideMark/>
          </w:tcPr>
          <w:p w14:paraId="482461B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36C6555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71C4F36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2BBB6A0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4FDE4DE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18%</w:t>
            </w:r>
          </w:p>
        </w:tc>
        <w:tc>
          <w:tcPr>
            <w:tcW w:w="494" w:type="dxa"/>
            <w:tcBorders>
              <w:top w:val="nil"/>
              <w:left w:val="nil"/>
              <w:bottom w:val="single" w:sz="8" w:space="0" w:color="BFBFBF"/>
              <w:right w:val="single" w:sz="8" w:space="0" w:color="BFBFBF"/>
            </w:tcBorders>
            <w:shd w:val="clear" w:color="auto" w:fill="auto"/>
            <w:noWrap/>
            <w:vAlign w:val="center"/>
            <w:hideMark/>
          </w:tcPr>
          <w:p w14:paraId="1E5F70D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4E78740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7E07B91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9544F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c>
          <w:tcPr>
            <w:tcW w:w="460" w:type="dxa"/>
            <w:tcBorders>
              <w:top w:val="nil"/>
              <w:left w:val="nil"/>
              <w:bottom w:val="single" w:sz="8" w:space="0" w:color="BFBFBF"/>
              <w:right w:val="single" w:sz="8" w:space="0" w:color="BFBFBF"/>
            </w:tcBorders>
            <w:shd w:val="clear" w:color="auto" w:fill="auto"/>
            <w:noWrap/>
            <w:vAlign w:val="center"/>
            <w:hideMark/>
          </w:tcPr>
          <w:p w14:paraId="027E42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40CAF36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7DBF0841"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CEC5F7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Trienal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31693E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4349F3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ENIF</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1CCF7D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F4BEA1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E5F393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621A3F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9BA65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54994F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E4085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120D82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41250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D97C4C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265875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C07297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9CDBD6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4E7DAB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r>
      <w:tr w:rsidR="00E729CB" w:rsidRPr="001738EC" w14:paraId="2C053AE3"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24AC9B0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Trienal</w:t>
            </w:r>
          </w:p>
        </w:tc>
        <w:tc>
          <w:tcPr>
            <w:tcW w:w="880" w:type="dxa"/>
            <w:tcBorders>
              <w:top w:val="nil"/>
              <w:left w:val="nil"/>
              <w:bottom w:val="single" w:sz="8" w:space="0" w:color="BFBFBF"/>
              <w:right w:val="single" w:sz="8" w:space="0" w:color="BFBFBF"/>
            </w:tcBorders>
            <w:shd w:val="clear" w:color="auto" w:fill="auto"/>
            <w:noWrap/>
            <w:vAlign w:val="center"/>
            <w:hideMark/>
          </w:tcPr>
          <w:p w14:paraId="0CC4274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nil"/>
              <w:left w:val="nil"/>
              <w:bottom w:val="single" w:sz="8" w:space="0" w:color="BFBFBF"/>
              <w:right w:val="single" w:sz="8" w:space="0" w:color="BFBFBF"/>
            </w:tcBorders>
            <w:shd w:val="clear" w:color="auto" w:fill="auto"/>
            <w:noWrap/>
            <w:vAlign w:val="center"/>
            <w:hideMark/>
          </w:tcPr>
          <w:p w14:paraId="5C245A9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ECRIGE-CDMX</w:t>
            </w:r>
          </w:p>
        </w:tc>
        <w:tc>
          <w:tcPr>
            <w:tcW w:w="1300" w:type="dxa"/>
            <w:tcBorders>
              <w:top w:val="nil"/>
              <w:left w:val="nil"/>
              <w:bottom w:val="single" w:sz="8" w:space="0" w:color="BFBFBF"/>
              <w:right w:val="single" w:sz="8" w:space="0" w:color="BFBFBF"/>
            </w:tcBorders>
            <w:shd w:val="clear" w:color="auto" w:fill="auto"/>
            <w:noWrap/>
            <w:vAlign w:val="center"/>
            <w:hideMark/>
          </w:tcPr>
          <w:p w14:paraId="79B40D5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0B71F06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D2028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45B8365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4708C1C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35FECEE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0B54451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3AEA6C2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w:t>
            </w:r>
          </w:p>
        </w:tc>
        <w:tc>
          <w:tcPr>
            <w:tcW w:w="494" w:type="dxa"/>
            <w:tcBorders>
              <w:top w:val="nil"/>
              <w:left w:val="nil"/>
              <w:bottom w:val="single" w:sz="8" w:space="0" w:color="BFBFBF"/>
              <w:right w:val="single" w:sz="8" w:space="0" w:color="BFBFBF"/>
            </w:tcBorders>
            <w:shd w:val="clear" w:color="auto" w:fill="auto"/>
            <w:noWrap/>
            <w:vAlign w:val="center"/>
            <w:hideMark/>
          </w:tcPr>
          <w:p w14:paraId="4E43D8E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1BE3F8D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13CF41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1108187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26%</w:t>
            </w:r>
          </w:p>
        </w:tc>
        <w:tc>
          <w:tcPr>
            <w:tcW w:w="460" w:type="dxa"/>
            <w:tcBorders>
              <w:top w:val="nil"/>
              <w:left w:val="nil"/>
              <w:bottom w:val="single" w:sz="8" w:space="0" w:color="BFBFBF"/>
              <w:right w:val="single" w:sz="8" w:space="0" w:color="BFBFBF"/>
            </w:tcBorders>
            <w:shd w:val="clear" w:color="auto" w:fill="auto"/>
            <w:noWrap/>
            <w:vAlign w:val="center"/>
            <w:hideMark/>
          </w:tcPr>
          <w:p w14:paraId="7E9F2E4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3BBF113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4F8556C3"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FB0D54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Trienal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F200B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8117D9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ENAID</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20BC3E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8682C2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F735BF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79CFF1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CF394F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7A584C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3E33B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F65F8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10%</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5EBA0B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B823B5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E2B59E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026243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248AF6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97D85D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0F890BB5"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495E4AC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Bienal</w:t>
            </w:r>
          </w:p>
        </w:tc>
        <w:tc>
          <w:tcPr>
            <w:tcW w:w="880" w:type="dxa"/>
            <w:tcBorders>
              <w:top w:val="nil"/>
              <w:left w:val="nil"/>
              <w:bottom w:val="single" w:sz="8" w:space="0" w:color="BFBFBF"/>
              <w:right w:val="single" w:sz="8" w:space="0" w:color="BFBFBF"/>
            </w:tcBorders>
            <w:shd w:val="clear" w:color="auto" w:fill="auto"/>
            <w:noWrap/>
            <w:vAlign w:val="center"/>
            <w:hideMark/>
          </w:tcPr>
          <w:p w14:paraId="4166DF1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DGIAI</w:t>
            </w:r>
          </w:p>
        </w:tc>
        <w:tc>
          <w:tcPr>
            <w:tcW w:w="1280" w:type="dxa"/>
            <w:tcBorders>
              <w:top w:val="nil"/>
              <w:left w:val="nil"/>
              <w:bottom w:val="single" w:sz="8" w:space="0" w:color="BFBFBF"/>
              <w:right w:val="single" w:sz="8" w:space="0" w:color="BFBFBF"/>
            </w:tcBorders>
            <w:shd w:val="clear" w:color="auto" w:fill="auto"/>
            <w:noWrap/>
            <w:vAlign w:val="center"/>
            <w:hideMark/>
          </w:tcPr>
          <w:p w14:paraId="2289AE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ENBIARE</w:t>
            </w:r>
          </w:p>
        </w:tc>
        <w:tc>
          <w:tcPr>
            <w:tcW w:w="1300" w:type="dxa"/>
            <w:tcBorders>
              <w:top w:val="nil"/>
              <w:left w:val="nil"/>
              <w:bottom w:val="single" w:sz="8" w:space="0" w:color="BFBFBF"/>
              <w:right w:val="single" w:sz="8" w:space="0" w:color="BFBFBF"/>
            </w:tcBorders>
            <w:shd w:val="clear" w:color="auto" w:fill="auto"/>
            <w:noWrap/>
            <w:vAlign w:val="center"/>
            <w:hideMark/>
          </w:tcPr>
          <w:p w14:paraId="16E9FEF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29E7B89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39A1C87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0E94FD0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666" w:type="dxa"/>
            <w:tcBorders>
              <w:top w:val="nil"/>
              <w:left w:val="nil"/>
              <w:bottom w:val="single" w:sz="8" w:space="0" w:color="BFBFBF"/>
              <w:right w:val="single" w:sz="8" w:space="0" w:color="BFBFBF"/>
            </w:tcBorders>
            <w:shd w:val="clear" w:color="auto" w:fill="auto"/>
            <w:noWrap/>
            <w:vAlign w:val="center"/>
            <w:hideMark/>
          </w:tcPr>
          <w:p w14:paraId="04BC20C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404167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2838F01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2B5F14B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79AAAE6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17%</w:t>
            </w:r>
          </w:p>
        </w:tc>
        <w:tc>
          <w:tcPr>
            <w:tcW w:w="568" w:type="dxa"/>
            <w:tcBorders>
              <w:top w:val="nil"/>
              <w:left w:val="nil"/>
              <w:bottom w:val="single" w:sz="8" w:space="0" w:color="BFBFBF"/>
              <w:right w:val="single" w:sz="8" w:space="0" w:color="BFBFBF"/>
            </w:tcBorders>
            <w:shd w:val="clear" w:color="auto" w:fill="auto"/>
            <w:noWrap/>
            <w:vAlign w:val="center"/>
            <w:hideMark/>
          </w:tcPr>
          <w:p w14:paraId="23F2BF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329B108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1D700F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304BB98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641833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249E1A93"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792E15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Bienal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8DC98F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1E5BA1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ENIGH_T</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521B7C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9947E4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99</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0BD1E9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24C6F6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99</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95AEB1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FF9599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BEF1BA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F056E3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E6176C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C1607A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4318D2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C01F80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93ED1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FFC7E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45BE23F2"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606E300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Bienal</w:t>
            </w:r>
          </w:p>
        </w:tc>
        <w:tc>
          <w:tcPr>
            <w:tcW w:w="880" w:type="dxa"/>
            <w:tcBorders>
              <w:top w:val="nil"/>
              <w:left w:val="nil"/>
              <w:bottom w:val="single" w:sz="8" w:space="0" w:color="BFBFBF"/>
              <w:right w:val="single" w:sz="8" w:space="0" w:color="BFBFBF"/>
            </w:tcBorders>
            <w:shd w:val="clear" w:color="auto" w:fill="auto"/>
            <w:noWrap/>
            <w:vAlign w:val="center"/>
            <w:hideMark/>
          </w:tcPr>
          <w:p w14:paraId="7E353FF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nil"/>
              <w:left w:val="nil"/>
              <w:bottom w:val="single" w:sz="8" w:space="0" w:color="BFBFBF"/>
              <w:right w:val="single" w:sz="8" w:space="0" w:color="BFBFBF"/>
            </w:tcBorders>
            <w:shd w:val="clear" w:color="auto" w:fill="auto"/>
            <w:noWrap/>
            <w:vAlign w:val="center"/>
            <w:hideMark/>
          </w:tcPr>
          <w:p w14:paraId="5BE445F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ENCIG</w:t>
            </w:r>
          </w:p>
        </w:tc>
        <w:tc>
          <w:tcPr>
            <w:tcW w:w="1300" w:type="dxa"/>
            <w:tcBorders>
              <w:top w:val="nil"/>
              <w:left w:val="nil"/>
              <w:bottom w:val="single" w:sz="8" w:space="0" w:color="BFBFBF"/>
              <w:right w:val="single" w:sz="8" w:space="0" w:color="BFBFBF"/>
            </w:tcBorders>
            <w:shd w:val="clear" w:color="auto" w:fill="auto"/>
            <w:noWrap/>
            <w:vAlign w:val="center"/>
            <w:hideMark/>
          </w:tcPr>
          <w:p w14:paraId="5F5C0C9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695BAEC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7D4C21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32</w:t>
            </w:r>
          </w:p>
        </w:tc>
        <w:tc>
          <w:tcPr>
            <w:tcW w:w="666" w:type="dxa"/>
            <w:tcBorders>
              <w:top w:val="nil"/>
              <w:left w:val="nil"/>
              <w:bottom w:val="single" w:sz="8" w:space="0" w:color="BFBFBF"/>
              <w:right w:val="single" w:sz="8" w:space="0" w:color="BFBFBF"/>
            </w:tcBorders>
            <w:shd w:val="clear" w:color="auto" w:fill="auto"/>
            <w:noWrap/>
            <w:vAlign w:val="center"/>
            <w:hideMark/>
          </w:tcPr>
          <w:p w14:paraId="6CA510E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1386810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1100" w:type="dxa"/>
            <w:tcBorders>
              <w:top w:val="nil"/>
              <w:left w:val="nil"/>
              <w:bottom w:val="single" w:sz="8" w:space="0" w:color="BFBFBF"/>
              <w:right w:val="single" w:sz="8" w:space="0" w:color="BFBFBF"/>
            </w:tcBorders>
            <w:shd w:val="clear" w:color="auto" w:fill="auto"/>
            <w:noWrap/>
            <w:vAlign w:val="center"/>
            <w:hideMark/>
          </w:tcPr>
          <w:p w14:paraId="2A0FCC6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3B22028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22C7F73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94" w:type="dxa"/>
            <w:tcBorders>
              <w:top w:val="nil"/>
              <w:left w:val="nil"/>
              <w:bottom w:val="single" w:sz="8" w:space="0" w:color="BFBFBF"/>
              <w:right w:val="single" w:sz="8" w:space="0" w:color="BFBFBF"/>
            </w:tcBorders>
            <w:shd w:val="clear" w:color="auto" w:fill="auto"/>
            <w:noWrap/>
            <w:vAlign w:val="center"/>
            <w:hideMark/>
          </w:tcPr>
          <w:p w14:paraId="6C63003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2D0B5F7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285B632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54F89F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nil"/>
              <w:left w:val="nil"/>
              <w:bottom w:val="single" w:sz="8" w:space="0" w:color="BFBFBF"/>
              <w:right w:val="single" w:sz="8" w:space="0" w:color="BFBFBF"/>
            </w:tcBorders>
            <w:shd w:val="clear" w:color="auto" w:fill="auto"/>
            <w:noWrap/>
            <w:vAlign w:val="center"/>
            <w:hideMark/>
          </w:tcPr>
          <w:p w14:paraId="610F79C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29BFFF9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r>
      <w:tr w:rsidR="00E729CB" w:rsidRPr="001738EC" w14:paraId="10162CF6"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A75C2B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Bienal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2BB00F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B2065C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ENVE</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4ECAA8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655FE5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C0B23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25EB64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684940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72F5AC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30%</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EBB8C9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C0E65F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F69682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9CE64D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DFF1B2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EC207A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4AC72F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6C49F0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r>
      <w:tr w:rsidR="00E729CB" w:rsidRPr="001738EC" w14:paraId="6DA91F7E"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3DC7832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2A003C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662A3E9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EAC</w:t>
            </w:r>
          </w:p>
        </w:tc>
        <w:tc>
          <w:tcPr>
            <w:tcW w:w="1300" w:type="dxa"/>
            <w:tcBorders>
              <w:top w:val="nil"/>
              <w:left w:val="nil"/>
              <w:bottom w:val="single" w:sz="8" w:space="0" w:color="BFBFBF"/>
              <w:right w:val="single" w:sz="8" w:space="0" w:color="BFBFBF"/>
            </w:tcBorders>
            <w:shd w:val="clear" w:color="auto" w:fill="auto"/>
            <w:noWrap/>
            <w:vAlign w:val="center"/>
            <w:hideMark/>
          </w:tcPr>
          <w:p w14:paraId="7DAF51A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49DCAC7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31D0423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1D88352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41</w:t>
            </w:r>
          </w:p>
        </w:tc>
        <w:tc>
          <w:tcPr>
            <w:tcW w:w="666" w:type="dxa"/>
            <w:tcBorders>
              <w:top w:val="nil"/>
              <w:left w:val="nil"/>
              <w:bottom w:val="single" w:sz="8" w:space="0" w:color="BFBFBF"/>
              <w:right w:val="single" w:sz="8" w:space="0" w:color="BFBFBF"/>
            </w:tcBorders>
            <w:shd w:val="clear" w:color="auto" w:fill="auto"/>
            <w:noWrap/>
            <w:vAlign w:val="center"/>
            <w:hideMark/>
          </w:tcPr>
          <w:p w14:paraId="0D6C13D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41</w:t>
            </w:r>
          </w:p>
        </w:tc>
        <w:tc>
          <w:tcPr>
            <w:tcW w:w="1100" w:type="dxa"/>
            <w:tcBorders>
              <w:top w:val="nil"/>
              <w:left w:val="nil"/>
              <w:bottom w:val="single" w:sz="8" w:space="0" w:color="BFBFBF"/>
              <w:right w:val="single" w:sz="8" w:space="0" w:color="BFBFBF"/>
            </w:tcBorders>
            <w:shd w:val="clear" w:color="auto" w:fill="auto"/>
            <w:noWrap/>
            <w:vAlign w:val="center"/>
            <w:hideMark/>
          </w:tcPr>
          <w:p w14:paraId="06416CC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16F5FF8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589" w:type="dxa"/>
            <w:tcBorders>
              <w:top w:val="nil"/>
              <w:left w:val="nil"/>
              <w:bottom w:val="single" w:sz="8" w:space="0" w:color="BFBFBF"/>
              <w:right w:val="single" w:sz="8" w:space="0" w:color="BFBFBF"/>
            </w:tcBorders>
            <w:shd w:val="clear" w:color="auto" w:fill="auto"/>
            <w:noWrap/>
            <w:vAlign w:val="center"/>
            <w:hideMark/>
          </w:tcPr>
          <w:p w14:paraId="7659C37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94" w:type="dxa"/>
            <w:tcBorders>
              <w:top w:val="nil"/>
              <w:left w:val="nil"/>
              <w:bottom w:val="single" w:sz="8" w:space="0" w:color="BFBFBF"/>
              <w:right w:val="single" w:sz="8" w:space="0" w:color="BFBFBF"/>
            </w:tcBorders>
            <w:shd w:val="clear" w:color="auto" w:fill="auto"/>
            <w:noWrap/>
            <w:vAlign w:val="center"/>
            <w:hideMark/>
          </w:tcPr>
          <w:p w14:paraId="6CABFCF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568" w:type="dxa"/>
            <w:tcBorders>
              <w:top w:val="nil"/>
              <w:left w:val="nil"/>
              <w:bottom w:val="single" w:sz="8" w:space="0" w:color="BFBFBF"/>
              <w:right w:val="single" w:sz="8" w:space="0" w:color="BFBFBF"/>
            </w:tcBorders>
            <w:shd w:val="clear" w:color="auto" w:fill="auto"/>
            <w:noWrap/>
            <w:vAlign w:val="center"/>
            <w:hideMark/>
          </w:tcPr>
          <w:p w14:paraId="1D13DEF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460" w:type="dxa"/>
            <w:tcBorders>
              <w:top w:val="nil"/>
              <w:left w:val="nil"/>
              <w:bottom w:val="single" w:sz="8" w:space="0" w:color="BFBFBF"/>
              <w:right w:val="single" w:sz="8" w:space="0" w:color="BFBFBF"/>
            </w:tcBorders>
            <w:shd w:val="clear" w:color="auto" w:fill="auto"/>
            <w:noWrap/>
            <w:vAlign w:val="center"/>
            <w:hideMark/>
          </w:tcPr>
          <w:p w14:paraId="1E5D070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71E3E0A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4E2E2E3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5CB02C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72D71AA5"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C2A068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34A511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515176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EAEC</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5307C0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013D53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3E683C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35</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5B48D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36</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206DD4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36</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C6430A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AAB6F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DE2676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1A6DB8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9417BF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03DF1D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374DFD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5BCF1A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C909CA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56A0B2F2"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4126139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6CC9839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09CABAA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EAIM</w:t>
            </w:r>
          </w:p>
        </w:tc>
        <w:tc>
          <w:tcPr>
            <w:tcW w:w="1300" w:type="dxa"/>
            <w:tcBorders>
              <w:top w:val="nil"/>
              <w:left w:val="nil"/>
              <w:bottom w:val="single" w:sz="8" w:space="0" w:color="BFBFBF"/>
              <w:right w:val="single" w:sz="8" w:space="0" w:color="BFBFBF"/>
            </w:tcBorders>
            <w:shd w:val="clear" w:color="auto" w:fill="auto"/>
            <w:noWrap/>
            <w:vAlign w:val="center"/>
            <w:hideMark/>
          </w:tcPr>
          <w:p w14:paraId="4167A7D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409F5AD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3C6BF1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223</w:t>
            </w:r>
          </w:p>
        </w:tc>
        <w:tc>
          <w:tcPr>
            <w:tcW w:w="666" w:type="dxa"/>
            <w:tcBorders>
              <w:top w:val="nil"/>
              <w:left w:val="nil"/>
              <w:bottom w:val="single" w:sz="8" w:space="0" w:color="BFBFBF"/>
              <w:right w:val="single" w:sz="8" w:space="0" w:color="BFBFBF"/>
            </w:tcBorders>
            <w:shd w:val="clear" w:color="auto" w:fill="auto"/>
            <w:noWrap/>
            <w:vAlign w:val="center"/>
            <w:hideMark/>
          </w:tcPr>
          <w:p w14:paraId="140D188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224</w:t>
            </w:r>
          </w:p>
        </w:tc>
        <w:tc>
          <w:tcPr>
            <w:tcW w:w="666" w:type="dxa"/>
            <w:tcBorders>
              <w:top w:val="nil"/>
              <w:left w:val="nil"/>
              <w:bottom w:val="single" w:sz="8" w:space="0" w:color="BFBFBF"/>
              <w:right w:val="single" w:sz="8" w:space="0" w:color="BFBFBF"/>
            </w:tcBorders>
            <w:shd w:val="clear" w:color="auto" w:fill="auto"/>
            <w:noWrap/>
            <w:vAlign w:val="center"/>
            <w:hideMark/>
          </w:tcPr>
          <w:p w14:paraId="5572178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224</w:t>
            </w:r>
          </w:p>
        </w:tc>
        <w:tc>
          <w:tcPr>
            <w:tcW w:w="1100" w:type="dxa"/>
            <w:tcBorders>
              <w:top w:val="nil"/>
              <w:left w:val="nil"/>
              <w:bottom w:val="single" w:sz="8" w:space="0" w:color="BFBFBF"/>
              <w:right w:val="single" w:sz="8" w:space="0" w:color="BFBFBF"/>
            </w:tcBorders>
            <w:shd w:val="clear" w:color="auto" w:fill="auto"/>
            <w:noWrap/>
            <w:vAlign w:val="center"/>
            <w:hideMark/>
          </w:tcPr>
          <w:p w14:paraId="14FE84B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033744E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589" w:type="dxa"/>
            <w:tcBorders>
              <w:top w:val="nil"/>
              <w:left w:val="nil"/>
              <w:bottom w:val="single" w:sz="8" w:space="0" w:color="BFBFBF"/>
              <w:right w:val="single" w:sz="8" w:space="0" w:color="BFBFBF"/>
            </w:tcBorders>
            <w:shd w:val="clear" w:color="auto" w:fill="auto"/>
            <w:noWrap/>
            <w:vAlign w:val="center"/>
            <w:hideMark/>
          </w:tcPr>
          <w:p w14:paraId="7A5BA15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494" w:type="dxa"/>
            <w:tcBorders>
              <w:top w:val="nil"/>
              <w:left w:val="nil"/>
              <w:bottom w:val="single" w:sz="8" w:space="0" w:color="BFBFBF"/>
              <w:right w:val="single" w:sz="8" w:space="0" w:color="BFBFBF"/>
            </w:tcBorders>
            <w:shd w:val="clear" w:color="auto" w:fill="auto"/>
            <w:noWrap/>
            <w:vAlign w:val="center"/>
            <w:hideMark/>
          </w:tcPr>
          <w:p w14:paraId="2848983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568" w:type="dxa"/>
            <w:tcBorders>
              <w:top w:val="nil"/>
              <w:left w:val="nil"/>
              <w:bottom w:val="single" w:sz="8" w:space="0" w:color="BFBFBF"/>
              <w:right w:val="single" w:sz="8" w:space="0" w:color="BFBFBF"/>
            </w:tcBorders>
            <w:shd w:val="clear" w:color="auto" w:fill="auto"/>
            <w:noWrap/>
            <w:vAlign w:val="center"/>
            <w:hideMark/>
          </w:tcPr>
          <w:p w14:paraId="040537A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c>
          <w:tcPr>
            <w:tcW w:w="460" w:type="dxa"/>
            <w:tcBorders>
              <w:top w:val="nil"/>
              <w:left w:val="nil"/>
              <w:bottom w:val="single" w:sz="8" w:space="0" w:color="BFBFBF"/>
              <w:right w:val="single" w:sz="8" w:space="0" w:color="BFBFBF"/>
            </w:tcBorders>
            <w:shd w:val="clear" w:color="auto" w:fill="auto"/>
            <w:noWrap/>
            <w:vAlign w:val="center"/>
            <w:hideMark/>
          </w:tcPr>
          <w:p w14:paraId="5734AC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1AD70C7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47062E1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5321E6D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613C297C"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DFDD1A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D6077B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8DD7A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EASPNF</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A304E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FFEEAC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180BEB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3221D3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90</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EC7CEE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90</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593A6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4233E8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7221C6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2A87C1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4ACCAE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3EFFBB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89998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776262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AA2C3B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40D7B0EB"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5C10759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7E7C82F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09B823E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EAT</w:t>
            </w:r>
          </w:p>
        </w:tc>
        <w:tc>
          <w:tcPr>
            <w:tcW w:w="1300" w:type="dxa"/>
            <w:tcBorders>
              <w:top w:val="nil"/>
              <w:left w:val="nil"/>
              <w:bottom w:val="single" w:sz="8" w:space="0" w:color="BFBFBF"/>
              <w:right w:val="single" w:sz="8" w:space="0" w:color="BFBFBF"/>
            </w:tcBorders>
            <w:shd w:val="clear" w:color="auto" w:fill="auto"/>
            <w:noWrap/>
            <w:vAlign w:val="center"/>
            <w:hideMark/>
          </w:tcPr>
          <w:p w14:paraId="7846325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380693F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6F66581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444E7ED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666" w:type="dxa"/>
            <w:tcBorders>
              <w:top w:val="nil"/>
              <w:left w:val="nil"/>
              <w:bottom w:val="single" w:sz="8" w:space="0" w:color="BFBFBF"/>
              <w:right w:val="single" w:sz="8" w:space="0" w:color="BFBFBF"/>
            </w:tcBorders>
            <w:shd w:val="clear" w:color="auto" w:fill="auto"/>
            <w:noWrap/>
            <w:vAlign w:val="center"/>
            <w:hideMark/>
          </w:tcPr>
          <w:p w14:paraId="1265BEB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1100" w:type="dxa"/>
            <w:tcBorders>
              <w:top w:val="nil"/>
              <w:left w:val="nil"/>
              <w:bottom w:val="single" w:sz="8" w:space="0" w:color="BFBFBF"/>
              <w:right w:val="single" w:sz="8" w:space="0" w:color="BFBFBF"/>
            </w:tcBorders>
            <w:shd w:val="clear" w:color="auto" w:fill="auto"/>
            <w:noWrap/>
            <w:vAlign w:val="center"/>
            <w:hideMark/>
          </w:tcPr>
          <w:p w14:paraId="6452A2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5127C32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589" w:type="dxa"/>
            <w:tcBorders>
              <w:top w:val="nil"/>
              <w:left w:val="nil"/>
              <w:bottom w:val="single" w:sz="8" w:space="0" w:color="BFBFBF"/>
              <w:right w:val="single" w:sz="8" w:space="0" w:color="BFBFBF"/>
            </w:tcBorders>
            <w:shd w:val="clear" w:color="auto" w:fill="auto"/>
            <w:noWrap/>
            <w:vAlign w:val="center"/>
            <w:hideMark/>
          </w:tcPr>
          <w:p w14:paraId="7D7573D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94" w:type="dxa"/>
            <w:tcBorders>
              <w:top w:val="nil"/>
              <w:left w:val="nil"/>
              <w:bottom w:val="single" w:sz="8" w:space="0" w:color="BFBFBF"/>
              <w:right w:val="single" w:sz="8" w:space="0" w:color="BFBFBF"/>
            </w:tcBorders>
            <w:shd w:val="clear" w:color="auto" w:fill="auto"/>
            <w:noWrap/>
            <w:vAlign w:val="center"/>
            <w:hideMark/>
          </w:tcPr>
          <w:p w14:paraId="1DEA21C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18%</w:t>
            </w:r>
          </w:p>
        </w:tc>
        <w:tc>
          <w:tcPr>
            <w:tcW w:w="568" w:type="dxa"/>
            <w:tcBorders>
              <w:top w:val="nil"/>
              <w:left w:val="nil"/>
              <w:bottom w:val="single" w:sz="8" w:space="0" w:color="BFBFBF"/>
              <w:right w:val="single" w:sz="8" w:space="0" w:color="BFBFBF"/>
            </w:tcBorders>
            <w:shd w:val="clear" w:color="auto" w:fill="auto"/>
            <w:noWrap/>
            <w:vAlign w:val="center"/>
            <w:hideMark/>
          </w:tcPr>
          <w:p w14:paraId="3A1E8FF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29%</w:t>
            </w:r>
          </w:p>
        </w:tc>
        <w:tc>
          <w:tcPr>
            <w:tcW w:w="460" w:type="dxa"/>
            <w:tcBorders>
              <w:top w:val="nil"/>
              <w:left w:val="nil"/>
              <w:bottom w:val="single" w:sz="8" w:space="0" w:color="BFBFBF"/>
              <w:right w:val="single" w:sz="8" w:space="0" w:color="BFBFBF"/>
            </w:tcBorders>
            <w:shd w:val="clear" w:color="auto" w:fill="auto"/>
            <w:noWrap/>
            <w:vAlign w:val="center"/>
            <w:hideMark/>
          </w:tcPr>
          <w:p w14:paraId="41857A7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38B8774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17C5D52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1B8E657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4368FA3B"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DAAF8A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312950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AEC36B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ECIS</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2FCBA8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48D1DB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4B9F0A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C5274E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25BEF9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C03C29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40%</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74CAD9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AC3D1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1AF8C6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6A9C2A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99D50D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3332F9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B53B0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CA725F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45274B0B"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2D54806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1DCFAB0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42E094F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ENDUTIH</w:t>
            </w:r>
          </w:p>
        </w:tc>
        <w:tc>
          <w:tcPr>
            <w:tcW w:w="1300" w:type="dxa"/>
            <w:tcBorders>
              <w:top w:val="nil"/>
              <w:left w:val="nil"/>
              <w:bottom w:val="single" w:sz="8" w:space="0" w:color="BFBFBF"/>
              <w:right w:val="single" w:sz="8" w:space="0" w:color="BFBFBF"/>
            </w:tcBorders>
            <w:shd w:val="clear" w:color="auto" w:fill="auto"/>
            <w:noWrap/>
            <w:vAlign w:val="center"/>
            <w:hideMark/>
          </w:tcPr>
          <w:p w14:paraId="3CC094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4304AC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566F65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7A06343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39</w:t>
            </w:r>
          </w:p>
        </w:tc>
        <w:tc>
          <w:tcPr>
            <w:tcW w:w="666" w:type="dxa"/>
            <w:tcBorders>
              <w:top w:val="nil"/>
              <w:left w:val="nil"/>
              <w:bottom w:val="single" w:sz="8" w:space="0" w:color="BFBFBF"/>
              <w:right w:val="single" w:sz="8" w:space="0" w:color="BFBFBF"/>
            </w:tcBorders>
            <w:shd w:val="clear" w:color="auto" w:fill="auto"/>
            <w:noWrap/>
            <w:vAlign w:val="center"/>
            <w:hideMark/>
          </w:tcPr>
          <w:p w14:paraId="5B0DE11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39</w:t>
            </w:r>
          </w:p>
        </w:tc>
        <w:tc>
          <w:tcPr>
            <w:tcW w:w="1100" w:type="dxa"/>
            <w:tcBorders>
              <w:top w:val="nil"/>
              <w:left w:val="nil"/>
              <w:bottom w:val="single" w:sz="8" w:space="0" w:color="BFBFBF"/>
              <w:right w:val="single" w:sz="8" w:space="0" w:color="BFBFBF"/>
            </w:tcBorders>
            <w:shd w:val="clear" w:color="auto" w:fill="auto"/>
            <w:noWrap/>
            <w:vAlign w:val="center"/>
            <w:hideMark/>
          </w:tcPr>
          <w:p w14:paraId="3E8047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5A3B638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336632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94" w:type="dxa"/>
            <w:tcBorders>
              <w:top w:val="nil"/>
              <w:left w:val="nil"/>
              <w:bottom w:val="single" w:sz="8" w:space="0" w:color="BFBFBF"/>
              <w:right w:val="single" w:sz="8" w:space="0" w:color="BFBFBF"/>
            </w:tcBorders>
            <w:shd w:val="clear" w:color="auto" w:fill="auto"/>
            <w:noWrap/>
            <w:vAlign w:val="center"/>
            <w:hideMark/>
          </w:tcPr>
          <w:p w14:paraId="729CAC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568" w:type="dxa"/>
            <w:tcBorders>
              <w:top w:val="nil"/>
              <w:left w:val="nil"/>
              <w:bottom w:val="single" w:sz="8" w:space="0" w:color="BFBFBF"/>
              <w:right w:val="single" w:sz="8" w:space="0" w:color="BFBFBF"/>
            </w:tcBorders>
            <w:shd w:val="clear" w:color="auto" w:fill="auto"/>
            <w:noWrap/>
            <w:vAlign w:val="center"/>
            <w:hideMark/>
          </w:tcPr>
          <w:p w14:paraId="7F9EAF8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w:t>
            </w:r>
          </w:p>
        </w:tc>
        <w:tc>
          <w:tcPr>
            <w:tcW w:w="460" w:type="dxa"/>
            <w:tcBorders>
              <w:top w:val="nil"/>
              <w:left w:val="nil"/>
              <w:bottom w:val="single" w:sz="8" w:space="0" w:color="BFBFBF"/>
              <w:right w:val="single" w:sz="8" w:space="0" w:color="BFBFBF"/>
            </w:tcBorders>
            <w:shd w:val="clear" w:color="auto" w:fill="auto"/>
            <w:noWrap/>
            <w:vAlign w:val="center"/>
            <w:hideMark/>
          </w:tcPr>
          <w:p w14:paraId="05C1CE8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771BDE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032D81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03C55A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r>
      <w:tr w:rsidR="00E729CB" w:rsidRPr="001738EC" w14:paraId="08454012"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F76BF8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99D6C3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74E38B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ENH</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EE305D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6650EB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DF30A2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FD95B6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095359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735EF9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B3673B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301FBD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E2812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25E2BB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1C08EF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33927B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2B67C9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DD67B4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13626456"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63B7B91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1A45B82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7FB654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MODECULT</w:t>
            </w:r>
          </w:p>
        </w:tc>
        <w:tc>
          <w:tcPr>
            <w:tcW w:w="1300" w:type="dxa"/>
            <w:tcBorders>
              <w:top w:val="nil"/>
              <w:left w:val="nil"/>
              <w:bottom w:val="single" w:sz="8" w:space="0" w:color="BFBFBF"/>
              <w:right w:val="single" w:sz="8" w:space="0" w:color="BFBFBF"/>
            </w:tcBorders>
            <w:shd w:val="clear" w:color="auto" w:fill="auto"/>
            <w:noWrap/>
            <w:vAlign w:val="center"/>
            <w:hideMark/>
          </w:tcPr>
          <w:p w14:paraId="10C67D6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2022</w:t>
            </w:r>
          </w:p>
        </w:tc>
        <w:tc>
          <w:tcPr>
            <w:tcW w:w="802" w:type="dxa"/>
            <w:tcBorders>
              <w:top w:val="nil"/>
              <w:left w:val="nil"/>
              <w:bottom w:val="single" w:sz="8" w:space="0" w:color="BFBFBF"/>
              <w:right w:val="single" w:sz="8" w:space="0" w:color="BFBFBF"/>
            </w:tcBorders>
            <w:shd w:val="clear" w:color="auto" w:fill="auto"/>
            <w:noWrap/>
            <w:vAlign w:val="center"/>
            <w:hideMark/>
          </w:tcPr>
          <w:p w14:paraId="29C4FB2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04E31BB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17AB4FE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222597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1100" w:type="dxa"/>
            <w:tcBorders>
              <w:top w:val="nil"/>
              <w:left w:val="nil"/>
              <w:bottom w:val="single" w:sz="8" w:space="0" w:color="BFBFBF"/>
              <w:right w:val="single" w:sz="8" w:space="0" w:color="BFBFBF"/>
            </w:tcBorders>
            <w:shd w:val="clear" w:color="auto" w:fill="auto"/>
            <w:noWrap/>
            <w:vAlign w:val="center"/>
            <w:hideMark/>
          </w:tcPr>
          <w:p w14:paraId="172B4AC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72DFB4C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0B26973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29%</w:t>
            </w:r>
          </w:p>
        </w:tc>
        <w:tc>
          <w:tcPr>
            <w:tcW w:w="494" w:type="dxa"/>
            <w:tcBorders>
              <w:top w:val="nil"/>
              <w:left w:val="nil"/>
              <w:bottom w:val="single" w:sz="8" w:space="0" w:color="BFBFBF"/>
              <w:right w:val="single" w:sz="8" w:space="0" w:color="BFBFBF"/>
            </w:tcBorders>
            <w:shd w:val="clear" w:color="auto" w:fill="auto"/>
            <w:noWrap/>
            <w:vAlign w:val="center"/>
            <w:hideMark/>
          </w:tcPr>
          <w:p w14:paraId="62834AD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17%</w:t>
            </w:r>
          </w:p>
        </w:tc>
        <w:tc>
          <w:tcPr>
            <w:tcW w:w="568" w:type="dxa"/>
            <w:tcBorders>
              <w:top w:val="nil"/>
              <w:left w:val="nil"/>
              <w:bottom w:val="single" w:sz="8" w:space="0" w:color="BFBFBF"/>
              <w:right w:val="single" w:sz="8" w:space="0" w:color="BFBFBF"/>
            </w:tcBorders>
            <w:shd w:val="clear" w:color="auto" w:fill="auto"/>
            <w:noWrap/>
            <w:vAlign w:val="center"/>
            <w:hideMark/>
          </w:tcPr>
          <w:p w14:paraId="61DA95E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460" w:type="dxa"/>
            <w:tcBorders>
              <w:top w:val="nil"/>
              <w:left w:val="nil"/>
              <w:bottom w:val="single" w:sz="8" w:space="0" w:color="BFBFBF"/>
              <w:right w:val="single" w:sz="8" w:space="0" w:color="BFBFBF"/>
            </w:tcBorders>
            <w:shd w:val="clear" w:color="auto" w:fill="auto"/>
            <w:noWrap/>
            <w:vAlign w:val="center"/>
            <w:hideMark/>
          </w:tcPr>
          <w:p w14:paraId="19B5DEE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nil"/>
              <w:left w:val="nil"/>
              <w:bottom w:val="single" w:sz="8" w:space="0" w:color="BFBFBF"/>
              <w:right w:val="single" w:sz="8" w:space="0" w:color="BFBFBF"/>
            </w:tcBorders>
            <w:shd w:val="clear" w:color="auto" w:fill="auto"/>
            <w:noWrap/>
            <w:vAlign w:val="center"/>
            <w:hideMark/>
          </w:tcPr>
          <w:p w14:paraId="7134A3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460" w:type="dxa"/>
            <w:tcBorders>
              <w:top w:val="nil"/>
              <w:left w:val="nil"/>
              <w:bottom w:val="single" w:sz="8" w:space="0" w:color="BFBFBF"/>
              <w:right w:val="single" w:sz="8" w:space="0" w:color="BFBFBF"/>
            </w:tcBorders>
            <w:shd w:val="clear" w:color="auto" w:fill="auto"/>
            <w:noWrap/>
            <w:vAlign w:val="center"/>
            <w:hideMark/>
          </w:tcPr>
          <w:p w14:paraId="0B61E0D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460" w:type="dxa"/>
            <w:tcBorders>
              <w:top w:val="nil"/>
              <w:left w:val="nil"/>
              <w:bottom w:val="single" w:sz="8" w:space="0" w:color="BFBFBF"/>
              <w:right w:val="single" w:sz="8" w:space="0" w:color="BFBFBF"/>
            </w:tcBorders>
            <w:shd w:val="clear" w:color="auto" w:fill="auto"/>
            <w:noWrap/>
            <w:vAlign w:val="center"/>
            <w:hideMark/>
          </w:tcPr>
          <w:p w14:paraId="44FC054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r>
      <w:tr w:rsidR="00E729CB" w:rsidRPr="001738EC" w14:paraId="59FE6AF8"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0AFE2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6A173F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AEAAA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MOLEC</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7A3FC1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90B788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81C331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CE0644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774B63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3801B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49C7F3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2C9923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9FA052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17%</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7A5124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2BABE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11CC26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75A5E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0E19AD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r>
      <w:tr w:rsidR="00E729CB" w:rsidRPr="001738EC" w14:paraId="0D6C2DA6"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105A9AC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7EF00F8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5A9126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MOPRADEF</w:t>
            </w:r>
          </w:p>
        </w:tc>
        <w:tc>
          <w:tcPr>
            <w:tcW w:w="1300" w:type="dxa"/>
            <w:tcBorders>
              <w:top w:val="nil"/>
              <w:left w:val="nil"/>
              <w:bottom w:val="single" w:sz="8" w:space="0" w:color="BFBFBF"/>
              <w:right w:val="single" w:sz="8" w:space="0" w:color="BFBFBF"/>
            </w:tcBorders>
            <w:shd w:val="clear" w:color="auto" w:fill="auto"/>
            <w:noWrap/>
            <w:vAlign w:val="center"/>
            <w:hideMark/>
          </w:tcPr>
          <w:p w14:paraId="0D70A9B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362B904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404A892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067C47B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68D88B0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1100" w:type="dxa"/>
            <w:tcBorders>
              <w:top w:val="nil"/>
              <w:left w:val="nil"/>
              <w:bottom w:val="single" w:sz="8" w:space="0" w:color="BFBFBF"/>
              <w:right w:val="single" w:sz="8" w:space="0" w:color="BFBFBF"/>
            </w:tcBorders>
            <w:shd w:val="clear" w:color="auto" w:fill="auto"/>
            <w:noWrap/>
            <w:vAlign w:val="center"/>
            <w:hideMark/>
          </w:tcPr>
          <w:p w14:paraId="5659766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41216EB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589" w:type="dxa"/>
            <w:tcBorders>
              <w:top w:val="nil"/>
              <w:left w:val="nil"/>
              <w:bottom w:val="single" w:sz="8" w:space="0" w:color="BFBFBF"/>
              <w:right w:val="single" w:sz="8" w:space="0" w:color="BFBFBF"/>
            </w:tcBorders>
            <w:shd w:val="clear" w:color="auto" w:fill="auto"/>
            <w:noWrap/>
            <w:vAlign w:val="center"/>
            <w:hideMark/>
          </w:tcPr>
          <w:p w14:paraId="3AA06B7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494" w:type="dxa"/>
            <w:tcBorders>
              <w:top w:val="nil"/>
              <w:left w:val="nil"/>
              <w:bottom w:val="single" w:sz="8" w:space="0" w:color="BFBFBF"/>
              <w:right w:val="single" w:sz="8" w:space="0" w:color="BFBFBF"/>
            </w:tcBorders>
            <w:shd w:val="clear" w:color="auto" w:fill="auto"/>
            <w:noWrap/>
            <w:vAlign w:val="center"/>
            <w:hideMark/>
          </w:tcPr>
          <w:p w14:paraId="3748AFE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19%</w:t>
            </w:r>
          </w:p>
        </w:tc>
        <w:tc>
          <w:tcPr>
            <w:tcW w:w="568" w:type="dxa"/>
            <w:tcBorders>
              <w:top w:val="nil"/>
              <w:left w:val="nil"/>
              <w:bottom w:val="single" w:sz="8" w:space="0" w:color="BFBFBF"/>
              <w:right w:val="single" w:sz="8" w:space="0" w:color="BFBFBF"/>
            </w:tcBorders>
            <w:shd w:val="clear" w:color="auto" w:fill="auto"/>
            <w:noWrap/>
            <w:vAlign w:val="center"/>
            <w:hideMark/>
          </w:tcPr>
          <w:p w14:paraId="7A90A5F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460" w:type="dxa"/>
            <w:tcBorders>
              <w:top w:val="nil"/>
              <w:left w:val="nil"/>
              <w:bottom w:val="single" w:sz="8" w:space="0" w:color="BFBFBF"/>
              <w:right w:val="single" w:sz="8" w:space="0" w:color="BFBFBF"/>
            </w:tcBorders>
            <w:shd w:val="clear" w:color="auto" w:fill="auto"/>
            <w:noWrap/>
            <w:vAlign w:val="center"/>
            <w:hideMark/>
          </w:tcPr>
          <w:p w14:paraId="1A3C541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1772E25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nil"/>
              <w:left w:val="nil"/>
              <w:bottom w:val="single" w:sz="8" w:space="0" w:color="BFBFBF"/>
              <w:right w:val="single" w:sz="8" w:space="0" w:color="BFBFBF"/>
            </w:tcBorders>
            <w:shd w:val="clear" w:color="auto" w:fill="auto"/>
            <w:noWrap/>
            <w:vAlign w:val="center"/>
            <w:hideMark/>
          </w:tcPr>
          <w:p w14:paraId="2D61808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460" w:type="dxa"/>
            <w:tcBorders>
              <w:top w:val="nil"/>
              <w:left w:val="nil"/>
              <w:bottom w:val="single" w:sz="8" w:space="0" w:color="BFBFBF"/>
              <w:right w:val="single" w:sz="8" w:space="0" w:color="BFBFBF"/>
            </w:tcBorders>
            <w:shd w:val="clear" w:color="auto" w:fill="auto"/>
            <w:noWrap/>
            <w:vAlign w:val="center"/>
            <w:hideMark/>
          </w:tcPr>
          <w:p w14:paraId="108D07A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r>
      <w:tr w:rsidR="00E729CB" w:rsidRPr="001738EC" w14:paraId="3CD6E217"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A1FFCD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832AAA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AC9A28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ENVIPE</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46C26E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41D1EF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66</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C38F82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32</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09448D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3BADF6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1A66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6E709F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875F86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0C6B58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22E9B1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0FF964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835A13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C76E9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8F0E6E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r>
      <w:tr w:rsidR="00E729CB" w:rsidRPr="001738EC" w14:paraId="544C85D9"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1AAC72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Anual</w:t>
            </w:r>
          </w:p>
        </w:tc>
        <w:tc>
          <w:tcPr>
            <w:tcW w:w="880" w:type="dxa"/>
            <w:tcBorders>
              <w:top w:val="nil"/>
              <w:left w:val="nil"/>
              <w:bottom w:val="single" w:sz="8" w:space="0" w:color="BFBFBF"/>
              <w:right w:val="single" w:sz="8" w:space="0" w:color="BFBFBF"/>
            </w:tcBorders>
            <w:shd w:val="clear" w:color="auto" w:fill="auto"/>
            <w:noWrap/>
            <w:vAlign w:val="center"/>
            <w:hideMark/>
          </w:tcPr>
          <w:p w14:paraId="64B9683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nil"/>
              <w:left w:val="nil"/>
              <w:bottom w:val="single" w:sz="8" w:space="0" w:color="BFBFBF"/>
              <w:right w:val="single" w:sz="8" w:space="0" w:color="BFBFBF"/>
            </w:tcBorders>
            <w:shd w:val="clear" w:color="auto" w:fill="auto"/>
            <w:noWrap/>
            <w:vAlign w:val="center"/>
            <w:hideMark/>
          </w:tcPr>
          <w:p w14:paraId="37E0C7E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MOCIBA</w:t>
            </w:r>
          </w:p>
        </w:tc>
        <w:tc>
          <w:tcPr>
            <w:tcW w:w="1300" w:type="dxa"/>
            <w:tcBorders>
              <w:top w:val="nil"/>
              <w:left w:val="nil"/>
              <w:bottom w:val="single" w:sz="8" w:space="0" w:color="BFBFBF"/>
              <w:right w:val="single" w:sz="8" w:space="0" w:color="BFBFBF"/>
            </w:tcBorders>
            <w:shd w:val="clear" w:color="auto" w:fill="auto"/>
            <w:noWrap/>
            <w:vAlign w:val="center"/>
            <w:hideMark/>
          </w:tcPr>
          <w:p w14:paraId="45609C7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265E5A2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0CB4EEA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1434FC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666" w:type="dxa"/>
            <w:tcBorders>
              <w:top w:val="nil"/>
              <w:left w:val="nil"/>
              <w:bottom w:val="single" w:sz="8" w:space="0" w:color="BFBFBF"/>
              <w:right w:val="single" w:sz="8" w:space="0" w:color="BFBFBF"/>
            </w:tcBorders>
            <w:shd w:val="clear" w:color="auto" w:fill="auto"/>
            <w:noWrap/>
            <w:vAlign w:val="center"/>
            <w:hideMark/>
          </w:tcPr>
          <w:p w14:paraId="4FD7CBA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39</w:t>
            </w:r>
          </w:p>
        </w:tc>
        <w:tc>
          <w:tcPr>
            <w:tcW w:w="1100" w:type="dxa"/>
            <w:tcBorders>
              <w:top w:val="nil"/>
              <w:left w:val="nil"/>
              <w:bottom w:val="single" w:sz="8" w:space="0" w:color="BFBFBF"/>
              <w:right w:val="single" w:sz="8" w:space="0" w:color="BFBFBF"/>
            </w:tcBorders>
            <w:shd w:val="clear" w:color="auto" w:fill="auto"/>
            <w:noWrap/>
            <w:vAlign w:val="center"/>
            <w:hideMark/>
          </w:tcPr>
          <w:p w14:paraId="24AD221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21024E7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7089BB5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94" w:type="dxa"/>
            <w:tcBorders>
              <w:top w:val="nil"/>
              <w:left w:val="nil"/>
              <w:bottom w:val="single" w:sz="8" w:space="0" w:color="BFBFBF"/>
              <w:right w:val="single" w:sz="8" w:space="0" w:color="BFBFBF"/>
            </w:tcBorders>
            <w:shd w:val="clear" w:color="auto" w:fill="auto"/>
            <w:noWrap/>
            <w:vAlign w:val="center"/>
            <w:hideMark/>
          </w:tcPr>
          <w:p w14:paraId="6EE5FA8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568" w:type="dxa"/>
            <w:tcBorders>
              <w:top w:val="nil"/>
              <w:left w:val="nil"/>
              <w:bottom w:val="single" w:sz="8" w:space="0" w:color="BFBFBF"/>
              <w:right w:val="single" w:sz="8" w:space="0" w:color="BFBFBF"/>
            </w:tcBorders>
            <w:shd w:val="clear" w:color="auto" w:fill="auto"/>
            <w:noWrap/>
            <w:vAlign w:val="center"/>
            <w:hideMark/>
          </w:tcPr>
          <w:p w14:paraId="07CA321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nil"/>
              <w:left w:val="nil"/>
              <w:bottom w:val="single" w:sz="8" w:space="0" w:color="BFBFBF"/>
              <w:right w:val="single" w:sz="8" w:space="0" w:color="BFBFBF"/>
            </w:tcBorders>
            <w:shd w:val="clear" w:color="auto" w:fill="auto"/>
            <w:noWrap/>
            <w:vAlign w:val="center"/>
            <w:hideMark/>
          </w:tcPr>
          <w:p w14:paraId="72EF823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6963D2E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359F784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proofErr w:type="spellStart"/>
            <w:r w:rsidRPr="001738EC">
              <w:rPr>
                <w:rFonts w:ascii="Century Gothic" w:eastAsia="Times New Roman" w:hAnsi="Century Gothic" w:cs="Calibri"/>
                <w:sz w:val="16"/>
                <w:szCs w:val="16"/>
                <w:lang w:eastAsia="es-MX"/>
              </w:rPr>
              <w:t>nr</w:t>
            </w:r>
            <w:proofErr w:type="spellEnd"/>
          </w:p>
        </w:tc>
        <w:tc>
          <w:tcPr>
            <w:tcW w:w="460" w:type="dxa"/>
            <w:tcBorders>
              <w:top w:val="nil"/>
              <w:left w:val="nil"/>
              <w:bottom w:val="single" w:sz="8" w:space="0" w:color="BFBFBF"/>
              <w:right w:val="single" w:sz="8" w:space="0" w:color="BFBFBF"/>
            </w:tcBorders>
            <w:shd w:val="clear" w:color="auto" w:fill="auto"/>
            <w:noWrap/>
            <w:vAlign w:val="center"/>
            <w:hideMark/>
          </w:tcPr>
          <w:p w14:paraId="41D6461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r>
      <w:tr w:rsidR="00E729CB" w:rsidRPr="001738EC" w14:paraId="1F332850" w14:textId="77777777" w:rsidTr="003B35A6">
        <w:trPr>
          <w:trHeight w:val="444"/>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6B7C2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Trimestral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2A6EAF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DGIAI</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89075B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BIARE</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59000C7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IV/2021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I,II</w:t>
            </w:r>
            <w:proofErr w:type="gramEnd"/>
            <w:r w:rsidRPr="001738EC">
              <w:rPr>
                <w:rFonts w:ascii="Century Gothic" w:eastAsia="Times New Roman" w:hAnsi="Century Gothic" w:cs="Calibri"/>
                <w:sz w:val="16"/>
                <w:szCs w:val="16"/>
                <w:lang w:eastAsia="es-MX"/>
              </w:rPr>
              <w:t>,III/2022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1EA691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8CDDA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C50406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DC32C9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391BAA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8B160F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7E0EF1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B40402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AE933D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F7690A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973BF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EE3630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45A81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r>
      <w:tr w:rsidR="00E729CB" w:rsidRPr="001738EC" w14:paraId="279016AD"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089E426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Trimestral</w:t>
            </w:r>
          </w:p>
        </w:tc>
        <w:tc>
          <w:tcPr>
            <w:tcW w:w="880" w:type="dxa"/>
            <w:tcBorders>
              <w:top w:val="nil"/>
              <w:left w:val="nil"/>
              <w:bottom w:val="single" w:sz="8" w:space="0" w:color="BFBFBF"/>
              <w:right w:val="single" w:sz="8" w:space="0" w:color="BFBFBF"/>
            </w:tcBorders>
            <w:shd w:val="clear" w:color="auto" w:fill="auto"/>
            <w:noWrap/>
            <w:vAlign w:val="center"/>
            <w:hideMark/>
          </w:tcPr>
          <w:p w14:paraId="3A6746B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27116CC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ENIGH_E</w:t>
            </w:r>
          </w:p>
        </w:tc>
        <w:tc>
          <w:tcPr>
            <w:tcW w:w="1300" w:type="dxa"/>
            <w:tcBorders>
              <w:top w:val="nil"/>
              <w:left w:val="nil"/>
              <w:bottom w:val="single" w:sz="8" w:space="0" w:color="BFBFBF"/>
              <w:right w:val="single" w:sz="8" w:space="0" w:color="BFBFBF"/>
            </w:tcBorders>
            <w:shd w:val="clear" w:color="auto" w:fill="auto"/>
            <w:noWrap/>
            <w:vAlign w:val="center"/>
            <w:hideMark/>
          </w:tcPr>
          <w:p w14:paraId="6287810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036F0A1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55E2246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5F9BC21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c>
          <w:tcPr>
            <w:tcW w:w="666" w:type="dxa"/>
            <w:tcBorders>
              <w:top w:val="nil"/>
              <w:left w:val="nil"/>
              <w:bottom w:val="single" w:sz="8" w:space="0" w:color="BFBFBF"/>
              <w:right w:val="single" w:sz="8" w:space="0" w:color="BFBFBF"/>
            </w:tcBorders>
            <w:shd w:val="clear" w:color="auto" w:fill="auto"/>
            <w:noWrap/>
            <w:vAlign w:val="center"/>
            <w:hideMark/>
          </w:tcPr>
          <w:p w14:paraId="7572909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472140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w:t>
            </w:r>
          </w:p>
        </w:tc>
        <w:tc>
          <w:tcPr>
            <w:tcW w:w="589" w:type="dxa"/>
            <w:tcBorders>
              <w:top w:val="nil"/>
              <w:left w:val="nil"/>
              <w:bottom w:val="single" w:sz="8" w:space="0" w:color="BFBFBF"/>
              <w:right w:val="single" w:sz="8" w:space="0" w:color="BFBFBF"/>
            </w:tcBorders>
            <w:shd w:val="clear" w:color="auto" w:fill="auto"/>
            <w:noWrap/>
            <w:vAlign w:val="center"/>
            <w:hideMark/>
          </w:tcPr>
          <w:p w14:paraId="61B54EE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03A03E2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357BF51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568" w:type="dxa"/>
            <w:tcBorders>
              <w:top w:val="nil"/>
              <w:left w:val="nil"/>
              <w:bottom w:val="single" w:sz="8" w:space="0" w:color="BFBFBF"/>
              <w:right w:val="single" w:sz="8" w:space="0" w:color="BFBFBF"/>
            </w:tcBorders>
            <w:shd w:val="clear" w:color="auto" w:fill="auto"/>
            <w:noWrap/>
            <w:vAlign w:val="center"/>
            <w:hideMark/>
          </w:tcPr>
          <w:p w14:paraId="6F7563C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5823BB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703899C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4670C5D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6F62422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0908C22F" w14:textId="77777777" w:rsidTr="003B35A6">
        <w:trPr>
          <w:trHeight w:val="444"/>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DC2BC4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Trimestral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BE74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F78974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ENOE-NE</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40517C5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IV/2021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I,II</w:t>
            </w:r>
            <w:proofErr w:type="gramEnd"/>
            <w:r w:rsidRPr="001738EC">
              <w:rPr>
                <w:rFonts w:ascii="Century Gothic" w:eastAsia="Times New Roman" w:hAnsi="Century Gothic" w:cs="Calibri"/>
                <w:sz w:val="16"/>
                <w:szCs w:val="16"/>
                <w:lang w:eastAsia="es-MX"/>
              </w:rPr>
              <w:t>,III/2022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11B791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546</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600066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139</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A032C2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288</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6C0F87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216</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4086DC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67695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442165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65FBD4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25%</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1EC428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FC1F03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E28610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E1FA34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EC7FB8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r>
      <w:tr w:rsidR="00E729CB" w:rsidRPr="001738EC" w14:paraId="72970495" w14:textId="77777777" w:rsidTr="003B35A6">
        <w:trPr>
          <w:trHeight w:val="444"/>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300E46A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Trimestral</w:t>
            </w:r>
          </w:p>
        </w:tc>
        <w:tc>
          <w:tcPr>
            <w:tcW w:w="880" w:type="dxa"/>
            <w:tcBorders>
              <w:top w:val="nil"/>
              <w:left w:val="nil"/>
              <w:bottom w:val="single" w:sz="8" w:space="0" w:color="BFBFBF"/>
              <w:right w:val="single" w:sz="8" w:space="0" w:color="BFBFBF"/>
            </w:tcBorders>
            <w:shd w:val="clear" w:color="auto" w:fill="auto"/>
            <w:noWrap/>
            <w:vAlign w:val="center"/>
            <w:hideMark/>
          </w:tcPr>
          <w:p w14:paraId="2EB8B29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nil"/>
              <w:left w:val="nil"/>
              <w:bottom w:val="single" w:sz="8" w:space="0" w:color="BFBFBF"/>
              <w:right w:val="single" w:sz="8" w:space="0" w:color="BFBFBF"/>
            </w:tcBorders>
            <w:shd w:val="clear" w:color="auto" w:fill="auto"/>
            <w:noWrap/>
            <w:vAlign w:val="center"/>
            <w:hideMark/>
          </w:tcPr>
          <w:p w14:paraId="7EA7D00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ENSU</w:t>
            </w:r>
          </w:p>
        </w:tc>
        <w:tc>
          <w:tcPr>
            <w:tcW w:w="1300" w:type="dxa"/>
            <w:tcBorders>
              <w:top w:val="nil"/>
              <w:left w:val="nil"/>
              <w:bottom w:val="single" w:sz="8" w:space="0" w:color="BFBFBF"/>
              <w:right w:val="single" w:sz="8" w:space="0" w:color="BFBFBF"/>
            </w:tcBorders>
            <w:shd w:val="clear" w:color="auto" w:fill="auto"/>
            <w:vAlign w:val="center"/>
            <w:hideMark/>
          </w:tcPr>
          <w:p w14:paraId="06E4647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IV/2021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I,II</w:t>
            </w:r>
            <w:proofErr w:type="gramEnd"/>
            <w:r w:rsidRPr="001738EC">
              <w:rPr>
                <w:rFonts w:ascii="Century Gothic" w:eastAsia="Times New Roman" w:hAnsi="Century Gothic" w:cs="Calibri"/>
                <w:sz w:val="16"/>
                <w:szCs w:val="16"/>
                <w:lang w:eastAsia="es-MX"/>
              </w:rPr>
              <w:t>,III/2022</w:t>
            </w:r>
          </w:p>
        </w:tc>
        <w:tc>
          <w:tcPr>
            <w:tcW w:w="802" w:type="dxa"/>
            <w:tcBorders>
              <w:top w:val="nil"/>
              <w:left w:val="nil"/>
              <w:bottom w:val="single" w:sz="8" w:space="0" w:color="BFBFBF"/>
              <w:right w:val="single" w:sz="8" w:space="0" w:color="BFBFBF"/>
            </w:tcBorders>
            <w:shd w:val="clear" w:color="auto" w:fill="auto"/>
            <w:noWrap/>
            <w:vAlign w:val="center"/>
            <w:hideMark/>
          </w:tcPr>
          <w:p w14:paraId="02EF5E3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499</w:t>
            </w:r>
          </w:p>
        </w:tc>
        <w:tc>
          <w:tcPr>
            <w:tcW w:w="666" w:type="dxa"/>
            <w:tcBorders>
              <w:top w:val="nil"/>
              <w:left w:val="nil"/>
              <w:bottom w:val="single" w:sz="8" w:space="0" w:color="BFBFBF"/>
              <w:right w:val="single" w:sz="8" w:space="0" w:color="BFBFBF"/>
            </w:tcBorders>
            <w:shd w:val="clear" w:color="auto" w:fill="auto"/>
            <w:noWrap/>
            <w:vAlign w:val="center"/>
            <w:hideMark/>
          </w:tcPr>
          <w:p w14:paraId="33FCFDF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255</w:t>
            </w:r>
          </w:p>
        </w:tc>
        <w:tc>
          <w:tcPr>
            <w:tcW w:w="666" w:type="dxa"/>
            <w:tcBorders>
              <w:top w:val="nil"/>
              <w:left w:val="nil"/>
              <w:bottom w:val="single" w:sz="8" w:space="0" w:color="BFBFBF"/>
              <w:right w:val="single" w:sz="8" w:space="0" w:color="BFBFBF"/>
            </w:tcBorders>
            <w:shd w:val="clear" w:color="auto" w:fill="auto"/>
            <w:noWrap/>
            <w:vAlign w:val="center"/>
            <w:hideMark/>
          </w:tcPr>
          <w:p w14:paraId="0BA73B0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349</w:t>
            </w:r>
          </w:p>
        </w:tc>
        <w:tc>
          <w:tcPr>
            <w:tcW w:w="666" w:type="dxa"/>
            <w:tcBorders>
              <w:top w:val="nil"/>
              <w:left w:val="nil"/>
              <w:bottom w:val="single" w:sz="8" w:space="0" w:color="BFBFBF"/>
              <w:right w:val="single" w:sz="8" w:space="0" w:color="BFBFBF"/>
            </w:tcBorders>
            <w:shd w:val="clear" w:color="auto" w:fill="auto"/>
            <w:noWrap/>
            <w:vAlign w:val="center"/>
            <w:hideMark/>
          </w:tcPr>
          <w:p w14:paraId="2991688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365</w:t>
            </w:r>
          </w:p>
        </w:tc>
        <w:tc>
          <w:tcPr>
            <w:tcW w:w="1100" w:type="dxa"/>
            <w:tcBorders>
              <w:top w:val="nil"/>
              <w:left w:val="nil"/>
              <w:bottom w:val="single" w:sz="8" w:space="0" w:color="BFBFBF"/>
              <w:right w:val="single" w:sz="8" w:space="0" w:color="BFBFBF"/>
            </w:tcBorders>
            <w:shd w:val="clear" w:color="auto" w:fill="auto"/>
            <w:noWrap/>
            <w:vAlign w:val="center"/>
            <w:hideMark/>
          </w:tcPr>
          <w:p w14:paraId="4A63876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674DCF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w:t>
            </w:r>
          </w:p>
        </w:tc>
        <w:tc>
          <w:tcPr>
            <w:tcW w:w="589" w:type="dxa"/>
            <w:tcBorders>
              <w:top w:val="nil"/>
              <w:left w:val="nil"/>
              <w:bottom w:val="single" w:sz="8" w:space="0" w:color="BFBFBF"/>
              <w:right w:val="single" w:sz="8" w:space="0" w:color="BFBFBF"/>
            </w:tcBorders>
            <w:shd w:val="clear" w:color="auto" w:fill="auto"/>
            <w:noWrap/>
            <w:vAlign w:val="center"/>
            <w:hideMark/>
          </w:tcPr>
          <w:p w14:paraId="2F17DF1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94" w:type="dxa"/>
            <w:tcBorders>
              <w:top w:val="nil"/>
              <w:left w:val="nil"/>
              <w:bottom w:val="single" w:sz="8" w:space="0" w:color="BFBFBF"/>
              <w:right w:val="single" w:sz="8" w:space="0" w:color="BFBFBF"/>
            </w:tcBorders>
            <w:shd w:val="clear" w:color="auto" w:fill="auto"/>
            <w:noWrap/>
            <w:vAlign w:val="center"/>
            <w:hideMark/>
          </w:tcPr>
          <w:p w14:paraId="41D5A4A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568" w:type="dxa"/>
            <w:tcBorders>
              <w:top w:val="nil"/>
              <w:left w:val="nil"/>
              <w:bottom w:val="single" w:sz="8" w:space="0" w:color="BFBFBF"/>
              <w:right w:val="single" w:sz="8" w:space="0" w:color="BFBFBF"/>
            </w:tcBorders>
            <w:shd w:val="clear" w:color="auto" w:fill="auto"/>
            <w:noWrap/>
            <w:vAlign w:val="center"/>
            <w:hideMark/>
          </w:tcPr>
          <w:p w14:paraId="3C1AA92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65D935F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nil"/>
              <w:left w:val="nil"/>
              <w:bottom w:val="single" w:sz="8" w:space="0" w:color="BFBFBF"/>
              <w:right w:val="single" w:sz="8" w:space="0" w:color="BFBFBF"/>
            </w:tcBorders>
            <w:shd w:val="clear" w:color="auto" w:fill="auto"/>
            <w:noWrap/>
            <w:vAlign w:val="center"/>
            <w:hideMark/>
          </w:tcPr>
          <w:p w14:paraId="58F8CA1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nil"/>
              <w:left w:val="nil"/>
              <w:bottom w:val="single" w:sz="8" w:space="0" w:color="BFBFBF"/>
              <w:right w:val="single" w:sz="8" w:space="0" w:color="BFBFBF"/>
            </w:tcBorders>
            <w:shd w:val="clear" w:color="auto" w:fill="auto"/>
            <w:noWrap/>
            <w:vAlign w:val="center"/>
            <w:hideMark/>
          </w:tcPr>
          <w:p w14:paraId="5B6D50A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nil"/>
              <w:left w:val="nil"/>
              <w:bottom w:val="single" w:sz="8" w:space="0" w:color="BFBFBF"/>
              <w:right w:val="single" w:sz="8" w:space="0" w:color="BFBFBF"/>
            </w:tcBorders>
            <w:shd w:val="clear" w:color="auto" w:fill="auto"/>
            <w:noWrap/>
            <w:vAlign w:val="center"/>
            <w:hideMark/>
          </w:tcPr>
          <w:p w14:paraId="0BBD273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r>
      <w:tr w:rsidR="00E729CB" w:rsidRPr="001738EC" w14:paraId="6729B231" w14:textId="77777777" w:rsidTr="003B35A6">
        <w:trPr>
          <w:trHeight w:val="444"/>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697B5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51BB70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348C60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EMEC</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09E2EA5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,10/2022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145E57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656</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1813E2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520</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63B41C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492</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A574BA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492</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1FF2AA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51322D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A2CE02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6A04C0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E90844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93051D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BFA2A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BCFD7C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F96CC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7B5EEE60" w14:textId="77777777" w:rsidTr="003B35A6">
        <w:trPr>
          <w:trHeight w:val="444"/>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45A5EF6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nil"/>
              <w:left w:val="nil"/>
              <w:bottom w:val="single" w:sz="8" w:space="0" w:color="BFBFBF"/>
              <w:right w:val="single" w:sz="8" w:space="0" w:color="BFBFBF"/>
            </w:tcBorders>
            <w:shd w:val="clear" w:color="auto" w:fill="auto"/>
            <w:noWrap/>
            <w:vAlign w:val="center"/>
            <w:hideMark/>
          </w:tcPr>
          <w:p w14:paraId="09DED21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442F47C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EMIM</w:t>
            </w:r>
          </w:p>
        </w:tc>
        <w:tc>
          <w:tcPr>
            <w:tcW w:w="1300" w:type="dxa"/>
            <w:tcBorders>
              <w:top w:val="nil"/>
              <w:left w:val="nil"/>
              <w:bottom w:val="single" w:sz="8" w:space="0" w:color="BFBFBF"/>
              <w:right w:val="single" w:sz="8" w:space="0" w:color="BFBFBF"/>
            </w:tcBorders>
            <w:shd w:val="clear" w:color="auto" w:fill="auto"/>
            <w:vAlign w:val="center"/>
            <w:hideMark/>
          </w:tcPr>
          <w:p w14:paraId="64E15B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,10/2022</w:t>
            </w:r>
          </w:p>
        </w:tc>
        <w:tc>
          <w:tcPr>
            <w:tcW w:w="802" w:type="dxa"/>
            <w:tcBorders>
              <w:top w:val="nil"/>
              <w:left w:val="nil"/>
              <w:bottom w:val="single" w:sz="8" w:space="0" w:color="BFBFBF"/>
              <w:right w:val="single" w:sz="8" w:space="0" w:color="BFBFBF"/>
            </w:tcBorders>
            <w:shd w:val="clear" w:color="auto" w:fill="auto"/>
            <w:noWrap/>
            <w:vAlign w:val="center"/>
            <w:hideMark/>
          </w:tcPr>
          <w:p w14:paraId="3479B50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3584</w:t>
            </w:r>
          </w:p>
        </w:tc>
        <w:tc>
          <w:tcPr>
            <w:tcW w:w="666" w:type="dxa"/>
            <w:tcBorders>
              <w:top w:val="nil"/>
              <w:left w:val="nil"/>
              <w:bottom w:val="single" w:sz="8" w:space="0" w:color="BFBFBF"/>
              <w:right w:val="single" w:sz="8" w:space="0" w:color="BFBFBF"/>
            </w:tcBorders>
            <w:shd w:val="clear" w:color="auto" w:fill="auto"/>
            <w:noWrap/>
            <w:vAlign w:val="center"/>
            <w:hideMark/>
          </w:tcPr>
          <w:p w14:paraId="3C21BB2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2676</w:t>
            </w:r>
          </w:p>
        </w:tc>
        <w:tc>
          <w:tcPr>
            <w:tcW w:w="666" w:type="dxa"/>
            <w:tcBorders>
              <w:top w:val="nil"/>
              <w:left w:val="nil"/>
              <w:bottom w:val="single" w:sz="8" w:space="0" w:color="BFBFBF"/>
              <w:right w:val="single" w:sz="8" w:space="0" w:color="BFBFBF"/>
            </w:tcBorders>
            <w:shd w:val="clear" w:color="auto" w:fill="auto"/>
            <w:noWrap/>
            <w:vAlign w:val="center"/>
            <w:hideMark/>
          </w:tcPr>
          <w:p w14:paraId="7514E40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2688</w:t>
            </w:r>
          </w:p>
        </w:tc>
        <w:tc>
          <w:tcPr>
            <w:tcW w:w="666" w:type="dxa"/>
            <w:tcBorders>
              <w:top w:val="nil"/>
              <w:left w:val="nil"/>
              <w:bottom w:val="single" w:sz="8" w:space="0" w:color="BFBFBF"/>
              <w:right w:val="single" w:sz="8" w:space="0" w:color="BFBFBF"/>
            </w:tcBorders>
            <w:shd w:val="clear" w:color="auto" w:fill="auto"/>
            <w:noWrap/>
            <w:vAlign w:val="center"/>
            <w:hideMark/>
          </w:tcPr>
          <w:p w14:paraId="3D7D218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2688</w:t>
            </w:r>
          </w:p>
        </w:tc>
        <w:tc>
          <w:tcPr>
            <w:tcW w:w="1100" w:type="dxa"/>
            <w:tcBorders>
              <w:top w:val="nil"/>
              <w:left w:val="nil"/>
              <w:bottom w:val="single" w:sz="8" w:space="0" w:color="BFBFBF"/>
              <w:right w:val="single" w:sz="8" w:space="0" w:color="BFBFBF"/>
            </w:tcBorders>
            <w:shd w:val="clear" w:color="auto" w:fill="auto"/>
            <w:noWrap/>
            <w:vAlign w:val="center"/>
            <w:hideMark/>
          </w:tcPr>
          <w:p w14:paraId="047D413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543AD1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w:t>
            </w:r>
          </w:p>
        </w:tc>
        <w:tc>
          <w:tcPr>
            <w:tcW w:w="589" w:type="dxa"/>
            <w:tcBorders>
              <w:top w:val="nil"/>
              <w:left w:val="nil"/>
              <w:bottom w:val="single" w:sz="8" w:space="0" w:color="BFBFBF"/>
              <w:right w:val="single" w:sz="8" w:space="0" w:color="BFBFBF"/>
            </w:tcBorders>
            <w:shd w:val="clear" w:color="auto" w:fill="auto"/>
            <w:noWrap/>
            <w:vAlign w:val="center"/>
            <w:hideMark/>
          </w:tcPr>
          <w:p w14:paraId="6F7AD6B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94" w:type="dxa"/>
            <w:tcBorders>
              <w:top w:val="nil"/>
              <w:left w:val="nil"/>
              <w:bottom w:val="single" w:sz="8" w:space="0" w:color="BFBFBF"/>
              <w:right w:val="single" w:sz="8" w:space="0" w:color="BFBFBF"/>
            </w:tcBorders>
            <w:shd w:val="clear" w:color="auto" w:fill="auto"/>
            <w:noWrap/>
            <w:vAlign w:val="center"/>
            <w:hideMark/>
          </w:tcPr>
          <w:p w14:paraId="568C59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568" w:type="dxa"/>
            <w:tcBorders>
              <w:top w:val="nil"/>
              <w:left w:val="nil"/>
              <w:bottom w:val="single" w:sz="8" w:space="0" w:color="BFBFBF"/>
              <w:right w:val="single" w:sz="8" w:space="0" w:color="BFBFBF"/>
            </w:tcBorders>
            <w:shd w:val="clear" w:color="auto" w:fill="auto"/>
            <w:noWrap/>
            <w:vAlign w:val="center"/>
            <w:hideMark/>
          </w:tcPr>
          <w:p w14:paraId="615E5BE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460" w:type="dxa"/>
            <w:tcBorders>
              <w:top w:val="nil"/>
              <w:left w:val="nil"/>
              <w:bottom w:val="single" w:sz="8" w:space="0" w:color="BFBFBF"/>
              <w:right w:val="single" w:sz="8" w:space="0" w:color="BFBFBF"/>
            </w:tcBorders>
            <w:shd w:val="clear" w:color="auto" w:fill="auto"/>
            <w:noWrap/>
            <w:vAlign w:val="center"/>
            <w:hideMark/>
          </w:tcPr>
          <w:p w14:paraId="7BF8708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0500D89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0C80BBB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41AF410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2247ED48" w14:textId="77777777" w:rsidTr="003B35A6">
        <w:trPr>
          <w:trHeight w:val="28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3EBDF9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lastRenderedPageBreak/>
              <w:t>Mensual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AEDBAD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D257DC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EMOE COM</w:t>
            </w:r>
          </w:p>
        </w:tc>
        <w:tc>
          <w:tcPr>
            <w:tcW w:w="1300" w:type="dxa"/>
            <w:vMerge w:val="restart"/>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02582E6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,11/2022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BF9658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9B9081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A79657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666" w:type="dxa"/>
            <w:vMerge w:val="restar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E35890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216</w:t>
            </w:r>
          </w:p>
        </w:tc>
        <w:tc>
          <w:tcPr>
            <w:tcW w:w="1100" w:type="dxa"/>
            <w:vMerge w:val="restar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6D6976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17A22C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596060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7717E6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68" w:type="dxa"/>
            <w:vMerge w:val="restar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80A13A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5A09A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D6444D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AB20F0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vMerge w:val="restart"/>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BF6487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0C69DD1B"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3C669F0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nil"/>
              <w:left w:val="nil"/>
              <w:bottom w:val="single" w:sz="8" w:space="0" w:color="BFBFBF"/>
              <w:right w:val="single" w:sz="8" w:space="0" w:color="BFBFBF"/>
            </w:tcBorders>
            <w:shd w:val="clear" w:color="auto" w:fill="auto"/>
            <w:noWrap/>
            <w:vAlign w:val="center"/>
            <w:hideMark/>
          </w:tcPr>
          <w:p w14:paraId="47EF880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4B42BF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EMOE CONS</w:t>
            </w:r>
          </w:p>
        </w:tc>
        <w:tc>
          <w:tcPr>
            <w:tcW w:w="1300" w:type="dxa"/>
            <w:vMerge/>
            <w:tcBorders>
              <w:top w:val="single" w:sz="8" w:space="0" w:color="BFBFBF"/>
              <w:left w:val="single" w:sz="8" w:space="0" w:color="BFBFBF"/>
              <w:bottom w:val="single" w:sz="8" w:space="0" w:color="BFBFBF"/>
              <w:right w:val="single" w:sz="8" w:space="0" w:color="BFBFBF"/>
            </w:tcBorders>
            <w:vAlign w:val="center"/>
            <w:hideMark/>
          </w:tcPr>
          <w:p w14:paraId="5AC5D379"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802" w:type="dxa"/>
            <w:tcBorders>
              <w:top w:val="nil"/>
              <w:left w:val="nil"/>
              <w:bottom w:val="single" w:sz="8" w:space="0" w:color="BFBFBF"/>
              <w:right w:val="single" w:sz="8" w:space="0" w:color="BFBFBF"/>
            </w:tcBorders>
            <w:shd w:val="clear" w:color="auto" w:fill="auto"/>
            <w:noWrap/>
            <w:vAlign w:val="center"/>
            <w:hideMark/>
          </w:tcPr>
          <w:p w14:paraId="724EB0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666" w:type="dxa"/>
            <w:tcBorders>
              <w:top w:val="nil"/>
              <w:left w:val="nil"/>
              <w:bottom w:val="single" w:sz="8" w:space="0" w:color="BFBFBF"/>
              <w:right w:val="single" w:sz="8" w:space="0" w:color="BFBFBF"/>
            </w:tcBorders>
            <w:shd w:val="clear" w:color="auto" w:fill="auto"/>
            <w:noWrap/>
            <w:vAlign w:val="center"/>
            <w:hideMark/>
          </w:tcPr>
          <w:p w14:paraId="4FCDA68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666" w:type="dxa"/>
            <w:tcBorders>
              <w:top w:val="nil"/>
              <w:left w:val="nil"/>
              <w:bottom w:val="single" w:sz="8" w:space="0" w:color="BFBFBF"/>
              <w:right w:val="single" w:sz="8" w:space="0" w:color="BFBFBF"/>
            </w:tcBorders>
            <w:shd w:val="clear" w:color="auto" w:fill="auto"/>
            <w:noWrap/>
            <w:vAlign w:val="center"/>
            <w:hideMark/>
          </w:tcPr>
          <w:p w14:paraId="1F796F8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666" w:type="dxa"/>
            <w:vMerge/>
            <w:tcBorders>
              <w:top w:val="single" w:sz="8" w:space="0" w:color="BFBFBF"/>
              <w:left w:val="single" w:sz="8" w:space="0" w:color="BFBFBF"/>
              <w:bottom w:val="single" w:sz="8" w:space="0" w:color="BFBFBF"/>
              <w:right w:val="single" w:sz="8" w:space="0" w:color="BFBFBF"/>
            </w:tcBorders>
            <w:vAlign w:val="center"/>
            <w:hideMark/>
          </w:tcPr>
          <w:p w14:paraId="10B7EDD4"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1100" w:type="dxa"/>
            <w:vMerge/>
            <w:tcBorders>
              <w:top w:val="single" w:sz="8" w:space="0" w:color="BFBFBF"/>
              <w:left w:val="single" w:sz="8" w:space="0" w:color="BFBFBF"/>
              <w:bottom w:val="single" w:sz="8" w:space="0" w:color="BFBFBF"/>
              <w:right w:val="single" w:sz="8" w:space="0" w:color="BFBFBF"/>
            </w:tcBorders>
            <w:vAlign w:val="center"/>
            <w:hideMark/>
          </w:tcPr>
          <w:p w14:paraId="7B2B8D71"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589" w:type="dxa"/>
            <w:tcBorders>
              <w:top w:val="nil"/>
              <w:left w:val="nil"/>
              <w:bottom w:val="single" w:sz="8" w:space="0" w:color="BFBFBF"/>
              <w:right w:val="single" w:sz="8" w:space="0" w:color="BFBFBF"/>
            </w:tcBorders>
            <w:shd w:val="clear" w:color="auto" w:fill="auto"/>
            <w:noWrap/>
            <w:vAlign w:val="center"/>
            <w:hideMark/>
          </w:tcPr>
          <w:p w14:paraId="50DE276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589" w:type="dxa"/>
            <w:tcBorders>
              <w:top w:val="nil"/>
              <w:left w:val="nil"/>
              <w:bottom w:val="single" w:sz="8" w:space="0" w:color="BFBFBF"/>
              <w:right w:val="single" w:sz="8" w:space="0" w:color="BFBFBF"/>
            </w:tcBorders>
            <w:shd w:val="clear" w:color="auto" w:fill="auto"/>
            <w:noWrap/>
            <w:vAlign w:val="center"/>
            <w:hideMark/>
          </w:tcPr>
          <w:p w14:paraId="759B78B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19%</w:t>
            </w:r>
          </w:p>
        </w:tc>
        <w:tc>
          <w:tcPr>
            <w:tcW w:w="494" w:type="dxa"/>
            <w:tcBorders>
              <w:top w:val="nil"/>
              <w:left w:val="nil"/>
              <w:bottom w:val="single" w:sz="8" w:space="0" w:color="BFBFBF"/>
              <w:right w:val="single" w:sz="8" w:space="0" w:color="BFBFBF"/>
            </w:tcBorders>
            <w:shd w:val="clear" w:color="auto" w:fill="auto"/>
            <w:noWrap/>
            <w:vAlign w:val="center"/>
            <w:hideMark/>
          </w:tcPr>
          <w:p w14:paraId="6872981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21%</w:t>
            </w:r>
          </w:p>
        </w:tc>
        <w:tc>
          <w:tcPr>
            <w:tcW w:w="568" w:type="dxa"/>
            <w:vMerge/>
            <w:tcBorders>
              <w:top w:val="single" w:sz="8" w:space="0" w:color="BFBFBF"/>
              <w:left w:val="single" w:sz="8" w:space="0" w:color="BFBFBF"/>
              <w:bottom w:val="single" w:sz="8" w:space="0" w:color="BFBFBF"/>
              <w:right w:val="single" w:sz="8" w:space="0" w:color="BFBFBF"/>
            </w:tcBorders>
            <w:vAlign w:val="center"/>
            <w:hideMark/>
          </w:tcPr>
          <w:p w14:paraId="0F425ACB"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460" w:type="dxa"/>
            <w:tcBorders>
              <w:top w:val="nil"/>
              <w:left w:val="nil"/>
              <w:bottom w:val="single" w:sz="8" w:space="0" w:color="BFBFBF"/>
              <w:right w:val="single" w:sz="8" w:space="0" w:color="BFBFBF"/>
            </w:tcBorders>
            <w:shd w:val="clear" w:color="auto" w:fill="auto"/>
            <w:noWrap/>
            <w:vAlign w:val="center"/>
            <w:hideMark/>
          </w:tcPr>
          <w:p w14:paraId="7FA1D17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7DECE8F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04B3256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vMerge/>
            <w:tcBorders>
              <w:top w:val="single" w:sz="8" w:space="0" w:color="BFBFBF"/>
              <w:left w:val="single" w:sz="8" w:space="0" w:color="BFBFBF"/>
              <w:bottom w:val="single" w:sz="8" w:space="0" w:color="BFBFBF"/>
              <w:right w:val="single" w:sz="8" w:space="0" w:color="BFBFBF"/>
            </w:tcBorders>
            <w:vAlign w:val="center"/>
            <w:hideMark/>
          </w:tcPr>
          <w:p w14:paraId="67ADAA44"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r>
      <w:tr w:rsidR="00E729CB" w:rsidRPr="001738EC" w14:paraId="02FB371F"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454059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6672ED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F7D0F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EMOE MAN</w:t>
            </w:r>
          </w:p>
        </w:tc>
        <w:tc>
          <w:tcPr>
            <w:tcW w:w="1300" w:type="dxa"/>
            <w:vMerge/>
            <w:tcBorders>
              <w:top w:val="single" w:sz="8" w:space="0" w:color="BFBFBF"/>
              <w:left w:val="single" w:sz="8" w:space="0" w:color="BFBFBF"/>
              <w:bottom w:val="single" w:sz="8" w:space="0" w:color="BFBFBF"/>
              <w:right w:val="single" w:sz="8" w:space="0" w:color="BFBFBF"/>
            </w:tcBorders>
            <w:vAlign w:val="center"/>
            <w:hideMark/>
          </w:tcPr>
          <w:p w14:paraId="6BBA25B9"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F46280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128</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179D40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84</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9C801A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96</w:t>
            </w:r>
          </w:p>
        </w:tc>
        <w:tc>
          <w:tcPr>
            <w:tcW w:w="666" w:type="dxa"/>
            <w:vMerge/>
            <w:tcBorders>
              <w:top w:val="single" w:sz="8" w:space="0" w:color="BFBFBF"/>
              <w:left w:val="single" w:sz="8" w:space="0" w:color="BFBFBF"/>
              <w:bottom w:val="single" w:sz="8" w:space="0" w:color="BFBFBF"/>
              <w:right w:val="single" w:sz="8" w:space="0" w:color="BFBFBF"/>
            </w:tcBorders>
            <w:vAlign w:val="center"/>
            <w:hideMark/>
          </w:tcPr>
          <w:p w14:paraId="68F57B0D"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1100" w:type="dxa"/>
            <w:vMerge/>
            <w:tcBorders>
              <w:top w:val="single" w:sz="8" w:space="0" w:color="BFBFBF"/>
              <w:left w:val="single" w:sz="8" w:space="0" w:color="BFBFBF"/>
              <w:bottom w:val="single" w:sz="8" w:space="0" w:color="BFBFBF"/>
              <w:right w:val="single" w:sz="8" w:space="0" w:color="BFBFBF"/>
            </w:tcBorders>
            <w:vAlign w:val="center"/>
            <w:hideMark/>
          </w:tcPr>
          <w:p w14:paraId="2C7E91D1"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EACCE9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67DBA7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06731A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568" w:type="dxa"/>
            <w:vMerge/>
            <w:tcBorders>
              <w:top w:val="single" w:sz="8" w:space="0" w:color="BFBFBF"/>
              <w:left w:val="single" w:sz="8" w:space="0" w:color="BFBFBF"/>
              <w:bottom w:val="single" w:sz="8" w:space="0" w:color="BFBFBF"/>
              <w:right w:val="single" w:sz="8" w:space="0" w:color="BFBFBF"/>
            </w:tcBorders>
            <w:vAlign w:val="center"/>
            <w:hideMark/>
          </w:tcPr>
          <w:p w14:paraId="41E7FBDA"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BB5B8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575073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5A15E8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vMerge/>
            <w:tcBorders>
              <w:top w:val="single" w:sz="8" w:space="0" w:color="BFBFBF"/>
              <w:left w:val="single" w:sz="8" w:space="0" w:color="BFBFBF"/>
              <w:bottom w:val="single" w:sz="8" w:space="0" w:color="BFBFBF"/>
              <w:right w:val="single" w:sz="8" w:space="0" w:color="BFBFBF"/>
            </w:tcBorders>
            <w:vAlign w:val="center"/>
            <w:hideMark/>
          </w:tcPr>
          <w:p w14:paraId="4AB453AF"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r>
      <w:tr w:rsidR="00E729CB" w:rsidRPr="001738EC" w14:paraId="44FA2859"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7A7E4BD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nil"/>
              <w:left w:val="nil"/>
              <w:bottom w:val="single" w:sz="8" w:space="0" w:color="BFBFBF"/>
              <w:right w:val="single" w:sz="8" w:space="0" w:color="BFBFBF"/>
            </w:tcBorders>
            <w:shd w:val="clear" w:color="auto" w:fill="auto"/>
            <w:noWrap/>
            <w:vAlign w:val="center"/>
            <w:hideMark/>
          </w:tcPr>
          <w:p w14:paraId="5A3178E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36F87DC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EMOE SER</w:t>
            </w:r>
          </w:p>
        </w:tc>
        <w:tc>
          <w:tcPr>
            <w:tcW w:w="1300" w:type="dxa"/>
            <w:vMerge/>
            <w:tcBorders>
              <w:top w:val="single" w:sz="8" w:space="0" w:color="BFBFBF"/>
              <w:left w:val="single" w:sz="8" w:space="0" w:color="BFBFBF"/>
              <w:bottom w:val="single" w:sz="8" w:space="0" w:color="BFBFBF"/>
              <w:right w:val="single" w:sz="8" w:space="0" w:color="BFBFBF"/>
            </w:tcBorders>
            <w:vAlign w:val="center"/>
            <w:hideMark/>
          </w:tcPr>
          <w:p w14:paraId="75FD194C"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802" w:type="dxa"/>
            <w:tcBorders>
              <w:top w:val="nil"/>
              <w:left w:val="nil"/>
              <w:bottom w:val="single" w:sz="8" w:space="0" w:color="BFBFBF"/>
              <w:right w:val="single" w:sz="8" w:space="0" w:color="BFBFBF"/>
            </w:tcBorders>
            <w:shd w:val="clear" w:color="auto" w:fill="auto"/>
            <w:noWrap/>
            <w:vAlign w:val="center"/>
            <w:hideMark/>
          </w:tcPr>
          <w:p w14:paraId="09C05DB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42</w:t>
            </w:r>
          </w:p>
        </w:tc>
        <w:tc>
          <w:tcPr>
            <w:tcW w:w="666" w:type="dxa"/>
            <w:tcBorders>
              <w:top w:val="nil"/>
              <w:left w:val="nil"/>
              <w:bottom w:val="single" w:sz="8" w:space="0" w:color="BFBFBF"/>
              <w:right w:val="single" w:sz="8" w:space="0" w:color="BFBFBF"/>
            </w:tcBorders>
            <w:shd w:val="clear" w:color="auto" w:fill="auto"/>
            <w:noWrap/>
            <w:vAlign w:val="center"/>
            <w:hideMark/>
          </w:tcPr>
          <w:p w14:paraId="33D7042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72</w:t>
            </w:r>
          </w:p>
        </w:tc>
        <w:tc>
          <w:tcPr>
            <w:tcW w:w="666" w:type="dxa"/>
            <w:tcBorders>
              <w:top w:val="nil"/>
              <w:left w:val="nil"/>
              <w:bottom w:val="single" w:sz="8" w:space="0" w:color="BFBFBF"/>
              <w:right w:val="single" w:sz="8" w:space="0" w:color="BFBFBF"/>
            </w:tcBorders>
            <w:shd w:val="clear" w:color="auto" w:fill="auto"/>
            <w:noWrap/>
            <w:vAlign w:val="center"/>
            <w:hideMark/>
          </w:tcPr>
          <w:p w14:paraId="5AC61BA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84</w:t>
            </w:r>
          </w:p>
        </w:tc>
        <w:tc>
          <w:tcPr>
            <w:tcW w:w="666" w:type="dxa"/>
            <w:vMerge/>
            <w:tcBorders>
              <w:top w:val="single" w:sz="8" w:space="0" w:color="BFBFBF"/>
              <w:left w:val="single" w:sz="8" w:space="0" w:color="BFBFBF"/>
              <w:bottom w:val="single" w:sz="8" w:space="0" w:color="BFBFBF"/>
              <w:right w:val="single" w:sz="8" w:space="0" w:color="BFBFBF"/>
            </w:tcBorders>
            <w:vAlign w:val="center"/>
            <w:hideMark/>
          </w:tcPr>
          <w:p w14:paraId="7D1F1826"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1100" w:type="dxa"/>
            <w:vMerge/>
            <w:tcBorders>
              <w:top w:val="single" w:sz="8" w:space="0" w:color="BFBFBF"/>
              <w:left w:val="single" w:sz="8" w:space="0" w:color="BFBFBF"/>
              <w:bottom w:val="single" w:sz="8" w:space="0" w:color="BFBFBF"/>
              <w:right w:val="single" w:sz="8" w:space="0" w:color="BFBFBF"/>
            </w:tcBorders>
            <w:vAlign w:val="center"/>
            <w:hideMark/>
          </w:tcPr>
          <w:p w14:paraId="2CEE6523"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589" w:type="dxa"/>
            <w:tcBorders>
              <w:top w:val="nil"/>
              <w:left w:val="nil"/>
              <w:bottom w:val="single" w:sz="8" w:space="0" w:color="BFBFBF"/>
              <w:right w:val="single" w:sz="8" w:space="0" w:color="BFBFBF"/>
            </w:tcBorders>
            <w:shd w:val="clear" w:color="auto" w:fill="auto"/>
            <w:noWrap/>
            <w:vAlign w:val="center"/>
            <w:hideMark/>
          </w:tcPr>
          <w:p w14:paraId="50AAC8F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w:t>
            </w:r>
          </w:p>
        </w:tc>
        <w:tc>
          <w:tcPr>
            <w:tcW w:w="589" w:type="dxa"/>
            <w:tcBorders>
              <w:top w:val="nil"/>
              <w:left w:val="nil"/>
              <w:bottom w:val="single" w:sz="8" w:space="0" w:color="BFBFBF"/>
              <w:right w:val="single" w:sz="8" w:space="0" w:color="BFBFBF"/>
            </w:tcBorders>
            <w:shd w:val="clear" w:color="auto" w:fill="auto"/>
            <w:noWrap/>
            <w:vAlign w:val="center"/>
            <w:hideMark/>
          </w:tcPr>
          <w:p w14:paraId="42EC1F4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24%</w:t>
            </w:r>
          </w:p>
        </w:tc>
        <w:tc>
          <w:tcPr>
            <w:tcW w:w="494" w:type="dxa"/>
            <w:tcBorders>
              <w:top w:val="nil"/>
              <w:left w:val="nil"/>
              <w:bottom w:val="single" w:sz="8" w:space="0" w:color="BFBFBF"/>
              <w:right w:val="single" w:sz="8" w:space="0" w:color="BFBFBF"/>
            </w:tcBorders>
            <w:shd w:val="clear" w:color="auto" w:fill="auto"/>
            <w:noWrap/>
            <w:vAlign w:val="center"/>
            <w:hideMark/>
          </w:tcPr>
          <w:p w14:paraId="7779543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22%</w:t>
            </w:r>
          </w:p>
        </w:tc>
        <w:tc>
          <w:tcPr>
            <w:tcW w:w="568" w:type="dxa"/>
            <w:vMerge/>
            <w:tcBorders>
              <w:top w:val="single" w:sz="8" w:space="0" w:color="BFBFBF"/>
              <w:left w:val="single" w:sz="8" w:space="0" w:color="BFBFBF"/>
              <w:bottom w:val="single" w:sz="8" w:space="0" w:color="BFBFBF"/>
              <w:right w:val="single" w:sz="8" w:space="0" w:color="BFBFBF"/>
            </w:tcBorders>
            <w:vAlign w:val="center"/>
            <w:hideMark/>
          </w:tcPr>
          <w:p w14:paraId="04A199C1"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c>
          <w:tcPr>
            <w:tcW w:w="460" w:type="dxa"/>
            <w:tcBorders>
              <w:top w:val="nil"/>
              <w:left w:val="nil"/>
              <w:bottom w:val="single" w:sz="8" w:space="0" w:color="BFBFBF"/>
              <w:right w:val="single" w:sz="8" w:space="0" w:color="BFBFBF"/>
            </w:tcBorders>
            <w:shd w:val="clear" w:color="auto" w:fill="auto"/>
            <w:noWrap/>
            <w:vAlign w:val="center"/>
            <w:hideMark/>
          </w:tcPr>
          <w:p w14:paraId="469442A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40CEBE3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566415E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vMerge/>
            <w:tcBorders>
              <w:top w:val="single" w:sz="8" w:space="0" w:color="BFBFBF"/>
              <w:left w:val="single" w:sz="8" w:space="0" w:color="BFBFBF"/>
              <w:bottom w:val="single" w:sz="8" w:space="0" w:color="BFBFBF"/>
              <w:right w:val="single" w:sz="8" w:space="0" w:color="BFBFBF"/>
            </w:tcBorders>
            <w:vAlign w:val="center"/>
            <w:hideMark/>
          </w:tcPr>
          <w:p w14:paraId="58A820AB" w14:textId="77777777" w:rsidR="00E729CB" w:rsidRPr="001738EC" w:rsidRDefault="00E729CB" w:rsidP="003B35A6">
            <w:pPr>
              <w:spacing w:after="0" w:line="240" w:lineRule="auto"/>
              <w:rPr>
                <w:rFonts w:ascii="Century Gothic" w:eastAsia="Times New Roman" w:hAnsi="Century Gothic" w:cs="Calibri"/>
                <w:sz w:val="16"/>
                <w:szCs w:val="16"/>
                <w:lang w:eastAsia="es-MX"/>
              </w:rPr>
            </w:pPr>
          </w:p>
        </w:tc>
      </w:tr>
      <w:tr w:rsidR="00E729CB" w:rsidRPr="001738EC" w14:paraId="6D001CDA" w14:textId="77777777" w:rsidTr="003B35A6">
        <w:trPr>
          <w:trHeight w:val="504"/>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BEAAB3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4B6F80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A56145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EMS</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5357016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,10/2022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BDCD3D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1648</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1B86EC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1224</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B7F53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2328</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EBB51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2328</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36245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F1BE0B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B88832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10%</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F1D46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11D6E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11C6FE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AFD25F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CA74DF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9682FD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6424D76E" w14:textId="77777777" w:rsidTr="003B35A6">
        <w:trPr>
          <w:trHeight w:val="444"/>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385FB78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nil"/>
              <w:left w:val="nil"/>
              <w:bottom w:val="single" w:sz="8" w:space="0" w:color="BFBFBF"/>
              <w:right w:val="single" w:sz="8" w:space="0" w:color="BFBFBF"/>
            </w:tcBorders>
            <w:shd w:val="clear" w:color="auto" w:fill="auto"/>
            <w:noWrap/>
            <w:vAlign w:val="center"/>
            <w:hideMark/>
          </w:tcPr>
          <w:p w14:paraId="4B118CD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nil"/>
              <w:left w:val="nil"/>
              <w:bottom w:val="single" w:sz="8" w:space="0" w:color="BFBFBF"/>
              <w:right w:val="single" w:sz="8" w:space="0" w:color="BFBFBF"/>
            </w:tcBorders>
            <w:shd w:val="clear" w:color="auto" w:fill="auto"/>
            <w:noWrap/>
            <w:vAlign w:val="center"/>
            <w:hideMark/>
          </w:tcPr>
          <w:p w14:paraId="7B54EE2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ENEC</w:t>
            </w:r>
          </w:p>
        </w:tc>
        <w:tc>
          <w:tcPr>
            <w:tcW w:w="1300" w:type="dxa"/>
            <w:tcBorders>
              <w:top w:val="nil"/>
              <w:left w:val="nil"/>
              <w:bottom w:val="single" w:sz="8" w:space="0" w:color="BFBFBF"/>
              <w:right w:val="single" w:sz="8" w:space="0" w:color="BFBFBF"/>
            </w:tcBorders>
            <w:shd w:val="clear" w:color="auto" w:fill="auto"/>
            <w:vAlign w:val="center"/>
            <w:hideMark/>
          </w:tcPr>
          <w:p w14:paraId="0441CE3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,10/2022</w:t>
            </w:r>
          </w:p>
        </w:tc>
        <w:tc>
          <w:tcPr>
            <w:tcW w:w="802" w:type="dxa"/>
            <w:tcBorders>
              <w:top w:val="nil"/>
              <w:left w:val="nil"/>
              <w:bottom w:val="single" w:sz="8" w:space="0" w:color="BFBFBF"/>
              <w:right w:val="single" w:sz="8" w:space="0" w:color="BFBFBF"/>
            </w:tcBorders>
            <w:shd w:val="clear" w:color="auto" w:fill="auto"/>
            <w:noWrap/>
            <w:vAlign w:val="center"/>
            <w:hideMark/>
          </w:tcPr>
          <w:p w14:paraId="6B9047A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576</w:t>
            </w:r>
          </w:p>
        </w:tc>
        <w:tc>
          <w:tcPr>
            <w:tcW w:w="666" w:type="dxa"/>
            <w:tcBorders>
              <w:top w:val="nil"/>
              <w:left w:val="nil"/>
              <w:bottom w:val="single" w:sz="8" w:space="0" w:color="BFBFBF"/>
              <w:right w:val="single" w:sz="8" w:space="0" w:color="BFBFBF"/>
            </w:tcBorders>
            <w:shd w:val="clear" w:color="auto" w:fill="auto"/>
            <w:noWrap/>
            <w:vAlign w:val="center"/>
            <w:hideMark/>
          </w:tcPr>
          <w:p w14:paraId="1918C1C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420</w:t>
            </w:r>
          </w:p>
        </w:tc>
        <w:tc>
          <w:tcPr>
            <w:tcW w:w="666" w:type="dxa"/>
            <w:tcBorders>
              <w:top w:val="nil"/>
              <w:left w:val="nil"/>
              <w:bottom w:val="single" w:sz="8" w:space="0" w:color="BFBFBF"/>
              <w:right w:val="single" w:sz="8" w:space="0" w:color="BFBFBF"/>
            </w:tcBorders>
            <w:shd w:val="clear" w:color="auto" w:fill="auto"/>
            <w:noWrap/>
            <w:vAlign w:val="center"/>
            <w:hideMark/>
          </w:tcPr>
          <w:p w14:paraId="65CFDF4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432</w:t>
            </w:r>
          </w:p>
        </w:tc>
        <w:tc>
          <w:tcPr>
            <w:tcW w:w="666" w:type="dxa"/>
            <w:tcBorders>
              <w:top w:val="nil"/>
              <w:left w:val="nil"/>
              <w:bottom w:val="single" w:sz="8" w:space="0" w:color="BFBFBF"/>
              <w:right w:val="single" w:sz="8" w:space="0" w:color="BFBFBF"/>
            </w:tcBorders>
            <w:shd w:val="clear" w:color="auto" w:fill="auto"/>
            <w:noWrap/>
            <w:vAlign w:val="center"/>
            <w:hideMark/>
          </w:tcPr>
          <w:p w14:paraId="72B50EF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432</w:t>
            </w:r>
          </w:p>
        </w:tc>
        <w:tc>
          <w:tcPr>
            <w:tcW w:w="1100" w:type="dxa"/>
            <w:tcBorders>
              <w:top w:val="nil"/>
              <w:left w:val="nil"/>
              <w:bottom w:val="single" w:sz="8" w:space="0" w:color="BFBFBF"/>
              <w:right w:val="single" w:sz="8" w:space="0" w:color="BFBFBF"/>
            </w:tcBorders>
            <w:shd w:val="clear" w:color="auto" w:fill="auto"/>
            <w:noWrap/>
            <w:vAlign w:val="center"/>
            <w:hideMark/>
          </w:tcPr>
          <w:p w14:paraId="270BFC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w:t>
            </w:r>
          </w:p>
        </w:tc>
        <w:tc>
          <w:tcPr>
            <w:tcW w:w="589" w:type="dxa"/>
            <w:tcBorders>
              <w:top w:val="nil"/>
              <w:left w:val="nil"/>
              <w:bottom w:val="single" w:sz="8" w:space="0" w:color="BFBFBF"/>
              <w:right w:val="single" w:sz="8" w:space="0" w:color="BFBFBF"/>
            </w:tcBorders>
            <w:shd w:val="clear" w:color="auto" w:fill="auto"/>
            <w:noWrap/>
            <w:vAlign w:val="center"/>
            <w:hideMark/>
          </w:tcPr>
          <w:p w14:paraId="11EAAA0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10%</w:t>
            </w:r>
          </w:p>
        </w:tc>
        <w:tc>
          <w:tcPr>
            <w:tcW w:w="589" w:type="dxa"/>
            <w:tcBorders>
              <w:top w:val="nil"/>
              <w:left w:val="nil"/>
              <w:bottom w:val="single" w:sz="8" w:space="0" w:color="BFBFBF"/>
              <w:right w:val="single" w:sz="8" w:space="0" w:color="BFBFBF"/>
            </w:tcBorders>
            <w:shd w:val="clear" w:color="auto" w:fill="auto"/>
            <w:noWrap/>
            <w:vAlign w:val="center"/>
            <w:hideMark/>
          </w:tcPr>
          <w:p w14:paraId="7288EB0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494" w:type="dxa"/>
            <w:tcBorders>
              <w:top w:val="nil"/>
              <w:left w:val="nil"/>
              <w:bottom w:val="single" w:sz="8" w:space="0" w:color="BFBFBF"/>
              <w:right w:val="single" w:sz="8" w:space="0" w:color="BFBFBF"/>
            </w:tcBorders>
            <w:shd w:val="clear" w:color="auto" w:fill="auto"/>
            <w:noWrap/>
            <w:vAlign w:val="center"/>
            <w:hideMark/>
          </w:tcPr>
          <w:p w14:paraId="09ADB01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568" w:type="dxa"/>
            <w:tcBorders>
              <w:top w:val="nil"/>
              <w:left w:val="nil"/>
              <w:bottom w:val="single" w:sz="8" w:space="0" w:color="BFBFBF"/>
              <w:right w:val="single" w:sz="8" w:space="0" w:color="BFBFBF"/>
            </w:tcBorders>
            <w:shd w:val="clear" w:color="auto" w:fill="auto"/>
            <w:noWrap/>
            <w:vAlign w:val="center"/>
            <w:hideMark/>
          </w:tcPr>
          <w:p w14:paraId="6748DA3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460" w:type="dxa"/>
            <w:tcBorders>
              <w:top w:val="nil"/>
              <w:left w:val="nil"/>
              <w:bottom w:val="single" w:sz="8" w:space="0" w:color="BFBFBF"/>
              <w:right w:val="single" w:sz="8" w:space="0" w:color="BFBFBF"/>
            </w:tcBorders>
            <w:shd w:val="clear" w:color="auto" w:fill="auto"/>
            <w:noWrap/>
            <w:vAlign w:val="center"/>
            <w:hideMark/>
          </w:tcPr>
          <w:p w14:paraId="70E744F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734EB12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2CEEAF6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5BCD0AD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6861691F" w14:textId="77777777" w:rsidTr="003B35A6">
        <w:trPr>
          <w:trHeight w:val="444"/>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469793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D5B2BA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DA6CAB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ENCO</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vAlign w:val="center"/>
            <w:hideMark/>
          </w:tcPr>
          <w:p w14:paraId="02BC6E0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,11/2022</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1D6EE5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D81947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F29471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98F72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04D624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3BF83C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53012A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21%</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0499AC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16%</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2C421B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94DEC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8735F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72DED7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7FCCD6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r>
      <w:tr w:rsidR="00E729CB" w:rsidRPr="001738EC" w14:paraId="350F5EA2" w14:textId="77777777" w:rsidTr="003B35A6">
        <w:trPr>
          <w:trHeight w:val="444"/>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7C0AAFA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Mensual</w:t>
            </w:r>
          </w:p>
        </w:tc>
        <w:tc>
          <w:tcPr>
            <w:tcW w:w="880" w:type="dxa"/>
            <w:tcBorders>
              <w:top w:val="nil"/>
              <w:left w:val="nil"/>
              <w:bottom w:val="single" w:sz="8" w:space="0" w:color="BFBFBF"/>
              <w:right w:val="single" w:sz="8" w:space="0" w:color="BFBFBF"/>
            </w:tcBorders>
            <w:shd w:val="clear" w:color="auto" w:fill="auto"/>
            <w:noWrap/>
            <w:vAlign w:val="center"/>
            <w:hideMark/>
          </w:tcPr>
          <w:p w14:paraId="4100F73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5D184A7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ENOE</w:t>
            </w:r>
          </w:p>
        </w:tc>
        <w:tc>
          <w:tcPr>
            <w:tcW w:w="1300" w:type="dxa"/>
            <w:tcBorders>
              <w:top w:val="nil"/>
              <w:left w:val="nil"/>
              <w:bottom w:val="single" w:sz="8" w:space="0" w:color="BFBFBF"/>
              <w:right w:val="single" w:sz="8" w:space="0" w:color="BFBFBF"/>
            </w:tcBorders>
            <w:shd w:val="clear" w:color="auto" w:fill="auto"/>
            <w:vAlign w:val="center"/>
            <w:hideMark/>
          </w:tcPr>
          <w:p w14:paraId="07ECFF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12/2021</w:t>
            </w:r>
            <w:r w:rsidRPr="001738EC">
              <w:rPr>
                <w:rFonts w:ascii="Century Gothic" w:eastAsia="Times New Roman" w:hAnsi="Century Gothic" w:cs="Calibri"/>
                <w:sz w:val="16"/>
                <w:szCs w:val="16"/>
                <w:lang w:eastAsia="es-MX"/>
              </w:rPr>
              <w:br/>
            </w:r>
            <w:proofErr w:type="gramStart"/>
            <w:r w:rsidRPr="001738EC">
              <w:rPr>
                <w:rFonts w:ascii="Century Gothic" w:eastAsia="Times New Roman" w:hAnsi="Century Gothic" w:cs="Calibri"/>
                <w:sz w:val="16"/>
                <w:szCs w:val="16"/>
                <w:lang w:eastAsia="es-MX"/>
              </w:rPr>
              <w:t>1,2,…</w:t>
            </w:r>
            <w:proofErr w:type="gramEnd"/>
            <w:r w:rsidRPr="001738EC">
              <w:rPr>
                <w:rFonts w:ascii="Century Gothic" w:eastAsia="Times New Roman" w:hAnsi="Century Gothic" w:cs="Calibri"/>
                <w:sz w:val="16"/>
                <w:szCs w:val="16"/>
                <w:lang w:eastAsia="es-MX"/>
              </w:rPr>
              <w:t>,11/2022</w:t>
            </w:r>
          </w:p>
        </w:tc>
        <w:tc>
          <w:tcPr>
            <w:tcW w:w="802" w:type="dxa"/>
            <w:tcBorders>
              <w:top w:val="nil"/>
              <w:left w:val="nil"/>
              <w:bottom w:val="single" w:sz="8" w:space="0" w:color="BFBFBF"/>
              <w:right w:val="single" w:sz="8" w:space="0" w:color="BFBFBF"/>
            </w:tcBorders>
            <w:shd w:val="clear" w:color="auto" w:fill="auto"/>
            <w:noWrap/>
            <w:vAlign w:val="center"/>
            <w:hideMark/>
          </w:tcPr>
          <w:p w14:paraId="2A0C4CC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34E938A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722FC69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DE1AFB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864</w:t>
            </w:r>
          </w:p>
        </w:tc>
        <w:tc>
          <w:tcPr>
            <w:tcW w:w="1100" w:type="dxa"/>
            <w:tcBorders>
              <w:top w:val="nil"/>
              <w:left w:val="nil"/>
              <w:bottom w:val="single" w:sz="8" w:space="0" w:color="BFBFBF"/>
              <w:right w:val="single" w:sz="8" w:space="0" w:color="BFBFBF"/>
            </w:tcBorders>
            <w:shd w:val="clear" w:color="auto" w:fill="auto"/>
            <w:noWrap/>
            <w:vAlign w:val="center"/>
            <w:hideMark/>
          </w:tcPr>
          <w:p w14:paraId="461E25C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0D9CA65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4DA5A63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66E6E45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42D4008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460" w:type="dxa"/>
            <w:tcBorders>
              <w:top w:val="nil"/>
              <w:left w:val="nil"/>
              <w:bottom w:val="single" w:sz="8" w:space="0" w:color="BFBFBF"/>
              <w:right w:val="single" w:sz="8" w:space="0" w:color="BFBFBF"/>
            </w:tcBorders>
            <w:shd w:val="clear" w:color="auto" w:fill="auto"/>
            <w:noWrap/>
            <w:vAlign w:val="center"/>
            <w:hideMark/>
          </w:tcPr>
          <w:p w14:paraId="5A252A1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5ECC6F2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63D1DB6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4D9DD6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r>
      <w:tr w:rsidR="00E729CB" w:rsidRPr="001738EC" w14:paraId="70218FD8"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9AE38C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BC41E0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DGEE</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DC0CB2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ENAFIN</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83F9F5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BD0C19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29EC65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02C02A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6F5F1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11</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2A0EB8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279380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F67E43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FAA602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6379A0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E1CBA9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F2DECB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FE02B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5EB54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2D4EA8C6"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52983AF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nil"/>
              <w:left w:val="nil"/>
              <w:bottom w:val="single" w:sz="8" w:space="0" w:color="BFBFBF"/>
              <w:right w:val="single" w:sz="8" w:space="0" w:color="BFBFBF"/>
            </w:tcBorders>
            <w:shd w:val="clear" w:color="auto" w:fill="auto"/>
            <w:noWrap/>
            <w:vAlign w:val="center"/>
            <w:hideMark/>
          </w:tcPr>
          <w:p w14:paraId="351B0C5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69B5540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ENAPE</w:t>
            </w:r>
          </w:p>
        </w:tc>
        <w:tc>
          <w:tcPr>
            <w:tcW w:w="1300" w:type="dxa"/>
            <w:tcBorders>
              <w:top w:val="nil"/>
              <w:left w:val="nil"/>
              <w:bottom w:val="single" w:sz="8" w:space="0" w:color="BFBFBF"/>
              <w:right w:val="single" w:sz="8" w:space="0" w:color="BFBFBF"/>
            </w:tcBorders>
            <w:shd w:val="clear" w:color="auto" w:fill="auto"/>
            <w:noWrap/>
            <w:vAlign w:val="center"/>
            <w:hideMark/>
          </w:tcPr>
          <w:p w14:paraId="6C66468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2AAC475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E38B09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4FDB533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C1548D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1100" w:type="dxa"/>
            <w:tcBorders>
              <w:top w:val="nil"/>
              <w:left w:val="nil"/>
              <w:bottom w:val="single" w:sz="8" w:space="0" w:color="BFBFBF"/>
              <w:right w:val="single" w:sz="8" w:space="0" w:color="BFBFBF"/>
            </w:tcBorders>
            <w:shd w:val="clear" w:color="auto" w:fill="auto"/>
            <w:noWrap/>
            <w:vAlign w:val="center"/>
            <w:hideMark/>
          </w:tcPr>
          <w:p w14:paraId="479744D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85%</w:t>
            </w:r>
          </w:p>
        </w:tc>
        <w:tc>
          <w:tcPr>
            <w:tcW w:w="589" w:type="dxa"/>
            <w:tcBorders>
              <w:top w:val="nil"/>
              <w:left w:val="nil"/>
              <w:bottom w:val="single" w:sz="8" w:space="0" w:color="BFBFBF"/>
              <w:right w:val="single" w:sz="8" w:space="0" w:color="BFBFBF"/>
            </w:tcBorders>
            <w:shd w:val="clear" w:color="auto" w:fill="auto"/>
            <w:noWrap/>
            <w:vAlign w:val="center"/>
            <w:hideMark/>
          </w:tcPr>
          <w:p w14:paraId="1139519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5EFCB58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1FCCA61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090C234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c>
          <w:tcPr>
            <w:tcW w:w="460" w:type="dxa"/>
            <w:tcBorders>
              <w:top w:val="nil"/>
              <w:left w:val="nil"/>
              <w:bottom w:val="single" w:sz="8" w:space="0" w:color="BFBFBF"/>
              <w:right w:val="single" w:sz="8" w:space="0" w:color="BFBFBF"/>
            </w:tcBorders>
            <w:shd w:val="clear" w:color="auto" w:fill="auto"/>
            <w:noWrap/>
            <w:vAlign w:val="center"/>
            <w:hideMark/>
          </w:tcPr>
          <w:p w14:paraId="31B26F1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255C17A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59041CC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DD130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0%</w:t>
            </w:r>
          </w:p>
        </w:tc>
      </w:tr>
      <w:tr w:rsidR="00E729CB" w:rsidRPr="001738EC" w14:paraId="72DF0572"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DAD820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461448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28F5CB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ENDISEG</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0E4B89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18B3A9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553D81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C95183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ECF8CA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B53370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2741F3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BDED9A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F51810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4CF2EA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13%</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B3D78F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0573DD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DECBA0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DA94C4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r>
      <w:tr w:rsidR="00E729CB" w:rsidRPr="001738EC" w14:paraId="58F9613E"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70E0CA3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nil"/>
              <w:left w:val="nil"/>
              <w:bottom w:val="single" w:sz="8" w:space="0" w:color="BFBFBF"/>
              <w:right w:val="single" w:sz="8" w:space="0" w:color="BFBFBF"/>
            </w:tcBorders>
            <w:shd w:val="clear" w:color="auto" w:fill="auto"/>
            <w:noWrap/>
            <w:vAlign w:val="center"/>
            <w:hideMark/>
          </w:tcPr>
          <w:p w14:paraId="7ABA9E1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nil"/>
              <w:left w:val="nil"/>
              <w:bottom w:val="single" w:sz="8" w:space="0" w:color="BFBFBF"/>
              <w:right w:val="single" w:sz="8" w:space="0" w:color="BFBFBF"/>
            </w:tcBorders>
            <w:shd w:val="clear" w:color="auto" w:fill="auto"/>
            <w:noWrap/>
            <w:vAlign w:val="center"/>
            <w:hideMark/>
          </w:tcPr>
          <w:p w14:paraId="644F807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ENFIH</w:t>
            </w:r>
          </w:p>
        </w:tc>
        <w:tc>
          <w:tcPr>
            <w:tcW w:w="1300" w:type="dxa"/>
            <w:tcBorders>
              <w:top w:val="nil"/>
              <w:left w:val="nil"/>
              <w:bottom w:val="single" w:sz="8" w:space="0" w:color="BFBFBF"/>
              <w:right w:val="single" w:sz="8" w:space="0" w:color="BFBFBF"/>
            </w:tcBorders>
            <w:shd w:val="clear" w:color="auto" w:fill="auto"/>
            <w:noWrap/>
            <w:vAlign w:val="center"/>
            <w:hideMark/>
          </w:tcPr>
          <w:p w14:paraId="58FF4FC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55A4989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67F29D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77749AB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666" w:type="dxa"/>
            <w:tcBorders>
              <w:top w:val="nil"/>
              <w:left w:val="nil"/>
              <w:bottom w:val="single" w:sz="8" w:space="0" w:color="BFBFBF"/>
              <w:right w:val="single" w:sz="8" w:space="0" w:color="BFBFBF"/>
            </w:tcBorders>
            <w:shd w:val="clear" w:color="auto" w:fill="auto"/>
            <w:noWrap/>
            <w:vAlign w:val="center"/>
            <w:hideMark/>
          </w:tcPr>
          <w:p w14:paraId="4F5FF2C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2EF1EB8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11E6549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4C4812E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040AE16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21%</w:t>
            </w:r>
          </w:p>
        </w:tc>
        <w:tc>
          <w:tcPr>
            <w:tcW w:w="568" w:type="dxa"/>
            <w:tcBorders>
              <w:top w:val="nil"/>
              <w:left w:val="nil"/>
              <w:bottom w:val="single" w:sz="8" w:space="0" w:color="BFBFBF"/>
              <w:right w:val="single" w:sz="8" w:space="0" w:color="BFBFBF"/>
            </w:tcBorders>
            <w:shd w:val="clear" w:color="auto" w:fill="auto"/>
            <w:noWrap/>
            <w:vAlign w:val="center"/>
            <w:hideMark/>
          </w:tcPr>
          <w:p w14:paraId="30769F1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51C2DBD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3B7801A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05E4088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6%</w:t>
            </w:r>
          </w:p>
        </w:tc>
        <w:tc>
          <w:tcPr>
            <w:tcW w:w="460" w:type="dxa"/>
            <w:tcBorders>
              <w:top w:val="nil"/>
              <w:left w:val="nil"/>
              <w:bottom w:val="single" w:sz="8" w:space="0" w:color="BFBFBF"/>
              <w:right w:val="single" w:sz="8" w:space="0" w:color="BFBFBF"/>
            </w:tcBorders>
            <w:shd w:val="clear" w:color="auto" w:fill="auto"/>
            <w:noWrap/>
            <w:vAlign w:val="center"/>
            <w:hideMark/>
          </w:tcPr>
          <w:p w14:paraId="182831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2B2A28D3"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2147FC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77709F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DGES</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CC5978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ENVI</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351FCB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B59C67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E1E801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325D90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E041BD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EABE9D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436601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511A97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19F739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14%</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D22C37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9B1BB5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6CF6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930334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92BAA1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6553FBBD"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0B6CFE0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nil"/>
              <w:left w:val="nil"/>
              <w:bottom w:val="single" w:sz="8" w:space="0" w:color="BFBFBF"/>
              <w:right w:val="single" w:sz="8" w:space="0" w:color="BFBFBF"/>
            </w:tcBorders>
            <w:shd w:val="clear" w:color="auto" w:fill="auto"/>
            <w:noWrap/>
            <w:vAlign w:val="center"/>
            <w:hideMark/>
          </w:tcPr>
          <w:p w14:paraId="6F59D7B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nil"/>
              <w:left w:val="nil"/>
              <w:bottom w:val="single" w:sz="8" w:space="0" w:color="BFBFBF"/>
              <w:right w:val="single" w:sz="8" w:space="0" w:color="BFBFBF"/>
            </w:tcBorders>
            <w:shd w:val="clear" w:color="auto" w:fill="auto"/>
            <w:noWrap/>
            <w:vAlign w:val="center"/>
            <w:hideMark/>
          </w:tcPr>
          <w:p w14:paraId="64B54F6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ECADEFI-CHIH</w:t>
            </w:r>
          </w:p>
        </w:tc>
        <w:tc>
          <w:tcPr>
            <w:tcW w:w="1300" w:type="dxa"/>
            <w:tcBorders>
              <w:top w:val="nil"/>
              <w:left w:val="nil"/>
              <w:bottom w:val="single" w:sz="8" w:space="0" w:color="BFBFBF"/>
              <w:right w:val="single" w:sz="8" w:space="0" w:color="BFBFBF"/>
            </w:tcBorders>
            <w:shd w:val="clear" w:color="auto" w:fill="auto"/>
            <w:noWrap/>
            <w:vAlign w:val="center"/>
            <w:hideMark/>
          </w:tcPr>
          <w:p w14:paraId="1AB4575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2021</w:t>
            </w:r>
          </w:p>
        </w:tc>
        <w:tc>
          <w:tcPr>
            <w:tcW w:w="802" w:type="dxa"/>
            <w:tcBorders>
              <w:top w:val="nil"/>
              <w:left w:val="nil"/>
              <w:bottom w:val="single" w:sz="8" w:space="0" w:color="BFBFBF"/>
              <w:right w:val="single" w:sz="8" w:space="0" w:color="BFBFBF"/>
            </w:tcBorders>
            <w:shd w:val="clear" w:color="auto" w:fill="auto"/>
            <w:noWrap/>
            <w:vAlign w:val="center"/>
            <w:hideMark/>
          </w:tcPr>
          <w:p w14:paraId="1388A46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7C1751B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5A7AF7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D02CF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w:t>
            </w:r>
          </w:p>
        </w:tc>
        <w:tc>
          <w:tcPr>
            <w:tcW w:w="1100" w:type="dxa"/>
            <w:tcBorders>
              <w:top w:val="nil"/>
              <w:left w:val="nil"/>
              <w:bottom w:val="single" w:sz="8" w:space="0" w:color="BFBFBF"/>
              <w:right w:val="single" w:sz="8" w:space="0" w:color="BFBFBF"/>
            </w:tcBorders>
            <w:shd w:val="clear" w:color="auto" w:fill="auto"/>
            <w:noWrap/>
            <w:vAlign w:val="center"/>
            <w:hideMark/>
          </w:tcPr>
          <w:p w14:paraId="5FD6C45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4D37068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53019F5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0049A41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68" w:type="dxa"/>
            <w:tcBorders>
              <w:top w:val="nil"/>
              <w:left w:val="nil"/>
              <w:bottom w:val="single" w:sz="8" w:space="0" w:color="BFBFBF"/>
              <w:right w:val="single" w:sz="8" w:space="0" w:color="BFBFBF"/>
            </w:tcBorders>
            <w:shd w:val="clear" w:color="auto" w:fill="auto"/>
            <w:noWrap/>
            <w:vAlign w:val="center"/>
            <w:hideMark/>
          </w:tcPr>
          <w:p w14:paraId="2428F30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51FF2F6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45C95F1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595136A4"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1BAA0A2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w:t>
            </w:r>
          </w:p>
        </w:tc>
      </w:tr>
      <w:tr w:rsidR="00E729CB" w:rsidRPr="001738EC" w14:paraId="5E9D355B"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1ED7AB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E8AB93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AF160C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ENCRIGE</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91AA9C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EF112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16B7A6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44584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FFC5E5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FBCC7D6"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20%</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84B437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A682D8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9A88E0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25E976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1E284D0"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A0DDCD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0DE875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10%</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3FBD16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5B5BB9D9" w14:textId="77777777" w:rsidTr="003B35A6">
        <w:trPr>
          <w:trHeight w:val="228"/>
          <w:jc w:val="center"/>
        </w:trPr>
        <w:tc>
          <w:tcPr>
            <w:tcW w:w="1540" w:type="dxa"/>
            <w:tcBorders>
              <w:top w:val="nil"/>
              <w:left w:val="single" w:sz="8" w:space="0" w:color="BFBFBF"/>
              <w:bottom w:val="single" w:sz="8" w:space="0" w:color="BFBFBF"/>
              <w:right w:val="single" w:sz="8" w:space="0" w:color="BFBFBF"/>
            </w:tcBorders>
            <w:shd w:val="clear" w:color="auto" w:fill="auto"/>
            <w:noWrap/>
            <w:vAlign w:val="center"/>
            <w:hideMark/>
          </w:tcPr>
          <w:p w14:paraId="5014D53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nil"/>
              <w:left w:val="nil"/>
              <w:bottom w:val="single" w:sz="8" w:space="0" w:color="BFBFBF"/>
              <w:right w:val="single" w:sz="8" w:space="0" w:color="BFBFBF"/>
            </w:tcBorders>
            <w:shd w:val="clear" w:color="auto" w:fill="auto"/>
            <w:noWrap/>
            <w:vAlign w:val="center"/>
            <w:hideMark/>
          </w:tcPr>
          <w:p w14:paraId="4A43EA0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nil"/>
              <w:left w:val="nil"/>
              <w:bottom w:val="single" w:sz="8" w:space="0" w:color="BFBFBF"/>
              <w:right w:val="single" w:sz="8" w:space="0" w:color="BFBFBF"/>
            </w:tcBorders>
            <w:shd w:val="clear" w:color="auto" w:fill="auto"/>
            <w:noWrap/>
            <w:vAlign w:val="center"/>
            <w:hideMark/>
          </w:tcPr>
          <w:p w14:paraId="2A75187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ENCUCI</w:t>
            </w:r>
          </w:p>
        </w:tc>
        <w:tc>
          <w:tcPr>
            <w:tcW w:w="1300" w:type="dxa"/>
            <w:tcBorders>
              <w:top w:val="nil"/>
              <w:left w:val="nil"/>
              <w:bottom w:val="single" w:sz="8" w:space="0" w:color="BFBFBF"/>
              <w:right w:val="single" w:sz="8" w:space="0" w:color="BFBFBF"/>
            </w:tcBorders>
            <w:shd w:val="clear" w:color="auto" w:fill="auto"/>
            <w:noWrap/>
            <w:vAlign w:val="center"/>
            <w:hideMark/>
          </w:tcPr>
          <w:p w14:paraId="6938102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nil"/>
              <w:left w:val="nil"/>
              <w:bottom w:val="single" w:sz="8" w:space="0" w:color="BFBFBF"/>
              <w:right w:val="single" w:sz="8" w:space="0" w:color="BFBFBF"/>
            </w:tcBorders>
            <w:shd w:val="clear" w:color="auto" w:fill="auto"/>
            <w:noWrap/>
            <w:vAlign w:val="center"/>
            <w:hideMark/>
          </w:tcPr>
          <w:p w14:paraId="26D0853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2893F2D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nil"/>
              <w:left w:val="nil"/>
              <w:bottom w:val="single" w:sz="8" w:space="0" w:color="BFBFBF"/>
              <w:right w:val="single" w:sz="8" w:space="0" w:color="BFBFBF"/>
            </w:tcBorders>
            <w:shd w:val="clear" w:color="auto" w:fill="auto"/>
            <w:noWrap/>
            <w:vAlign w:val="center"/>
            <w:hideMark/>
          </w:tcPr>
          <w:p w14:paraId="4ED7E3B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666" w:type="dxa"/>
            <w:tcBorders>
              <w:top w:val="nil"/>
              <w:left w:val="nil"/>
              <w:bottom w:val="single" w:sz="8" w:space="0" w:color="BFBFBF"/>
              <w:right w:val="single" w:sz="8" w:space="0" w:color="BFBFBF"/>
            </w:tcBorders>
            <w:shd w:val="clear" w:color="auto" w:fill="auto"/>
            <w:noWrap/>
            <w:vAlign w:val="center"/>
            <w:hideMark/>
          </w:tcPr>
          <w:p w14:paraId="4B48CE5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nil"/>
              <w:left w:val="nil"/>
              <w:bottom w:val="single" w:sz="8" w:space="0" w:color="BFBFBF"/>
              <w:right w:val="single" w:sz="8" w:space="0" w:color="BFBFBF"/>
            </w:tcBorders>
            <w:shd w:val="clear" w:color="auto" w:fill="auto"/>
            <w:noWrap/>
            <w:vAlign w:val="center"/>
            <w:hideMark/>
          </w:tcPr>
          <w:p w14:paraId="43216D3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15%</w:t>
            </w:r>
          </w:p>
        </w:tc>
        <w:tc>
          <w:tcPr>
            <w:tcW w:w="589" w:type="dxa"/>
            <w:tcBorders>
              <w:top w:val="nil"/>
              <w:left w:val="nil"/>
              <w:bottom w:val="single" w:sz="8" w:space="0" w:color="BFBFBF"/>
              <w:right w:val="single" w:sz="8" w:space="0" w:color="BFBFBF"/>
            </w:tcBorders>
            <w:shd w:val="clear" w:color="auto" w:fill="auto"/>
            <w:noWrap/>
            <w:vAlign w:val="center"/>
            <w:hideMark/>
          </w:tcPr>
          <w:p w14:paraId="746705D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nil"/>
              <w:left w:val="nil"/>
              <w:bottom w:val="single" w:sz="8" w:space="0" w:color="BFBFBF"/>
              <w:right w:val="single" w:sz="8" w:space="0" w:color="BFBFBF"/>
            </w:tcBorders>
            <w:shd w:val="clear" w:color="auto" w:fill="auto"/>
            <w:noWrap/>
            <w:vAlign w:val="center"/>
            <w:hideMark/>
          </w:tcPr>
          <w:p w14:paraId="2F57A11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nil"/>
              <w:left w:val="nil"/>
              <w:bottom w:val="single" w:sz="8" w:space="0" w:color="BFBFBF"/>
              <w:right w:val="single" w:sz="8" w:space="0" w:color="BFBFBF"/>
            </w:tcBorders>
            <w:shd w:val="clear" w:color="auto" w:fill="auto"/>
            <w:noWrap/>
            <w:vAlign w:val="center"/>
            <w:hideMark/>
          </w:tcPr>
          <w:p w14:paraId="4FCB81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8%</w:t>
            </w:r>
          </w:p>
        </w:tc>
        <w:tc>
          <w:tcPr>
            <w:tcW w:w="568" w:type="dxa"/>
            <w:tcBorders>
              <w:top w:val="nil"/>
              <w:left w:val="nil"/>
              <w:bottom w:val="single" w:sz="8" w:space="0" w:color="BFBFBF"/>
              <w:right w:val="single" w:sz="8" w:space="0" w:color="BFBFBF"/>
            </w:tcBorders>
            <w:shd w:val="clear" w:color="auto" w:fill="auto"/>
            <w:noWrap/>
            <w:vAlign w:val="center"/>
            <w:hideMark/>
          </w:tcPr>
          <w:p w14:paraId="4D2AD0FD"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7EA0581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686076E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nil"/>
              <w:left w:val="nil"/>
              <w:bottom w:val="single" w:sz="8" w:space="0" w:color="BFBFBF"/>
              <w:right w:val="single" w:sz="8" w:space="0" w:color="BFBFBF"/>
            </w:tcBorders>
            <w:shd w:val="clear" w:color="auto" w:fill="auto"/>
            <w:noWrap/>
            <w:vAlign w:val="center"/>
            <w:hideMark/>
          </w:tcPr>
          <w:p w14:paraId="57BF0C4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7%</w:t>
            </w:r>
          </w:p>
        </w:tc>
        <w:tc>
          <w:tcPr>
            <w:tcW w:w="460" w:type="dxa"/>
            <w:tcBorders>
              <w:top w:val="nil"/>
              <w:left w:val="nil"/>
              <w:bottom w:val="single" w:sz="8" w:space="0" w:color="BFBFBF"/>
              <w:right w:val="single" w:sz="8" w:space="0" w:color="BFBFBF"/>
            </w:tcBorders>
            <w:shd w:val="clear" w:color="auto" w:fill="auto"/>
            <w:noWrap/>
            <w:vAlign w:val="center"/>
            <w:hideMark/>
          </w:tcPr>
          <w:p w14:paraId="57470A1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r w:rsidR="00E729CB" w:rsidRPr="001738EC" w14:paraId="75E73354" w14:textId="77777777" w:rsidTr="003B35A6">
        <w:trPr>
          <w:trHeight w:val="228"/>
          <w:jc w:val="center"/>
        </w:trPr>
        <w:tc>
          <w:tcPr>
            <w:tcW w:w="154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8F5A65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No determinado</w:t>
            </w:r>
          </w:p>
        </w:tc>
        <w:tc>
          <w:tcPr>
            <w:tcW w:w="8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2FABEF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DGEGSPJ</w:t>
            </w:r>
          </w:p>
        </w:tc>
        <w:tc>
          <w:tcPr>
            <w:tcW w:w="128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87C79B2"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ENPOL</w:t>
            </w:r>
          </w:p>
        </w:tc>
        <w:tc>
          <w:tcPr>
            <w:tcW w:w="13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A55807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 </w:t>
            </w:r>
          </w:p>
        </w:tc>
        <w:tc>
          <w:tcPr>
            <w:tcW w:w="80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D2D8CFF"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7870EF1"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3551A9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33</w:t>
            </w:r>
          </w:p>
        </w:tc>
        <w:tc>
          <w:tcPr>
            <w:tcW w:w="666"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2E9703E"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110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083B14B"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10%</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73581FC"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589"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AC85E3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94"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3D32A43"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568"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370934B7"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77382B4A"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40E1BBC8"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EEDB1E9"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4%</w:t>
            </w:r>
          </w:p>
        </w:tc>
        <w:tc>
          <w:tcPr>
            <w:tcW w:w="460"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6FCF11B5" w14:textId="77777777" w:rsidR="00E729CB" w:rsidRPr="001738EC" w:rsidRDefault="00E729CB" w:rsidP="003B35A6">
            <w:pPr>
              <w:spacing w:after="0" w:line="240" w:lineRule="auto"/>
              <w:jc w:val="center"/>
              <w:rPr>
                <w:rFonts w:ascii="Century Gothic" w:eastAsia="Times New Roman" w:hAnsi="Century Gothic" w:cs="Calibri"/>
                <w:sz w:val="16"/>
                <w:szCs w:val="16"/>
                <w:lang w:eastAsia="es-MX"/>
              </w:rPr>
            </w:pPr>
            <w:r w:rsidRPr="001738EC">
              <w:rPr>
                <w:rFonts w:ascii="Century Gothic" w:eastAsia="Times New Roman" w:hAnsi="Century Gothic" w:cs="Calibri"/>
                <w:sz w:val="16"/>
                <w:szCs w:val="16"/>
                <w:lang w:eastAsia="es-MX"/>
              </w:rPr>
              <w:t>-</w:t>
            </w:r>
          </w:p>
        </w:tc>
      </w:tr>
    </w:tbl>
    <w:p w14:paraId="346F866D" w14:textId="0A78B55D" w:rsidR="00361920" w:rsidRPr="009A501D" w:rsidRDefault="00361920" w:rsidP="00361920">
      <w:pPr>
        <w:spacing w:after="0"/>
        <w:ind w:firstLine="1276"/>
        <w:jc w:val="both"/>
        <w:rPr>
          <w:rFonts w:ascii="Century Gothic" w:hAnsi="Century Gothic" w:cstheme="minorHAnsi"/>
          <w:sz w:val="14"/>
          <w:szCs w:val="14"/>
        </w:rPr>
      </w:pPr>
      <w:r w:rsidRPr="009A501D">
        <w:rPr>
          <w:rFonts w:ascii="Century Gothic" w:hAnsi="Century Gothic" w:cstheme="minorHAnsi"/>
          <w:sz w:val="14"/>
          <w:szCs w:val="14"/>
          <w:vertAlign w:val="superscript"/>
        </w:rPr>
        <w:t>a/</w:t>
      </w:r>
      <w:r w:rsidRPr="009A501D">
        <w:rPr>
          <w:rFonts w:ascii="Century Gothic" w:hAnsi="Century Gothic" w:cstheme="minorHAnsi"/>
          <w:sz w:val="14"/>
          <w:szCs w:val="14"/>
        </w:rPr>
        <w:t xml:space="preserve"> Incluye todos los dominios y niveles de agregación.</w:t>
      </w:r>
    </w:p>
    <w:p w14:paraId="3584C05E" w14:textId="77777777" w:rsidR="00361920" w:rsidRPr="009A501D" w:rsidRDefault="00361920" w:rsidP="00361920">
      <w:pPr>
        <w:spacing w:after="0"/>
        <w:ind w:firstLine="1276"/>
        <w:jc w:val="both"/>
        <w:rPr>
          <w:rFonts w:ascii="Century Gothic" w:hAnsi="Century Gothic" w:cstheme="minorHAnsi"/>
          <w:sz w:val="14"/>
          <w:szCs w:val="14"/>
        </w:rPr>
      </w:pPr>
      <w:r w:rsidRPr="009A501D">
        <w:rPr>
          <w:rFonts w:ascii="Century Gothic" w:hAnsi="Century Gothic" w:cstheme="minorHAnsi"/>
          <w:sz w:val="14"/>
          <w:szCs w:val="14"/>
        </w:rPr>
        <w:t>NR: no reportado.</w:t>
      </w:r>
    </w:p>
    <w:p w14:paraId="40D4958A" w14:textId="77777777" w:rsidR="00361920" w:rsidRPr="009A501D" w:rsidRDefault="00361920" w:rsidP="00361920">
      <w:pPr>
        <w:spacing w:after="0"/>
        <w:ind w:firstLine="1276"/>
        <w:jc w:val="both"/>
        <w:rPr>
          <w:rFonts w:ascii="Century Gothic" w:hAnsi="Century Gothic"/>
          <w:sz w:val="14"/>
          <w:szCs w:val="14"/>
        </w:rPr>
      </w:pPr>
      <w:r w:rsidRPr="009A501D">
        <w:rPr>
          <w:rFonts w:ascii="Century Gothic" w:hAnsi="Century Gothic"/>
          <w:sz w:val="14"/>
          <w:szCs w:val="14"/>
        </w:rPr>
        <w:t>*Estos datos son los reportados en los Informes Anuales de Resultados 2019, 2020 y 2021, respectivamente.</w:t>
      </w:r>
    </w:p>
    <w:p w14:paraId="36799C3C" w14:textId="77777777" w:rsidR="00361920" w:rsidRPr="009A501D" w:rsidRDefault="00361920" w:rsidP="00361920">
      <w:pPr>
        <w:spacing w:after="0"/>
        <w:ind w:left="1276" w:right="1217"/>
        <w:jc w:val="both"/>
        <w:rPr>
          <w:rFonts w:ascii="Century Gothic" w:hAnsi="Century Gothic"/>
          <w:sz w:val="14"/>
          <w:szCs w:val="14"/>
        </w:rPr>
      </w:pPr>
      <w:r w:rsidRPr="009A501D">
        <w:rPr>
          <w:rFonts w:ascii="Century Gothic" w:hAnsi="Century Gothic"/>
          <w:sz w:val="14"/>
          <w:szCs w:val="14"/>
        </w:rPr>
        <w:t xml:space="preserve">**Estos datos corresponden a los indicadores registrados en metadatos durante 2022. Para el cálculo en 2022 únicamente se considera el agregado Nacional por encuesta. En contraste, para los años 2019, 2020 y 2021, el </w:t>
      </w:r>
      <w:proofErr w:type="gramStart"/>
      <w:r w:rsidRPr="009A501D">
        <w:rPr>
          <w:rFonts w:ascii="Century Gothic" w:hAnsi="Century Gothic"/>
          <w:sz w:val="14"/>
          <w:szCs w:val="14"/>
        </w:rPr>
        <w:t>cálculo  considera</w:t>
      </w:r>
      <w:proofErr w:type="gramEnd"/>
      <w:r w:rsidRPr="009A501D">
        <w:rPr>
          <w:rFonts w:ascii="Century Gothic" w:hAnsi="Century Gothic"/>
          <w:sz w:val="14"/>
          <w:szCs w:val="14"/>
        </w:rPr>
        <w:t xml:space="preserve"> el total de dominios de estudio a excepción del agregado Nacional.</w:t>
      </w:r>
    </w:p>
    <w:p w14:paraId="2F5954BF" w14:textId="798D151A" w:rsidR="005A1399" w:rsidRPr="009A501D" w:rsidRDefault="005A1399" w:rsidP="00664A1D">
      <w:pPr>
        <w:spacing w:after="0"/>
        <w:ind w:left="720"/>
        <w:jc w:val="both"/>
        <w:rPr>
          <w:rFonts w:ascii="Century Gothic" w:hAnsi="Century Gothic"/>
          <w:sz w:val="14"/>
          <w:szCs w:val="14"/>
        </w:rPr>
      </w:pPr>
    </w:p>
    <w:p w14:paraId="05D2144E" w14:textId="6761A4D0" w:rsidR="007F5C1B" w:rsidRPr="009A501D" w:rsidRDefault="007F5C1B">
      <w:pPr>
        <w:rPr>
          <w:rFonts w:ascii="Century Gothic" w:hAnsi="Century Gothic"/>
          <w:sz w:val="14"/>
          <w:szCs w:val="14"/>
        </w:rPr>
      </w:pPr>
      <w:r w:rsidRPr="009A501D">
        <w:rPr>
          <w:rFonts w:ascii="Century Gothic" w:hAnsi="Century Gothic"/>
          <w:sz w:val="14"/>
          <w:szCs w:val="14"/>
        </w:rPr>
        <w:br w:type="page"/>
      </w:r>
    </w:p>
    <w:p w14:paraId="6BD93C09" w14:textId="72EBA7DC" w:rsidR="005A1399" w:rsidRPr="009A501D" w:rsidRDefault="005A1399" w:rsidP="00664A1D">
      <w:pPr>
        <w:spacing w:before="240"/>
        <w:jc w:val="center"/>
        <w:rPr>
          <w:rFonts w:ascii="Century Gothic" w:hAnsi="Century Gothic" w:cstheme="majorHAnsi"/>
          <w:b/>
          <w:sz w:val="19"/>
          <w:szCs w:val="19"/>
        </w:rPr>
      </w:pPr>
      <w:r w:rsidRPr="009A501D">
        <w:rPr>
          <w:rFonts w:ascii="Century Gothic" w:hAnsi="Century Gothic" w:cstheme="majorHAnsi"/>
          <w:b/>
          <w:sz w:val="19"/>
          <w:szCs w:val="19"/>
        </w:rPr>
        <w:lastRenderedPageBreak/>
        <w:t>A.</w:t>
      </w:r>
      <w:r w:rsidR="00AE6C80" w:rsidRPr="009A501D">
        <w:rPr>
          <w:rFonts w:ascii="Century Gothic" w:hAnsi="Century Gothic" w:cstheme="majorHAnsi"/>
          <w:b/>
          <w:sz w:val="19"/>
          <w:szCs w:val="19"/>
        </w:rPr>
        <w:t>5</w:t>
      </w:r>
      <w:r w:rsidRPr="009A501D">
        <w:rPr>
          <w:rFonts w:ascii="Century Gothic" w:hAnsi="Century Gothic" w:cstheme="majorHAnsi"/>
          <w:b/>
          <w:sz w:val="19"/>
          <w:szCs w:val="19"/>
        </w:rPr>
        <w:t>.9. Promedio de las tasas de imputación y cumplimiento de la muestra</w:t>
      </w:r>
      <w:r w:rsidR="00953F4B" w:rsidRPr="009A501D">
        <w:rPr>
          <w:rFonts w:ascii="Century Gothic" w:hAnsi="Century Gothic" w:cstheme="majorHAnsi"/>
          <w:b/>
          <w:sz w:val="19"/>
          <w:szCs w:val="19"/>
        </w:rPr>
        <w:t xml:space="preserve"> mínima</w:t>
      </w:r>
      <w:r w:rsidRPr="009A501D">
        <w:rPr>
          <w:rFonts w:ascii="Century Gothic" w:hAnsi="Century Gothic" w:cstheme="majorHAnsi"/>
          <w:b/>
          <w:sz w:val="19"/>
          <w:szCs w:val="19"/>
        </w:rPr>
        <w:t xml:space="preserve"> </w:t>
      </w:r>
    </w:p>
    <w:tbl>
      <w:tblPr>
        <w:tblW w:w="12040" w:type="dxa"/>
        <w:jc w:val="center"/>
        <w:tblCellMar>
          <w:left w:w="0" w:type="dxa"/>
          <w:right w:w="0" w:type="dxa"/>
        </w:tblCellMar>
        <w:tblLook w:val="04A0" w:firstRow="1" w:lastRow="0" w:firstColumn="1" w:lastColumn="0" w:noHBand="0" w:noVBand="1"/>
      </w:tblPr>
      <w:tblGrid>
        <w:gridCol w:w="1540"/>
        <w:gridCol w:w="880"/>
        <w:gridCol w:w="1280"/>
        <w:gridCol w:w="1300"/>
        <w:gridCol w:w="799"/>
        <w:gridCol w:w="667"/>
        <w:gridCol w:w="667"/>
        <w:gridCol w:w="667"/>
        <w:gridCol w:w="539"/>
        <w:gridCol w:w="539"/>
        <w:gridCol w:w="539"/>
        <w:gridCol w:w="623"/>
        <w:gridCol w:w="500"/>
        <w:gridCol w:w="500"/>
        <w:gridCol w:w="500"/>
        <w:gridCol w:w="500"/>
      </w:tblGrid>
      <w:tr w:rsidR="005A1399" w:rsidRPr="009A501D" w14:paraId="2A04882C" w14:textId="77777777" w:rsidTr="00A64D97">
        <w:trPr>
          <w:trHeight w:val="284"/>
          <w:tblHeader/>
          <w:jc w:val="center"/>
        </w:trPr>
        <w:tc>
          <w:tcPr>
            <w:tcW w:w="15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07E11331"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Periodicidad</w:t>
            </w:r>
          </w:p>
        </w:tc>
        <w:tc>
          <w:tcPr>
            <w:tcW w:w="8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60AA0442"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UA</w:t>
            </w:r>
          </w:p>
        </w:tc>
        <w:tc>
          <w:tcPr>
            <w:tcW w:w="12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7572406C" w14:textId="6456DBFA" w:rsidR="005A1399" w:rsidRPr="009A501D" w:rsidRDefault="00EC4113"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Proceso</w:t>
            </w:r>
          </w:p>
        </w:tc>
        <w:tc>
          <w:tcPr>
            <w:tcW w:w="13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3B1E7761"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Periodo reportado en 2022</w:t>
            </w:r>
          </w:p>
        </w:tc>
        <w:tc>
          <w:tcPr>
            <w:tcW w:w="28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1AD69FBA" w14:textId="25339FED" w:rsidR="005A1399" w:rsidRPr="009A501D" w:rsidRDefault="00777F2C"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Casos totales</w:t>
            </w:r>
          </w:p>
        </w:tc>
        <w:tc>
          <w:tcPr>
            <w:tcW w:w="224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36BA7418"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Promedio de tasas reportadas</w:t>
            </w:r>
          </w:p>
        </w:tc>
      </w:tr>
      <w:tr w:rsidR="005A1399" w:rsidRPr="009A501D" w14:paraId="29CA1D79" w14:textId="77777777" w:rsidTr="00A64D97">
        <w:trPr>
          <w:trHeight w:val="284"/>
          <w:tblHeader/>
          <w:jc w:val="center"/>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E8D675"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77EB25"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084BD77"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653B99"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7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79AC2D5A" w14:textId="59669C4F"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2019</w:t>
            </w:r>
            <w:r w:rsidRPr="009A501D">
              <w:rPr>
                <w:rFonts w:ascii="Century Gothic" w:hAnsi="Century Gothic" w:cs="Calibri"/>
                <w:b/>
                <w:bCs/>
                <w:color w:val="FFFFFF"/>
                <w:sz w:val="16"/>
                <w:szCs w:val="16"/>
                <w:vertAlign w:val="superscript"/>
              </w:rPr>
              <w:t>a</w:t>
            </w:r>
            <w:r w:rsidR="007F5C1B" w:rsidRPr="009A501D">
              <w:rPr>
                <w:rFonts w:ascii="Century Gothic" w:hAnsi="Century Gothic" w:cs="Calibri"/>
                <w:b/>
                <w:bCs/>
                <w:color w:val="FFFFFF"/>
                <w:sz w:val="16"/>
                <w:szCs w:val="16"/>
                <w:vertAlign w:val="superscript"/>
              </w:rPr>
              <w:t>/</w:t>
            </w:r>
            <w:r w:rsidRPr="009A501D">
              <w:rPr>
                <w:rFonts w:ascii="Century Gothic" w:hAnsi="Century Gothic" w:cs="Calibri"/>
                <w:b/>
                <w:color w:val="FFFFFF"/>
                <w:sz w:val="16"/>
                <w:szCs w:val="16"/>
              </w:rPr>
              <w:br/>
              <w:t>Línea</w:t>
            </w:r>
            <w:r w:rsidRPr="009A501D">
              <w:rPr>
                <w:rFonts w:ascii="Century Gothic" w:hAnsi="Century Gothic" w:cs="Calibri"/>
                <w:b/>
                <w:color w:val="FFFFFF"/>
                <w:sz w:val="16"/>
                <w:szCs w:val="16"/>
              </w:rPr>
              <w:br/>
              <w:t>base</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5D54CE8E" w14:textId="10D8E654"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2020</w:t>
            </w:r>
            <w:r w:rsidRPr="009A501D">
              <w:rPr>
                <w:rFonts w:ascii="Century Gothic" w:hAnsi="Century Gothic" w:cs="Calibri"/>
                <w:b/>
                <w:bCs/>
                <w:color w:val="FFFFFF"/>
                <w:sz w:val="16"/>
                <w:szCs w:val="16"/>
                <w:vertAlign w:val="superscript"/>
              </w:rPr>
              <w:t>a</w:t>
            </w:r>
            <w:r w:rsidR="007F5C1B" w:rsidRPr="009A501D">
              <w:rPr>
                <w:rFonts w:ascii="Century Gothic" w:hAnsi="Century Gothic" w:cs="Calibri"/>
                <w:b/>
                <w:bCs/>
                <w:color w:val="FFFFFF"/>
                <w:sz w:val="16"/>
                <w:szCs w:val="16"/>
                <w:vertAlign w:val="superscript"/>
              </w:rPr>
              <w:t>/</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1984F6FA" w14:textId="297886C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2021</w:t>
            </w:r>
            <w:r w:rsidRPr="009A501D">
              <w:rPr>
                <w:rFonts w:ascii="Century Gothic" w:hAnsi="Century Gothic" w:cs="Calibri"/>
                <w:b/>
                <w:bCs/>
                <w:color w:val="FFFFFF"/>
                <w:sz w:val="16"/>
                <w:szCs w:val="16"/>
                <w:vertAlign w:val="superscript"/>
              </w:rPr>
              <w:t>a</w:t>
            </w:r>
            <w:r w:rsidR="007F5C1B" w:rsidRPr="009A501D">
              <w:rPr>
                <w:rFonts w:ascii="Century Gothic" w:hAnsi="Century Gothic" w:cs="Calibri"/>
                <w:b/>
                <w:bCs/>
                <w:color w:val="FFFFFF"/>
                <w:sz w:val="16"/>
                <w:szCs w:val="16"/>
                <w:vertAlign w:val="superscript"/>
              </w:rPr>
              <w:t>/</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1D03A30C" w14:textId="4ECFD3E4"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bCs/>
                <w:color w:val="FFFFFF"/>
                <w:sz w:val="16"/>
                <w:szCs w:val="16"/>
              </w:rPr>
              <w:t>2022</w:t>
            </w:r>
            <w:r w:rsidRPr="009A501D">
              <w:rPr>
                <w:rFonts w:ascii="Century Gothic" w:hAnsi="Century Gothic" w:cs="Calibri"/>
                <w:b/>
                <w:bCs/>
                <w:color w:val="FFFFFF"/>
                <w:sz w:val="16"/>
                <w:szCs w:val="16"/>
                <w:vertAlign w:val="superscript"/>
              </w:rPr>
              <w:t>a</w:t>
            </w:r>
            <w:r w:rsidR="007F5C1B" w:rsidRPr="009A501D">
              <w:rPr>
                <w:rFonts w:ascii="Century Gothic" w:hAnsi="Century Gothic" w:cs="Calibri"/>
                <w:b/>
                <w:bCs/>
                <w:color w:val="FFFFFF"/>
                <w:sz w:val="16"/>
                <w:szCs w:val="16"/>
                <w:vertAlign w:val="superscript"/>
              </w:rPr>
              <w:t>/</w:t>
            </w:r>
          </w:p>
        </w:tc>
        <w:tc>
          <w:tcPr>
            <w:tcW w:w="22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2F92CF1D" w14:textId="50876561"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imputación (ponderada)</w:t>
            </w:r>
          </w:p>
        </w:tc>
        <w:tc>
          <w:tcPr>
            <w:tcW w:w="2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tcMar>
              <w:top w:w="15" w:type="dxa"/>
              <w:left w:w="15" w:type="dxa"/>
              <w:bottom w:w="0" w:type="dxa"/>
              <w:right w:w="15" w:type="dxa"/>
            </w:tcMar>
            <w:vAlign w:val="center"/>
            <w:hideMark/>
          </w:tcPr>
          <w:p w14:paraId="2E205784"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Tasa de Cumplimiento de la Muestra Mínima</w:t>
            </w:r>
          </w:p>
        </w:tc>
      </w:tr>
      <w:tr w:rsidR="005A1399" w:rsidRPr="009A501D" w14:paraId="69DBFB3C" w14:textId="77777777" w:rsidTr="00A64D97">
        <w:trPr>
          <w:trHeight w:val="284"/>
          <w:tblHeader/>
          <w:jc w:val="center"/>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D97F7A"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FC40F7"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550ECF"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25F530"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3C120C"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8D2781"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317534"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6A10C0" w14:textId="77777777" w:rsidR="005A1399" w:rsidRPr="009A501D" w:rsidRDefault="005A1399" w:rsidP="007F5C1B">
            <w:pPr>
              <w:spacing w:after="0" w:line="240" w:lineRule="auto"/>
              <w:jc w:val="center"/>
              <w:rPr>
                <w:rFonts w:ascii="Century Gothic" w:hAnsi="Century Gothic" w:cs="Calibri"/>
                <w:b/>
                <w:color w:val="FFFFFF"/>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05116CD2"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08886A51"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7463577A"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221FCA0D"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38970966"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2019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15505C22"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46EB422B"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2060"/>
            <w:noWrap/>
            <w:tcMar>
              <w:top w:w="15" w:type="dxa"/>
              <w:left w:w="15" w:type="dxa"/>
              <w:bottom w:w="0" w:type="dxa"/>
              <w:right w:w="15" w:type="dxa"/>
            </w:tcMar>
            <w:vAlign w:val="center"/>
            <w:hideMark/>
          </w:tcPr>
          <w:p w14:paraId="4A563FD7" w14:textId="77777777" w:rsidR="005A1399" w:rsidRPr="009A501D" w:rsidRDefault="005A1399" w:rsidP="007F5C1B">
            <w:pPr>
              <w:spacing w:after="0" w:line="240" w:lineRule="auto"/>
              <w:jc w:val="center"/>
              <w:rPr>
                <w:rFonts w:ascii="Century Gothic" w:hAnsi="Century Gothic" w:cs="Calibri"/>
                <w:b/>
                <w:color w:val="FFFFFF"/>
                <w:sz w:val="16"/>
                <w:szCs w:val="16"/>
              </w:rPr>
            </w:pPr>
            <w:r w:rsidRPr="009A501D">
              <w:rPr>
                <w:rFonts w:ascii="Century Gothic" w:hAnsi="Century Gothic" w:cs="Calibri"/>
                <w:b/>
                <w:color w:val="FFFFFF"/>
                <w:sz w:val="16"/>
                <w:szCs w:val="16"/>
              </w:rPr>
              <w:t>2022</w:t>
            </w:r>
          </w:p>
        </w:tc>
      </w:tr>
      <w:tr w:rsidR="005A1399" w:rsidRPr="009A501D" w14:paraId="4D3ACADE"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7422EB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Sexenal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10747B4"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56655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ENSANUT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07B5145" w14:textId="54AB02AA"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5E970B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794DD0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4EF3A8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8A4BAE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2A3582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F78E1DF" w14:textId="3C7D7791" w:rsidR="005A1399" w:rsidRPr="009A501D" w:rsidRDefault="007F5C1B"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B7E19D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B1B09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ECF2FE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6E3FA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98C0DF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D003D4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r>
      <w:tr w:rsidR="005A1399" w:rsidRPr="009A501D" w14:paraId="55C128CE"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38581D6"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Quinquenal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3D2CAC2"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8B92A0E"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ENUT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28F09B2" w14:textId="3F92104B"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473A46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376690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0A8A73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24734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E67336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2BAA45" w14:textId="0211209A"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E2FE73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C6142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FFF061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995A7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731B88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981706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63E77330"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E47526E"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Quinquenal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1323FD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FC915DE"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ENDIREH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58C6E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8D3834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60223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0CA51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427384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FA6E77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10A9AB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EDF550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8CE880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6451FC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4E0E7B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2629D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A1F756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106%</w:t>
            </w:r>
          </w:p>
        </w:tc>
      </w:tr>
      <w:tr w:rsidR="005A1399" w:rsidRPr="009A501D" w14:paraId="2F529B33"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3AEDE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CC66FB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3B9B34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ENASEM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1F69CE" w14:textId="6187F399"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E2AFAD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E5353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1373A2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BF96D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70B267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1CFE4C5" w14:textId="6AB58C09"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F883A3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2E82A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B58559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D7FF1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761AD2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93DB4E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2D53E285"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18C8B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D928D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A008C75"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ENIF</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21941D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E00A18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942E8D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6EAECD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8D26F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B1C74F3" w14:textId="53B1C8CE"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BF4FF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F6C823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0CC41A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6FED2E4" w14:textId="2520EF55"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ED7C6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9C938F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79BC14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103%</w:t>
            </w:r>
          </w:p>
        </w:tc>
      </w:tr>
      <w:tr w:rsidR="005A1399" w:rsidRPr="009A501D" w14:paraId="63B27081"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625D4A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45C817B"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BE031F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ECRIGE-CDMX</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2E981F6" w14:textId="37991311"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32B7AC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61312C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4C3E98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AE3CC3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01D6B5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AAAB0A" w14:textId="07C18CA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70635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9FF01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9CAD3B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528C4C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121A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98CA56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0E3F6C06"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F92EA04"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287D8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664C1B0"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ENAID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6783BD" w14:textId="067D4EE4"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35947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8CA86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124C90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B414DC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351167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D7D142" w14:textId="55FF4711"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83BEB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B399A3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BDD77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A322C0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1D0D0B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2E45FE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42B96DC9"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21FCC85"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F5C67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DGIAI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7CC576A"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ENBIARE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5426B94" w14:textId="104840E5"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025E01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12853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98E0F2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9E872E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58E08F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4FB239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191C168" w14:textId="32354F0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FB5935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3E335C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9392E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7664F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F0BCCB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293B9B17"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EB581A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43C9286"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CE263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ENIGH_T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99D492D" w14:textId="3EEE5048"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20D0F7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A1783C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327359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23EF86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CD7E5C" w14:textId="0E3EF129"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75669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4EC9CAC" w14:textId="35E561F5"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4433DB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2A3570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4F185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86679A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56F68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0ADADB0B"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EB98E3B"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925535"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BDBC220"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ENCIG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B3005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621FF9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15673A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A0CCC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DCBDC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269E3D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57B4A9" w14:textId="5E9B3C47"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BA784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AA5478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1B6237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7B7E2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3A248B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3CBC1E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r>
      <w:tr w:rsidR="005A1399" w:rsidRPr="009A501D" w14:paraId="00652B7D"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911EED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Bienal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00490A4"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2D9196"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ENVE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136EF32"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834AD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EDB401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C35D93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DA00C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E5D5D5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ED2942A" w14:textId="1B82A2D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8B0CF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47E17F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469E7D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F135FF" w14:textId="678577D1"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9B1454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0BAFC1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124%</w:t>
            </w:r>
          </w:p>
        </w:tc>
      </w:tr>
      <w:tr w:rsidR="005A1399" w:rsidRPr="009A501D" w14:paraId="5DBE81EF"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44211E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5B6C82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0296F96"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0AAAB2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E74D2F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2CDC80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B7FE29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42505E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B609EEC" w14:textId="27C37F4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4BDB76D" w14:textId="10488131"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D32957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89C809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6FD3D6C" w14:textId="7CDD9E6C"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2A5704" w14:textId="54896DBA"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F58F4D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2B4D0E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91%</w:t>
            </w:r>
          </w:p>
        </w:tc>
      </w:tr>
      <w:tr w:rsidR="005A1399" w:rsidRPr="009A501D" w14:paraId="3238F9AB"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8B961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60B1D7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3766852"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EAEC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08D08E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9C3E9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E1A268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C451D0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77657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97D6559" w14:textId="2B7E462C"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A5C14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3F39DC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3F79F0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D9B8B14" w14:textId="6D541924"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33374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80664A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50E39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7B6EAF22"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ECEE3B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202F86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701BE6B"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EAIM</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8F31811"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0EF0E2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DFDEC8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223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168613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224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6586B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224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DED11BC" w14:textId="3F3B5999"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ACE520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82E521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40F9A3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59B03DF" w14:textId="22985C8F"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6F0531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B03B0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FD437D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103%</w:t>
            </w:r>
          </w:p>
        </w:tc>
      </w:tr>
      <w:tr w:rsidR="005A1399" w:rsidRPr="009A501D" w14:paraId="501D40DC"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0419380"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EC481E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3B90E34"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EASPNF</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62C811"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1A2129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1AFD93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22DBD5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FC5BE0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018AD8C" w14:textId="50E1412D"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DC6AFE0" w14:textId="251CF55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55D9F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97143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0F08DFA" w14:textId="6E6EFA7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7838889" w14:textId="08DE002B"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C19CC0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B4333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6FA0D0EB"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D4E1224"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71A96DE"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21A876F"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EAT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ECA7D6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93A78B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336E91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C97F50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CA1300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EBC0C0D" w14:textId="238C305F"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F273F91" w14:textId="2CB2162D"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BE66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66C721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9628872" w14:textId="55DC20B8"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41942F3" w14:textId="4A279B25"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82A2D5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519F38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90%</w:t>
            </w:r>
          </w:p>
        </w:tc>
      </w:tr>
      <w:tr w:rsidR="005A1399" w:rsidRPr="009A501D" w14:paraId="132606EE"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77BB4C5"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FD2A48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FEF3B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ECIS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5D95693"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DDB391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E2A129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178ED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5CF5DC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F4D009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1D942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1C86A9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0ADE9F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AF56AA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409F5F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D2DE86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538E7E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109%</w:t>
            </w:r>
          </w:p>
        </w:tc>
      </w:tr>
      <w:tr w:rsidR="005A1399" w:rsidRPr="009A501D" w14:paraId="7C3461DB"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4E482C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D7A97A3"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1825A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ENDUTIH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0693E8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0917A9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819DFA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3A6FFB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ACB95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550133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BFE8E3C" w14:textId="495CE808"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FA3586E" w14:textId="4F93660E"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8845C7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DCE9C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020E8E" w14:textId="119B72DB"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FF51016" w14:textId="6074FEF9"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777062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r>
      <w:tr w:rsidR="005A1399" w:rsidRPr="009A501D" w14:paraId="5DF9A14B"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09AFE4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519BD0A"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775FAE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4276627" w14:textId="578AB1BF"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686D82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E1E74C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171F93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C736CE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326C327" w14:textId="10CE6D28"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11956B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211A2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F623C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1C87F69" w14:textId="24ECC516"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CCB65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7CD1C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2875CA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701AF673"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CADB06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5570C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ED46AD1"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MODECULT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612BCA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7DD104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C6BFB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B6ECB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1A3D25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4CA283B" w14:textId="1AAF28C3"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A762F3B" w14:textId="50920044"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2FED56F" w14:textId="6CB4F01C"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54EC57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9FB0EC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F737F6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CEB5D5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C68EB6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14219F71"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56D908A"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74ED43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6308398"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MOLEC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E3545D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CC5515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8CDBF8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839B14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852C7B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AC45F91" w14:textId="7D124E1A"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931E55" w14:textId="59C0B21F"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FF88DC" w14:textId="14FE24F9"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E321B9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5853A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8D2C1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8E2529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D864C1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102%</w:t>
            </w:r>
          </w:p>
        </w:tc>
      </w:tr>
      <w:tr w:rsidR="005A1399" w:rsidRPr="009A501D" w14:paraId="1C25A2FB"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8EE756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F1B224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EFF9FB0"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MOPRADEF</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9E1A3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F60DD2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2107F2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DEAC32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24E5E2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37FD377" w14:textId="5F8A6D67"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9E06462" w14:textId="3186C233"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077C982" w14:textId="193ACBFB"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7A6C2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992D0AD" w14:textId="20D41261"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05C80E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7C8C6F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C852D3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r>
      <w:tr w:rsidR="005A1399" w:rsidRPr="009A501D" w14:paraId="7E81DC74"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EA299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44B28E1"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26C061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ENVIPE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532B610"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57F5A8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1BFE6C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A05009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CF45F5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FA9FB1" w14:textId="46481A9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CD1247" w14:textId="64E4C7C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432AD9" w14:textId="43A5D822"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3CFA6D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3F6D8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C5A9AF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AF76FA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1838B4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108%</w:t>
            </w:r>
          </w:p>
        </w:tc>
      </w:tr>
      <w:tr w:rsidR="005A1399" w:rsidRPr="009A501D" w14:paraId="40BA9F10"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6F355E9"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Anual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33AA94"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923CEEC"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MOCIBA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DC627C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5F1A4C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24C820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C24FE71" w14:textId="4F2E173E" w:rsidR="005A1399" w:rsidRPr="009A501D" w:rsidRDefault="007F5C1B"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241FBD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867F35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EF81A8" w14:textId="154D141C"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D4E128D" w14:textId="7F7B77E1"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72A834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4FA8B9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AC9E910" w14:textId="70A08A92"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FED00C" w14:textId="0C026B46"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0802FE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108%</w:t>
            </w:r>
          </w:p>
        </w:tc>
      </w:tr>
      <w:tr w:rsidR="005A1399" w:rsidRPr="009A501D" w14:paraId="5A53C85A"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75031A"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E04D190"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DGIAI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9E8685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BIARE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bottom w:w="0" w:type="dxa"/>
              <w:right w:w="15" w:type="dxa"/>
            </w:tcMar>
            <w:vAlign w:val="center"/>
            <w:hideMark/>
          </w:tcPr>
          <w:p w14:paraId="73F7A227" w14:textId="62CFB04A"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IV/2021</w:t>
            </w:r>
            <w:r w:rsidRPr="009A501D">
              <w:rPr>
                <w:rFonts w:ascii="Century Gothic" w:hAnsi="Century Gothic" w:cs="Calibri"/>
                <w:color w:val="000000"/>
                <w:sz w:val="16"/>
                <w:szCs w:val="16"/>
              </w:rPr>
              <w:br/>
              <w:t>I,</w:t>
            </w:r>
            <w:r w:rsidR="00FA6F62"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II,</w:t>
            </w:r>
            <w:r w:rsidR="00FA6F62"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III/2022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E14961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6D0091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5F98B8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16986B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862E74F" w14:textId="70EB9A14"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550BC3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551167F" w14:textId="4D5CD273"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D8C6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141179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932ED7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1CC165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81DEF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r>
      <w:tr w:rsidR="005A1399" w:rsidRPr="009A501D" w14:paraId="6054464A"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B3A12FD"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DF75C22"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5967797" w14:textId="77777777" w:rsidR="005A1399" w:rsidRPr="009A501D" w:rsidRDefault="005A1399" w:rsidP="00FA6F62">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ENIGH_E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876C3A2" w14:textId="7ED1D32F" w:rsidR="005A1399" w:rsidRPr="009A501D" w:rsidRDefault="005A1399" w:rsidP="00FA6F62">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F3BE75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8276F2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BE087A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FC20DD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29A56C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5FF465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D3A46BB" w14:textId="5F8B1D06"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FB8469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B78830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94715D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71D5D0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C85B3E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2A716F09"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C1971E8"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lastRenderedPageBreak/>
              <w:t>Trimestral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7338FC6"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01F6524"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ENOE-NE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bottom w:w="0" w:type="dxa"/>
              <w:right w:w="15" w:type="dxa"/>
            </w:tcMar>
            <w:vAlign w:val="center"/>
            <w:hideMark/>
          </w:tcPr>
          <w:p w14:paraId="3F77D11F" w14:textId="3D5B58DE"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IV/2021</w:t>
            </w:r>
            <w:r w:rsidRPr="009A501D">
              <w:rPr>
                <w:rFonts w:ascii="Century Gothic" w:hAnsi="Century Gothic" w:cs="Calibri"/>
                <w:color w:val="000000"/>
                <w:sz w:val="16"/>
                <w:szCs w:val="16"/>
              </w:rPr>
              <w:br/>
              <w:t>I,</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II,</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III/2022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29E713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546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3696A5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139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20C00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288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972B5A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0AF0EC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6D7871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677007" w14:textId="59C9A177"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C41861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C33B5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4C8378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07BF8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44AF3A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2D4F8E54"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CBD764C"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Trimestral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B702D21"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9803DEE"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ENSU</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5" w:type="dxa"/>
              <w:bottom w:w="0" w:type="dxa"/>
              <w:right w:w="15" w:type="dxa"/>
            </w:tcMar>
            <w:vAlign w:val="center"/>
            <w:hideMark/>
          </w:tcPr>
          <w:p w14:paraId="57D49F83" w14:textId="158C2789"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IV/2021</w:t>
            </w:r>
            <w:r w:rsidRPr="009A501D">
              <w:rPr>
                <w:rFonts w:ascii="Century Gothic" w:hAnsi="Century Gothic" w:cs="Calibri"/>
                <w:color w:val="000000"/>
                <w:sz w:val="16"/>
                <w:szCs w:val="16"/>
              </w:rPr>
              <w:br/>
              <w:t>I,</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II,</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III/2022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2F84C7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A995B7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255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5620C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349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B34F9A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365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A5ADA82" w14:textId="7D0B03D4"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A7D6857" w14:textId="2B6D625A"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818DDDF" w14:textId="5129122E"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D048F0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2F0B3C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72E7D4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D89541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86C499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105%</w:t>
            </w:r>
          </w:p>
        </w:tc>
      </w:tr>
      <w:tr w:rsidR="005A1399" w:rsidRPr="009A501D" w14:paraId="1533DA41"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0140501"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B10E50E"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30474A"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EMEC</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bottom w:w="0" w:type="dxa"/>
              <w:right w:w="15" w:type="dxa"/>
            </w:tcMar>
            <w:vAlign w:val="center"/>
            <w:hideMark/>
          </w:tcPr>
          <w:p w14:paraId="212BCFCE" w14:textId="6558272C"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…,10/2022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CFD73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656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88060D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520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00F648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492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991769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492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C80A63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74E45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568DA7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290C5B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6FCEA5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FB62F8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B49D21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0D8F0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r>
      <w:tr w:rsidR="005A1399" w:rsidRPr="009A501D" w14:paraId="64217878"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148AEA2"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C60271C"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FC94818"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EMIM</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5" w:type="dxa"/>
              <w:bottom w:w="0" w:type="dxa"/>
              <w:right w:w="15" w:type="dxa"/>
            </w:tcMar>
            <w:vAlign w:val="center"/>
            <w:hideMark/>
          </w:tcPr>
          <w:p w14:paraId="17DFADBE" w14:textId="178AB3B8"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…,10/2022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B19109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3584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B9E3E0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2676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BE965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2688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A9A74D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2688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281A29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2475B1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67D575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18C9F5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AC9944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24B946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8884CD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FF8BAC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541F7423"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17852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85D43F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068B71"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EMOE COM</w:t>
            </w:r>
          </w:p>
        </w:tc>
        <w:tc>
          <w:tcPr>
            <w:tcW w:w="130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bottom w:w="0" w:type="dxa"/>
              <w:right w:w="15" w:type="dxa"/>
            </w:tcMar>
            <w:vAlign w:val="center"/>
            <w:hideMark/>
          </w:tcPr>
          <w:p w14:paraId="5F2046EA" w14:textId="63A79A64"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…,11/2022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44D692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C8F24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004B06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EF0CC0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6D08D4D" w14:textId="580B4667"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9C98B8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3F9A71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15%</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B8CAF8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F364CB2" w14:textId="57E2EC4F"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129182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090D26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95%</w:t>
            </w:r>
          </w:p>
        </w:tc>
        <w:tc>
          <w:tcPr>
            <w:tcW w:w="0" w:type="auto"/>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EE3CC4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94%</w:t>
            </w:r>
          </w:p>
        </w:tc>
      </w:tr>
      <w:tr w:rsidR="005A1399" w:rsidRPr="009A501D" w14:paraId="75C44DEF"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5B74818"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3559157"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4B5A187"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EMOE CONS</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0299AD" w14:textId="77777777"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9CE4F5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AC5F5F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7793A2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B9B487" w14:textId="77777777" w:rsidR="005A1399" w:rsidRPr="009A501D" w:rsidRDefault="005A1399" w:rsidP="007F5C1B">
            <w:pPr>
              <w:spacing w:after="0" w:line="240" w:lineRule="auto"/>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F4F7344" w14:textId="397E68DE"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05B17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3764A8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22%</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15A8F4" w14:textId="77777777" w:rsidR="005A1399" w:rsidRPr="009A501D" w:rsidRDefault="005A1399" w:rsidP="007F5C1B">
            <w:pPr>
              <w:spacing w:after="0" w:line="240" w:lineRule="auto"/>
              <w:rPr>
                <w:rFonts w:ascii="Century Gothic" w:hAnsi="Century Gothic" w:cs="Calibri"/>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FF9445" w14:textId="616D85D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8E810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9C18AE2"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93%</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F9AF3C" w14:textId="77777777" w:rsidR="005A1399" w:rsidRPr="009A501D" w:rsidRDefault="005A1399" w:rsidP="007F5C1B">
            <w:pPr>
              <w:spacing w:after="0" w:line="240" w:lineRule="auto"/>
              <w:rPr>
                <w:rFonts w:ascii="Century Gothic" w:hAnsi="Century Gothic" w:cs="Calibri"/>
                <w:sz w:val="16"/>
                <w:szCs w:val="16"/>
              </w:rPr>
            </w:pPr>
          </w:p>
        </w:tc>
      </w:tr>
      <w:tr w:rsidR="005A1399" w:rsidRPr="009A501D" w14:paraId="0B3AF936"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6EED26C"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0B31C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F828AF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EMOE MAN</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1B2656" w14:textId="77777777"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29A98F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FEA3E5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84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867C72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96</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4F50AD" w14:textId="77777777" w:rsidR="005A1399" w:rsidRPr="009A501D" w:rsidRDefault="005A1399" w:rsidP="007F5C1B">
            <w:pPr>
              <w:spacing w:after="0" w:line="240" w:lineRule="auto"/>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D6B0D9" w14:textId="1D396337"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04B50E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46C2A4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9EB6A4" w14:textId="77777777" w:rsidR="005A1399" w:rsidRPr="009A501D" w:rsidRDefault="005A1399" w:rsidP="007F5C1B">
            <w:pPr>
              <w:spacing w:after="0" w:line="240" w:lineRule="auto"/>
              <w:rPr>
                <w:rFonts w:ascii="Century Gothic" w:hAnsi="Century Gothic" w:cs="Calibri"/>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7D18B0B" w14:textId="3C18717E"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CCFFA3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1BDF1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97%</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EE3FBAC" w14:textId="77777777" w:rsidR="005A1399" w:rsidRPr="009A501D" w:rsidRDefault="005A1399" w:rsidP="007F5C1B">
            <w:pPr>
              <w:spacing w:after="0" w:line="240" w:lineRule="auto"/>
              <w:rPr>
                <w:rFonts w:ascii="Century Gothic" w:hAnsi="Century Gothic" w:cs="Calibri"/>
                <w:sz w:val="16"/>
                <w:szCs w:val="16"/>
              </w:rPr>
            </w:pPr>
          </w:p>
        </w:tc>
      </w:tr>
      <w:tr w:rsidR="005A1399" w:rsidRPr="009A501D" w14:paraId="28A9C87E"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0774CAE"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BC594AA"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5E5157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EMOE SER</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769DE0" w14:textId="77777777"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193741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0D873E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AE3934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84</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95D846" w14:textId="77777777" w:rsidR="005A1399" w:rsidRPr="009A501D" w:rsidRDefault="005A1399" w:rsidP="007F5C1B">
            <w:pPr>
              <w:spacing w:after="0" w:line="240" w:lineRule="auto"/>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A96A1DC" w14:textId="35CB980B"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FCC6A1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25%</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0F914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24%</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465513" w14:textId="77777777" w:rsidR="005A1399" w:rsidRPr="009A501D" w:rsidRDefault="005A1399" w:rsidP="007F5C1B">
            <w:pPr>
              <w:spacing w:after="0" w:line="240" w:lineRule="auto"/>
              <w:rPr>
                <w:rFonts w:ascii="Century Gothic" w:hAnsi="Century Gothic" w:cs="Calibri"/>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53A776C" w14:textId="0929CC41"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F04229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CAF86C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91%</w:t>
            </w: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D208D6" w14:textId="77777777" w:rsidR="005A1399" w:rsidRPr="009A501D" w:rsidRDefault="005A1399" w:rsidP="007F5C1B">
            <w:pPr>
              <w:spacing w:after="0" w:line="240" w:lineRule="auto"/>
              <w:rPr>
                <w:rFonts w:ascii="Century Gothic" w:hAnsi="Century Gothic" w:cs="Calibri"/>
                <w:sz w:val="16"/>
                <w:szCs w:val="16"/>
              </w:rPr>
            </w:pPr>
          </w:p>
        </w:tc>
      </w:tr>
      <w:tr w:rsidR="005A1399" w:rsidRPr="009A501D" w14:paraId="067CE30F"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47D5FF2"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8D6760C"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67B6780"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EMS</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bottom w:w="0" w:type="dxa"/>
              <w:right w:w="15" w:type="dxa"/>
            </w:tcMar>
            <w:vAlign w:val="center"/>
            <w:hideMark/>
          </w:tcPr>
          <w:p w14:paraId="073E7BBC" w14:textId="7A882566"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…,10/2022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31D93C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1648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BBAAF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1224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A998B0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2328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F76CA0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2328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B325E5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65B097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D8752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B6885D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31%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3E3DF8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803F8A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B6786C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AB0F7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95%</w:t>
            </w:r>
          </w:p>
        </w:tc>
      </w:tr>
      <w:tr w:rsidR="005A1399" w:rsidRPr="009A501D" w14:paraId="46DDF961"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01F6AFA"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57B8F5"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05F7B6D"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ENEC</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5" w:type="dxa"/>
              <w:bottom w:w="0" w:type="dxa"/>
              <w:right w:w="15" w:type="dxa"/>
            </w:tcMar>
            <w:vAlign w:val="center"/>
            <w:hideMark/>
          </w:tcPr>
          <w:p w14:paraId="7A0EE673" w14:textId="779D87FF"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…,10/2022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8ABD28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576</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2B8252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420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D77795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B77668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432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EA469E3" w14:textId="0B307D16"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47EE93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3C6460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878C95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CCFF54D" w14:textId="2AC15722"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10272C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5F8F9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B7C33D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100%</w:t>
            </w:r>
          </w:p>
        </w:tc>
      </w:tr>
      <w:tr w:rsidR="005A1399" w:rsidRPr="009A501D" w14:paraId="51BD6A48"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CB4C725"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E48A62A"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41B7D49"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ENCO</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bottom w:w="0" w:type="dxa"/>
              <w:right w:w="15" w:type="dxa"/>
            </w:tcMar>
            <w:vAlign w:val="center"/>
            <w:hideMark/>
          </w:tcPr>
          <w:p w14:paraId="3DA2462B" w14:textId="07B84056"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…,11/2022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56AA1A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6C79EA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31EBF4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D9D6A6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B08AAB1" w14:textId="52510530"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6893313" w14:textId="19B6B14D"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8793385" w14:textId="2F512A56"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CBA6A6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691D43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386AB5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687B3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99%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4C509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6B8EDDA6"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AA31E80"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Mensual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D6063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3BA4806"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ENOE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5" w:type="dxa"/>
              <w:bottom w:w="0" w:type="dxa"/>
              <w:right w:w="15" w:type="dxa"/>
            </w:tcMar>
            <w:vAlign w:val="center"/>
            <w:hideMark/>
          </w:tcPr>
          <w:p w14:paraId="5C69DD4D" w14:textId="15EA2ACC"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12/2021</w:t>
            </w:r>
            <w:r w:rsidRPr="009A501D">
              <w:rPr>
                <w:rFonts w:ascii="Century Gothic" w:hAnsi="Century Gothic" w:cs="Calibri"/>
                <w:color w:val="000000"/>
                <w:sz w:val="16"/>
                <w:szCs w:val="16"/>
              </w:rPr>
              <w:br/>
              <w:t>1,</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2,</w:t>
            </w:r>
            <w:r w:rsidR="00224E0F" w:rsidRPr="009A501D">
              <w:rPr>
                <w:rFonts w:ascii="Century Gothic" w:hAnsi="Century Gothic" w:cs="Calibri"/>
                <w:color w:val="000000"/>
                <w:sz w:val="16"/>
                <w:szCs w:val="16"/>
              </w:rPr>
              <w:t xml:space="preserve"> </w:t>
            </w:r>
            <w:r w:rsidRPr="009A501D">
              <w:rPr>
                <w:rFonts w:ascii="Century Gothic" w:hAnsi="Century Gothic" w:cs="Calibri"/>
                <w:color w:val="000000"/>
                <w:sz w:val="16"/>
                <w:szCs w:val="16"/>
              </w:rPr>
              <w:t>…,11/2022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45BCBF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0AD437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200DEB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66C700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864</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9120E04" w14:textId="295CB20B"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4B081A7" w14:textId="4963979E"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26AA11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FB386E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54B8D6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E7BD94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04BF34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CC0CD3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r>
      <w:tr w:rsidR="005A1399" w:rsidRPr="009A501D" w14:paraId="25A17860"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2DA1B7E"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45DAA15"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852C463"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ENAFIN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450539"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4E62DE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D7BDAB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382C2F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A7DB2B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3E6A3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C7E190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C93C35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BBAB71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50F451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5D9C1A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DE6A55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460EE4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122%</w:t>
            </w:r>
          </w:p>
        </w:tc>
      </w:tr>
      <w:tr w:rsidR="005A1399" w:rsidRPr="009A501D" w14:paraId="6EC78C41"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93D444"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4302EE"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DD43037"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ENAPE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04A79F5"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4358CE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56AB4F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9ADFD30"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2D70BE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EEF90B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7900F2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CA33FD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DD5C73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D478EB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D3A321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CA02D4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7F64BD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18%</w:t>
            </w:r>
          </w:p>
        </w:tc>
      </w:tr>
      <w:tr w:rsidR="005A1399" w:rsidRPr="009A501D" w14:paraId="66F1B7E0"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85C9910"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68F9F8"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D4A5C03"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ENDISEG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8B8AC6A"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BB49BC"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08620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A47664"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35E8C6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D3C4BF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D3B1DB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FEEFCC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E63F9F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C786D5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308685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496DBF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A818C5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102%</w:t>
            </w:r>
          </w:p>
        </w:tc>
      </w:tr>
      <w:tr w:rsidR="005A1399" w:rsidRPr="009A501D" w14:paraId="249A0D79"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227F725"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241406D"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C51645A"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ENFIH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9838080" w14:textId="36952C4F"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4E583F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4058AC7"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3A9D68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597B18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782D35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0F1E8F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B837FC9" w14:textId="3333E2C5"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ECA0801"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7A1DAD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7563B9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238A12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88%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8BA08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4E164E53"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50397CC"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E359D5"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DFA095B"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ENVI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C45E51E" w14:textId="13D1A14D"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073698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6A3E0F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7F95E4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4A2DD1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7090C5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12AE33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55B494A" w14:textId="63FD7345"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A17580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C99BF18"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144C36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609FFE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8ABB39C"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22712640"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8C79A26"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C716F09"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6BD6DD6"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ECADEFI-CHIH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C2B5BBE"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2021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66B8049"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525388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FF65BD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92F6922"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AE0FF3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4ABADDB"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939925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0AFB6A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FFFBE9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40C74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D2AF62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431B81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0BC7C6B2"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9D5266F"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1307194"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A81FAE8"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ENCRIGE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7835C57" w14:textId="6C25CF33"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57A4913"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F524515"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230EEA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413798"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2FE866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977028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A79D40" w14:textId="52B61907"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A48754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8C89E4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36DEB1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AE048D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95638A4"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33490473" w14:textId="77777777" w:rsidTr="00A64D9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A1E4959"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6F09507"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16920224"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ENCUCI</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A68D553" w14:textId="018ADBA1"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2CCBE7A"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3B4026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BCCBFBF"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7</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08E4E12D"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F9F263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27899533"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642D861D" w14:textId="086448A6"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417EF66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3EBFAE8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5A97341A"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5B6B916"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108%</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Mar>
              <w:top w:w="15" w:type="dxa"/>
              <w:left w:w="15" w:type="dxa"/>
              <w:bottom w:w="0" w:type="dxa"/>
              <w:right w:w="15" w:type="dxa"/>
            </w:tcMar>
            <w:vAlign w:val="center"/>
            <w:hideMark/>
          </w:tcPr>
          <w:p w14:paraId="7DE7738E"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r w:rsidR="005A1399" w:rsidRPr="009A501D" w14:paraId="68C96865" w14:textId="77777777" w:rsidTr="009D02D7">
        <w:trPr>
          <w:trHeight w:val="284"/>
          <w:jc w:val="cent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3C7EFB"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No determinado</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2E01670"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DGEGSPJ</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9C98374" w14:textId="77777777" w:rsidR="005A1399" w:rsidRPr="009A501D" w:rsidRDefault="005A1399" w:rsidP="008222D3">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ENPOL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02C4DEE6" w14:textId="47186BF5" w:rsidR="005A1399" w:rsidRPr="009A501D" w:rsidRDefault="005A1399" w:rsidP="008222D3">
            <w:pPr>
              <w:spacing w:after="0" w:line="240" w:lineRule="auto"/>
              <w:jc w:val="center"/>
              <w:rPr>
                <w:rFonts w:ascii="Century Gothic" w:hAnsi="Century Gothic" w:cs="Calibri"/>
                <w:color w:val="000000"/>
                <w:sz w:val="16"/>
                <w:szCs w:val="16"/>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5A7C44B"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20224791"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E2059BE"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33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A1FC696" w14:textId="77777777" w:rsidR="005A1399" w:rsidRPr="009A501D" w:rsidRDefault="005A1399" w:rsidP="007F5C1B">
            <w:pPr>
              <w:spacing w:after="0" w:line="240" w:lineRule="auto"/>
              <w:jc w:val="center"/>
              <w:rPr>
                <w:rFonts w:ascii="Century Gothic" w:hAnsi="Century Gothic" w:cs="Calibri"/>
                <w:color w:val="000000"/>
                <w:sz w:val="16"/>
                <w:szCs w:val="16"/>
              </w:rPr>
            </w:pPr>
            <w:r w:rsidRPr="009A501D">
              <w:rPr>
                <w:rFonts w:ascii="Century Gothic" w:hAnsi="Century Gothic" w:cs="Calibri"/>
                <w:color w:val="000000"/>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501225EF"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3461990"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134F9E0E" w14:textId="6185307A" w:rsidR="005A1399" w:rsidRPr="009A501D" w:rsidRDefault="007F5C1B"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NR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06F3269"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74EDD03D"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625ABC27"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4DF1181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112%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Mar>
              <w:top w:w="15" w:type="dxa"/>
              <w:left w:w="15" w:type="dxa"/>
              <w:bottom w:w="0" w:type="dxa"/>
              <w:right w:w="15" w:type="dxa"/>
            </w:tcMar>
            <w:vAlign w:val="center"/>
            <w:hideMark/>
          </w:tcPr>
          <w:p w14:paraId="3535B765" w14:textId="77777777" w:rsidR="005A1399" w:rsidRPr="009A501D" w:rsidRDefault="005A1399" w:rsidP="007F5C1B">
            <w:pPr>
              <w:spacing w:after="0" w:line="240" w:lineRule="auto"/>
              <w:jc w:val="center"/>
              <w:rPr>
                <w:rFonts w:ascii="Century Gothic" w:hAnsi="Century Gothic" w:cs="Calibri"/>
                <w:sz w:val="16"/>
                <w:szCs w:val="16"/>
              </w:rPr>
            </w:pPr>
            <w:r w:rsidRPr="009A501D">
              <w:rPr>
                <w:rFonts w:ascii="Century Gothic" w:hAnsi="Century Gothic" w:cs="Calibri"/>
                <w:sz w:val="16"/>
                <w:szCs w:val="16"/>
              </w:rPr>
              <w:t>-</w:t>
            </w:r>
          </w:p>
        </w:tc>
      </w:tr>
    </w:tbl>
    <w:p w14:paraId="11B6C834" w14:textId="77777777" w:rsidR="005A1399" w:rsidRPr="009A501D" w:rsidRDefault="005A1399" w:rsidP="00224E0F">
      <w:pPr>
        <w:spacing w:after="0"/>
        <w:ind w:firstLine="1276"/>
        <w:jc w:val="both"/>
        <w:rPr>
          <w:rFonts w:ascii="Century Gothic" w:hAnsi="Century Gothic" w:cstheme="minorHAnsi"/>
          <w:sz w:val="14"/>
          <w:szCs w:val="14"/>
        </w:rPr>
      </w:pPr>
      <w:r w:rsidRPr="009A501D">
        <w:rPr>
          <w:rFonts w:ascii="Century Gothic" w:hAnsi="Century Gothic" w:cstheme="minorHAnsi"/>
          <w:sz w:val="14"/>
          <w:szCs w:val="14"/>
          <w:vertAlign w:val="superscript"/>
        </w:rPr>
        <w:t>a/</w:t>
      </w:r>
      <w:r w:rsidRPr="009A501D">
        <w:rPr>
          <w:rFonts w:ascii="Century Gothic" w:hAnsi="Century Gothic" w:cstheme="minorHAnsi"/>
          <w:sz w:val="14"/>
          <w:szCs w:val="14"/>
        </w:rPr>
        <w:t xml:space="preserve"> Incluye todos los dominios y niveles de agregación.</w:t>
      </w:r>
    </w:p>
    <w:p w14:paraId="2C2B40BE" w14:textId="016EC05A" w:rsidR="005A1399" w:rsidRPr="009A501D" w:rsidRDefault="00224E0F" w:rsidP="00224E0F">
      <w:pPr>
        <w:spacing w:after="0"/>
        <w:ind w:firstLine="1276"/>
        <w:jc w:val="both"/>
        <w:rPr>
          <w:rFonts w:ascii="Century Gothic" w:hAnsi="Century Gothic" w:cstheme="minorHAnsi"/>
          <w:sz w:val="14"/>
          <w:szCs w:val="14"/>
        </w:rPr>
      </w:pPr>
      <w:r w:rsidRPr="009A501D">
        <w:rPr>
          <w:rFonts w:ascii="Century Gothic" w:hAnsi="Century Gothic" w:cstheme="minorHAnsi"/>
          <w:sz w:val="14"/>
          <w:szCs w:val="14"/>
        </w:rPr>
        <w:t>NR</w:t>
      </w:r>
      <w:r w:rsidR="005A1399" w:rsidRPr="009A501D">
        <w:rPr>
          <w:rFonts w:ascii="Century Gothic" w:hAnsi="Century Gothic" w:cstheme="minorHAnsi"/>
          <w:sz w:val="14"/>
          <w:szCs w:val="14"/>
        </w:rPr>
        <w:t>: no reportado.</w:t>
      </w:r>
    </w:p>
    <w:p w14:paraId="125F884D" w14:textId="7C0E9EAE" w:rsidR="005A1399" w:rsidRPr="009A501D" w:rsidRDefault="005A1399" w:rsidP="00224E0F">
      <w:pPr>
        <w:spacing w:after="0"/>
        <w:ind w:firstLine="1276"/>
        <w:jc w:val="both"/>
        <w:rPr>
          <w:rFonts w:ascii="Century Gothic" w:hAnsi="Century Gothic"/>
          <w:sz w:val="14"/>
          <w:szCs w:val="14"/>
        </w:rPr>
      </w:pPr>
      <w:r w:rsidRPr="009A501D">
        <w:rPr>
          <w:rFonts w:ascii="Century Gothic" w:hAnsi="Century Gothic"/>
          <w:sz w:val="14"/>
          <w:szCs w:val="14"/>
        </w:rPr>
        <w:t>*Estos datos son los reportados en los Informes Anuales de Resultados 2019, 2020 y 2021, respectivamente.</w:t>
      </w:r>
    </w:p>
    <w:p w14:paraId="75FCAC30" w14:textId="57EA6E66" w:rsidR="005A1399" w:rsidRPr="009A501D" w:rsidRDefault="005A1399" w:rsidP="00224E0F">
      <w:pPr>
        <w:spacing w:after="0"/>
        <w:ind w:firstLine="1276"/>
        <w:jc w:val="both"/>
        <w:rPr>
          <w:rFonts w:ascii="Century Gothic" w:hAnsi="Century Gothic"/>
          <w:sz w:val="14"/>
          <w:szCs w:val="14"/>
        </w:rPr>
      </w:pPr>
      <w:r w:rsidRPr="009A501D">
        <w:rPr>
          <w:rFonts w:ascii="Century Gothic" w:hAnsi="Century Gothic"/>
          <w:sz w:val="14"/>
          <w:szCs w:val="14"/>
        </w:rPr>
        <w:t>**Estos datos corresponden a los indicadores registrados en metadatos durante 2022.</w:t>
      </w:r>
    </w:p>
    <w:p w14:paraId="73E69553" w14:textId="07498BE5" w:rsidR="005A1399" w:rsidRPr="009A501D" w:rsidRDefault="004D51CC"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lastRenderedPageBreak/>
        <w:t xml:space="preserve">Resalta el caso de </w:t>
      </w:r>
      <w:r w:rsidR="005A1399" w:rsidRPr="009A501D">
        <w:rPr>
          <w:rFonts w:ascii="Century Gothic" w:hAnsi="Century Gothic" w:cstheme="minorHAnsi"/>
          <w:sz w:val="19"/>
          <w:szCs w:val="19"/>
        </w:rPr>
        <w:t>la ENAPE</w:t>
      </w:r>
      <w:r w:rsidR="0045500C" w:rsidRPr="009A501D">
        <w:rPr>
          <w:rFonts w:ascii="Century Gothic" w:hAnsi="Century Gothic" w:cstheme="minorHAnsi"/>
          <w:sz w:val="19"/>
          <w:szCs w:val="19"/>
        </w:rPr>
        <w:t xml:space="preserve"> con una </w:t>
      </w:r>
      <w:r w:rsidR="005A1399" w:rsidRPr="009A501D">
        <w:rPr>
          <w:rFonts w:ascii="Century Gothic" w:hAnsi="Century Gothic" w:cstheme="minorHAnsi"/>
          <w:i/>
          <w:iCs/>
          <w:sz w:val="19"/>
          <w:szCs w:val="19"/>
        </w:rPr>
        <w:t>tasa de cumplimiento de la muestra mínima</w:t>
      </w:r>
      <w:r w:rsidR="005A1399" w:rsidRPr="009A501D">
        <w:rPr>
          <w:rFonts w:ascii="Century Gothic" w:hAnsi="Century Gothic" w:cstheme="minorHAnsi"/>
          <w:sz w:val="19"/>
          <w:szCs w:val="19"/>
        </w:rPr>
        <w:t xml:space="preserve"> de 18%. En general, se observa una recuperación en las </w:t>
      </w:r>
      <w:r w:rsidR="005A1399" w:rsidRPr="009A501D">
        <w:rPr>
          <w:rFonts w:ascii="Century Gothic" w:hAnsi="Century Gothic" w:cstheme="minorHAnsi"/>
          <w:i/>
          <w:iCs/>
          <w:sz w:val="19"/>
          <w:szCs w:val="19"/>
        </w:rPr>
        <w:t>tasas de cumplimiento de la muestra mínima</w:t>
      </w:r>
      <w:r w:rsidR="005A1399" w:rsidRPr="009A501D">
        <w:rPr>
          <w:rFonts w:ascii="Century Gothic" w:hAnsi="Century Gothic" w:cstheme="minorHAnsi"/>
          <w:sz w:val="19"/>
          <w:szCs w:val="19"/>
        </w:rPr>
        <w:t>, iniciada en 2021 y reafirmada en 2022</w:t>
      </w:r>
      <w:r w:rsidR="00D1256D" w:rsidRPr="009A501D">
        <w:rPr>
          <w:rFonts w:ascii="Century Gothic" w:hAnsi="Century Gothic" w:cstheme="minorHAnsi"/>
          <w:sz w:val="19"/>
          <w:szCs w:val="19"/>
        </w:rPr>
        <w:t>.</w:t>
      </w:r>
    </w:p>
    <w:p w14:paraId="3FBB607C" w14:textId="77777777" w:rsidR="00E729CB" w:rsidRDefault="00E729CB" w:rsidP="00664A1D">
      <w:pPr>
        <w:spacing w:before="240"/>
        <w:jc w:val="both"/>
        <w:rPr>
          <w:rFonts w:ascii="Century Gothic" w:hAnsi="Century Gothic" w:cstheme="minorHAnsi"/>
          <w:sz w:val="19"/>
          <w:szCs w:val="19"/>
        </w:rPr>
      </w:pPr>
      <w:r w:rsidRPr="00AC3CF7">
        <w:rPr>
          <w:rFonts w:ascii="Century Gothic" w:hAnsi="Century Gothic" w:cstheme="minorHAnsi"/>
          <w:sz w:val="19"/>
          <w:szCs w:val="19"/>
        </w:rPr>
        <w:t>En este mismo sentido, en 2022 se observa que un 1</w:t>
      </w:r>
      <w:r>
        <w:rPr>
          <w:rFonts w:ascii="Century Gothic" w:hAnsi="Century Gothic" w:cstheme="minorHAnsi"/>
          <w:sz w:val="19"/>
          <w:szCs w:val="19"/>
        </w:rPr>
        <w:t>3</w:t>
      </w:r>
      <w:r w:rsidRPr="00AC3CF7">
        <w:rPr>
          <w:rFonts w:ascii="Century Gothic" w:hAnsi="Century Gothic" w:cstheme="minorHAnsi"/>
          <w:sz w:val="19"/>
          <w:szCs w:val="19"/>
        </w:rPr>
        <w:t xml:space="preserve">% de los procesos de producción registraron una tasa de no respuesta </w:t>
      </w:r>
      <w:r>
        <w:rPr>
          <w:rFonts w:ascii="Century Gothic" w:hAnsi="Century Gothic" w:cstheme="minorHAnsi"/>
          <w:sz w:val="19"/>
          <w:szCs w:val="19"/>
        </w:rPr>
        <w:t>superior a</w:t>
      </w:r>
      <w:r w:rsidRPr="00AC3CF7">
        <w:rPr>
          <w:rFonts w:ascii="Century Gothic" w:hAnsi="Century Gothic" w:cstheme="minorHAnsi"/>
          <w:sz w:val="19"/>
          <w:szCs w:val="19"/>
        </w:rPr>
        <w:t xml:space="preserve"> la tasa de no respuesta máxima esperada en su diseño estadístico, una disminución significativa comparad</w:t>
      </w:r>
      <w:r>
        <w:rPr>
          <w:rFonts w:ascii="Century Gothic" w:hAnsi="Century Gothic" w:cstheme="minorHAnsi"/>
          <w:sz w:val="19"/>
          <w:szCs w:val="19"/>
        </w:rPr>
        <w:t>a</w:t>
      </w:r>
      <w:r w:rsidRPr="00AC3CF7">
        <w:rPr>
          <w:rFonts w:ascii="Century Gothic" w:hAnsi="Century Gothic" w:cstheme="minorHAnsi"/>
          <w:sz w:val="19"/>
          <w:szCs w:val="19"/>
        </w:rPr>
        <w:t xml:space="preserve"> con el 37%</w:t>
      </w:r>
      <w:r w:rsidRPr="00AC3CF7">
        <w:rPr>
          <w:rFonts w:ascii="Century Gothic" w:hAnsi="Century Gothic" w:cstheme="minorHAnsi"/>
          <w:color w:val="FF0000"/>
          <w:sz w:val="19"/>
          <w:szCs w:val="19"/>
        </w:rPr>
        <w:t xml:space="preserve"> </w:t>
      </w:r>
      <w:r w:rsidRPr="00AC3CF7">
        <w:rPr>
          <w:rFonts w:ascii="Century Gothic" w:hAnsi="Century Gothic" w:cstheme="minorHAnsi"/>
          <w:sz w:val="19"/>
          <w:szCs w:val="19"/>
        </w:rPr>
        <w:t xml:space="preserve">registrado en 2021. Destacan los procesos </w:t>
      </w:r>
      <w:r w:rsidRPr="00435576">
        <w:rPr>
          <w:rFonts w:ascii="Century Gothic" w:hAnsi="Century Gothic" w:cstheme="minorHAnsi"/>
          <w:sz w:val="19"/>
          <w:szCs w:val="19"/>
        </w:rPr>
        <w:t>Encuesta Anual de Transportes</w:t>
      </w:r>
      <w:r>
        <w:rPr>
          <w:rFonts w:ascii="Century Gothic" w:hAnsi="Century Gothic" w:cstheme="minorHAnsi"/>
          <w:sz w:val="19"/>
          <w:szCs w:val="19"/>
        </w:rPr>
        <w:t xml:space="preserve"> (EAT), </w:t>
      </w:r>
      <w:r w:rsidRPr="00435576">
        <w:rPr>
          <w:rFonts w:ascii="Century Gothic" w:hAnsi="Century Gothic" w:cstheme="minorHAnsi"/>
          <w:sz w:val="19"/>
          <w:szCs w:val="19"/>
        </w:rPr>
        <w:t>Módulo de Práctica Deportiva y Ejercicio Físico</w:t>
      </w:r>
      <w:r>
        <w:rPr>
          <w:rFonts w:ascii="Century Gothic" w:hAnsi="Century Gothic" w:cstheme="minorHAnsi"/>
          <w:sz w:val="19"/>
          <w:szCs w:val="19"/>
        </w:rPr>
        <w:t xml:space="preserve"> (MOPRADEF), </w:t>
      </w:r>
      <w:r w:rsidRPr="00435576">
        <w:rPr>
          <w:rFonts w:ascii="Century Gothic" w:hAnsi="Century Gothic" w:cstheme="minorHAnsi"/>
          <w:sz w:val="19"/>
          <w:szCs w:val="19"/>
        </w:rPr>
        <w:t xml:space="preserve">Bienestar </w:t>
      </w:r>
      <w:proofErr w:type="spellStart"/>
      <w:r w:rsidRPr="00435576">
        <w:rPr>
          <w:rFonts w:ascii="Century Gothic" w:hAnsi="Century Gothic" w:cstheme="minorHAnsi"/>
          <w:sz w:val="19"/>
          <w:szCs w:val="19"/>
        </w:rPr>
        <w:t>Autorreportado</w:t>
      </w:r>
      <w:proofErr w:type="spellEnd"/>
      <w:r>
        <w:rPr>
          <w:rFonts w:ascii="Century Gothic" w:hAnsi="Century Gothic" w:cstheme="minorHAnsi"/>
          <w:sz w:val="19"/>
          <w:szCs w:val="19"/>
        </w:rPr>
        <w:t xml:space="preserve"> (BIARE) y </w:t>
      </w:r>
      <w:r w:rsidRPr="00435576">
        <w:rPr>
          <w:rFonts w:ascii="Century Gothic" w:hAnsi="Century Gothic" w:cstheme="minorHAnsi"/>
          <w:sz w:val="19"/>
          <w:szCs w:val="19"/>
        </w:rPr>
        <w:t>Encuesta Mensual de Opinión Empresarial</w:t>
      </w:r>
      <w:r>
        <w:rPr>
          <w:rFonts w:ascii="Century Gothic" w:hAnsi="Century Gothic" w:cstheme="minorHAnsi"/>
          <w:sz w:val="19"/>
          <w:szCs w:val="19"/>
        </w:rPr>
        <w:t xml:space="preserve"> (EMOE) </w:t>
      </w:r>
      <w:r w:rsidRPr="00AC3CF7">
        <w:rPr>
          <w:rFonts w:ascii="Century Gothic" w:hAnsi="Century Gothic" w:cstheme="minorHAnsi"/>
          <w:sz w:val="19"/>
          <w:szCs w:val="19"/>
        </w:rPr>
        <w:t>como los únicos cuyas tasas de no respuesta antes de imputación promedio (ponderadas) superan a la tasa de no respuesta considerada en su diseño muestral.</w:t>
      </w:r>
    </w:p>
    <w:p w14:paraId="3636D6E9" w14:textId="4B48B7AE" w:rsidR="00361920" w:rsidRPr="009A501D" w:rsidRDefault="00361920"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Por otra parte, se mantienen elevadas las </w:t>
      </w:r>
      <w:r w:rsidRPr="009A501D">
        <w:rPr>
          <w:rFonts w:ascii="Century Gothic" w:hAnsi="Century Gothic" w:cstheme="minorHAnsi"/>
          <w:i/>
          <w:iCs/>
          <w:sz w:val="19"/>
          <w:szCs w:val="19"/>
        </w:rPr>
        <w:t>tasas de imputación</w:t>
      </w:r>
      <w:r w:rsidRPr="009A501D">
        <w:rPr>
          <w:rFonts w:ascii="Century Gothic" w:hAnsi="Century Gothic" w:cstheme="minorHAnsi"/>
          <w:sz w:val="19"/>
          <w:szCs w:val="19"/>
        </w:rPr>
        <w:t xml:space="preserve"> para los procesos de producción en unidades económicas (alza ocurrida a partir del 2020), siendo las tasas (promedio ponderadas) más altas en 2022 las correspondientes a la Encuesta Mensual de Servicios (EMS), Encuesta Anual de Transportes (EAT), Encuesta Anual de Servicios Privados no Financieros (EASPNF) y Encuesta Anual de Comercio (EAC), con un promedio de 33% para las dos primeras y 20% para las dos restantes.</w:t>
      </w:r>
    </w:p>
    <w:p w14:paraId="4D43A5C1" w14:textId="3E0AEA75" w:rsidR="00704337" w:rsidRPr="009A501D" w:rsidRDefault="005A1399" w:rsidP="00664A1D">
      <w:pPr>
        <w:spacing w:before="240"/>
        <w:jc w:val="both"/>
        <w:rPr>
          <w:rFonts w:ascii="Century Gothic" w:hAnsi="Century Gothic" w:cstheme="minorHAnsi"/>
          <w:sz w:val="19"/>
          <w:szCs w:val="19"/>
        </w:rPr>
      </w:pPr>
      <w:r w:rsidRPr="009A501D">
        <w:rPr>
          <w:rFonts w:ascii="Century Gothic" w:hAnsi="Century Gothic" w:cstheme="minorHAnsi"/>
          <w:sz w:val="19"/>
          <w:szCs w:val="19"/>
        </w:rPr>
        <w:t xml:space="preserve">Finalmente, se observa que el Módulo de Práctica Deportiva y Ejercicio Físico (MOPRADEF) y el Módulo sobre Eventos Culturales Seleccionados (MODECULT), reportan las </w:t>
      </w:r>
      <w:r w:rsidRPr="009A501D">
        <w:rPr>
          <w:rFonts w:ascii="Century Gothic" w:hAnsi="Century Gothic" w:cstheme="minorHAnsi"/>
          <w:i/>
          <w:iCs/>
          <w:sz w:val="19"/>
          <w:szCs w:val="19"/>
        </w:rPr>
        <w:t>tasas de sobrecobertura (ponderadas)</w:t>
      </w:r>
      <w:r w:rsidRPr="009A501D">
        <w:rPr>
          <w:rFonts w:ascii="Century Gothic" w:hAnsi="Century Gothic" w:cstheme="minorHAnsi"/>
          <w:sz w:val="19"/>
          <w:szCs w:val="19"/>
        </w:rPr>
        <w:t xml:space="preserve"> más elevada</w:t>
      </w:r>
      <w:r w:rsidR="00C04083" w:rsidRPr="009A501D">
        <w:rPr>
          <w:rFonts w:ascii="Century Gothic" w:hAnsi="Century Gothic" w:cstheme="minorHAnsi"/>
          <w:sz w:val="19"/>
          <w:szCs w:val="19"/>
        </w:rPr>
        <w:t>s</w:t>
      </w:r>
      <w:r w:rsidRPr="009A501D">
        <w:rPr>
          <w:rFonts w:ascii="Century Gothic" w:hAnsi="Century Gothic" w:cstheme="minorHAnsi"/>
          <w:sz w:val="19"/>
          <w:szCs w:val="19"/>
        </w:rPr>
        <w:t xml:space="preserve"> en 2022, con 9% cada una. En adición, </w:t>
      </w:r>
      <w:r w:rsidR="00B2558A" w:rsidRPr="009A501D">
        <w:rPr>
          <w:rFonts w:ascii="Century Gothic" w:hAnsi="Century Gothic" w:cstheme="minorHAnsi"/>
          <w:sz w:val="19"/>
          <w:szCs w:val="19"/>
        </w:rPr>
        <w:t>se observa</w:t>
      </w:r>
      <w:r w:rsidRPr="009A501D">
        <w:rPr>
          <w:rFonts w:ascii="Century Gothic" w:hAnsi="Century Gothic" w:cstheme="minorHAnsi"/>
          <w:sz w:val="19"/>
          <w:szCs w:val="19"/>
        </w:rPr>
        <w:t xml:space="preserve"> que, para los </w:t>
      </w:r>
      <w:r w:rsidR="00EC4113" w:rsidRPr="009A501D">
        <w:rPr>
          <w:rFonts w:ascii="Century Gothic" w:hAnsi="Century Gothic" w:cstheme="minorHAnsi"/>
          <w:sz w:val="19"/>
          <w:szCs w:val="19"/>
        </w:rPr>
        <w:t>procesos de producción</w:t>
      </w:r>
      <w:r w:rsidRPr="009A501D">
        <w:rPr>
          <w:rFonts w:ascii="Century Gothic" w:hAnsi="Century Gothic" w:cstheme="minorHAnsi"/>
          <w:sz w:val="19"/>
          <w:szCs w:val="19"/>
        </w:rPr>
        <w:t xml:space="preserve"> en unidades económicas, las </w:t>
      </w:r>
      <w:r w:rsidRPr="009A501D">
        <w:rPr>
          <w:rFonts w:ascii="Century Gothic" w:hAnsi="Century Gothic" w:cstheme="minorHAnsi"/>
          <w:i/>
          <w:iCs/>
          <w:sz w:val="19"/>
          <w:szCs w:val="19"/>
        </w:rPr>
        <w:t>tasas de sobrecobertura</w:t>
      </w:r>
      <w:r w:rsidRPr="009A501D">
        <w:rPr>
          <w:rFonts w:ascii="Century Gothic" w:hAnsi="Century Gothic" w:cstheme="minorHAnsi"/>
          <w:sz w:val="19"/>
          <w:szCs w:val="19"/>
        </w:rPr>
        <w:t xml:space="preserve"> se mantienen con un porcentaje de cero, en tanto que la Encuesta Nacional de Victimización de Empresas (ENVE), que considera unidades de observación similares, reporta una tasa distinta a este valor.</w:t>
      </w:r>
    </w:p>
    <w:sectPr w:rsidR="00704337" w:rsidRPr="009A501D" w:rsidSect="00211989">
      <w:headerReference w:type="even" r:id="rId11"/>
      <w:headerReference w:type="default" r:id="rId12"/>
      <w:footerReference w:type="even" r:id="rId13"/>
      <w:footerReference w:type="default" r:id="rId14"/>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07EA" w14:textId="77777777" w:rsidR="006E2DD6" w:rsidRDefault="006E2DD6" w:rsidP="000331FF">
      <w:pPr>
        <w:spacing w:after="0" w:line="240" w:lineRule="auto"/>
      </w:pPr>
      <w:r>
        <w:separator/>
      </w:r>
    </w:p>
  </w:endnote>
  <w:endnote w:type="continuationSeparator" w:id="0">
    <w:p w14:paraId="6D3CAF0A" w14:textId="77777777" w:rsidR="006E2DD6" w:rsidRDefault="006E2DD6" w:rsidP="000331FF">
      <w:pPr>
        <w:spacing w:after="0" w:line="240" w:lineRule="auto"/>
      </w:pPr>
      <w:r>
        <w:continuationSeparator/>
      </w:r>
    </w:p>
  </w:endnote>
  <w:endnote w:type="continuationNotice" w:id="1">
    <w:p w14:paraId="367D0C03" w14:textId="77777777" w:rsidR="006E2DD6" w:rsidRDefault="006E2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303617"/>
      <w:docPartObj>
        <w:docPartGallery w:val="Page Numbers (Bottom of Page)"/>
        <w:docPartUnique/>
      </w:docPartObj>
    </w:sdtPr>
    <w:sdtEndPr/>
    <w:sdtContent>
      <w:p w14:paraId="1B516E36" w14:textId="56BBEE6B" w:rsidR="00431D67" w:rsidRDefault="00431D67">
        <w:pPr>
          <w:pStyle w:val="Piedepgina"/>
          <w:jc w:val="right"/>
        </w:pPr>
        <w:r>
          <w:fldChar w:fldCharType="begin"/>
        </w:r>
        <w:r>
          <w:instrText>PAGE   \* MERGEFORMAT</w:instrText>
        </w:r>
        <w:r>
          <w:fldChar w:fldCharType="separate"/>
        </w:r>
        <w:r>
          <w:rPr>
            <w:lang w:val="es-ES"/>
          </w:rPr>
          <w:t>2</w:t>
        </w:r>
        <w:r>
          <w:fldChar w:fldCharType="end"/>
        </w:r>
      </w:p>
    </w:sdtContent>
  </w:sdt>
  <w:p w14:paraId="0BE9A2FA" w14:textId="77777777" w:rsidR="00431D67" w:rsidRDefault="00431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069945"/>
      <w:docPartObj>
        <w:docPartGallery w:val="Page Numbers (Bottom of Page)"/>
        <w:docPartUnique/>
      </w:docPartObj>
    </w:sdtPr>
    <w:sdtEndPr/>
    <w:sdtContent>
      <w:p w14:paraId="23385DCC" w14:textId="76AD1000" w:rsidR="00431D67" w:rsidRDefault="00431D67">
        <w:pPr>
          <w:pStyle w:val="Piedepgina"/>
          <w:jc w:val="right"/>
        </w:pPr>
        <w:r>
          <w:fldChar w:fldCharType="begin"/>
        </w:r>
        <w:r>
          <w:instrText>PAGE   \* MERGEFORMAT</w:instrText>
        </w:r>
        <w:r>
          <w:fldChar w:fldCharType="separate"/>
        </w:r>
        <w:r w:rsidRPr="0023198E">
          <w:rPr>
            <w:noProof/>
            <w:lang w:val="es-ES"/>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A858" w14:textId="77777777" w:rsidR="006E2DD6" w:rsidRDefault="006E2DD6" w:rsidP="000331FF">
      <w:pPr>
        <w:spacing w:after="0" w:line="240" w:lineRule="auto"/>
      </w:pPr>
      <w:r>
        <w:separator/>
      </w:r>
    </w:p>
  </w:footnote>
  <w:footnote w:type="continuationSeparator" w:id="0">
    <w:p w14:paraId="74F1D20A" w14:textId="77777777" w:rsidR="006E2DD6" w:rsidRDefault="006E2DD6" w:rsidP="000331FF">
      <w:pPr>
        <w:spacing w:after="0" w:line="240" w:lineRule="auto"/>
      </w:pPr>
      <w:r>
        <w:continuationSeparator/>
      </w:r>
    </w:p>
  </w:footnote>
  <w:footnote w:type="continuationNotice" w:id="1">
    <w:p w14:paraId="1A647442" w14:textId="77777777" w:rsidR="006E2DD6" w:rsidRDefault="006E2DD6">
      <w:pPr>
        <w:spacing w:after="0" w:line="240" w:lineRule="auto"/>
      </w:pPr>
    </w:p>
  </w:footnote>
  <w:footnote w:id="2">
    <w:p w14:paraId="0856E29B" w14:textId="57C67A1D" w:rsidR="00DC2952" w:rsidRPr="00DC2952" w:rsidRDefault="00DC2952">
      <w:pPr>
        <w:pStyle w:val="Textonotapie"/>
      </w:pPr>
      <w:r>
        <w:rPr>
          <w:rStyle w:val="Refdenotaalpie"/>
        </w:rPr>
        <w:footnoteRef/>
      </w:r>
      <w:r>
        <w:t xml:space="preserve"> </w:t>
      </w:r>
      <w:r w:rsidRPr="00DC2952">
        <w:rPr>
          <w:sz w:val="16"/>
          <w:szCs w:val="16"/>
        </w:rPr>
        <w:t>CAC-004/03/2017, CAC-008/04/2017, CAC-006/01/2018, CAC-007/01/2018, CAC-005/02/2018</w:t>
      </w:r>
    </w:p>
  </w:footnote>
  <w:footnote w:id="3">
    <w:p w14:paraId="35CB8F58" w14:textId="130C55C9" w:rsidR="00460EC4" w:rsidRPr="00460EC4" w:rsidRDefault="00460EC4">
      <w:pPr>
        <w:pStyle w:val="Textonotapie"/>
        <w:rPr>
          <w:rFonts w:ascii="Century Gothic" w:hAnsi="Century Gothic"/>
          <w:sz w:val="16"/>
          <w:szCs w:val="16"/>
          <w:lang w:val="es-ES"/>
        </w:rPr>
      </w:pPr>
      <w:r w:rsidRPr="00460EC4">
        <w:rPr>
          <w:rStyle w:val="Refdenotaalpie"/>
          <w:rFonts w:ascii="Century Gothic" w:hAnsi="Century Gothic"/>
          <w:sz w:val="16"/>
          <w:szCs w:val="16"/>
        </w:rPr>
        <w:footnoteRef/>
      </w:r>
      <w:r w:rsidRPr="00460EC4">
        <w:rPr>
          <w:rFonts w:ascii="Century Gothic" w:hAnsi="Century Gothic"/>
          <w:sz w:val="16"/>
          <w:szCs w:val="16"/>
        </w:rPr>
        <w:t xml:space="preserve"> </w:t>
      </w:r>
      <w:r w:rsidRPr="00460EC4">
        <w:rPr>
          <w:rFonts w:ascii="Century Gothic" w:hAnsi="Century Gothic"/>
          <w:sz w:val="16"/>
          <w:szCs w:val="16"/>
          <w:lang w:val="es-ES"/>
        </w:rPr>
        <w:t xml:space="preserve">La Encuesta de Comercio Internacional de Servicios (ECIS) </w:t>
      </w:r>
      <w:r>
        <w:rPr>
          <w:rFonts w:ascii="Century Gothic" w:hAnsi="Century Gothic"/>
          <w:sz w:val="16"/>
          <w:szCs w:val="16"/>
          <w:lang w:val="es-ES"/>
        </w:rPr>
        <w:t>es</w:t>
      </w:r>
      <w:r w:rsidRPr="00460EC4">
        <w:rPr>
          <w:rFonts w:ascii="Century Gothic" w:hAnsi="Century Gothic"/>
          <w:sz w:val="16"/>
          <w:szCs w:val="16"/>
          <w:lang w:val="es-ES"/>
        </w:rPr>
        <w:t xml:space="preserve"> </w:t>
      </w:r>
      <w:r>
        <w:rPr>
          <w:rFonts w:ascii="Century Gothic" w:hAnsi="Century Gothic"/>
          <w:sz w:val="16"/>
          <w:szCs w:val="16"/>
          <w:lang w:val="es-ES"/>
        </w:rPr>
        <w:t>un proceso de producción</w:t>
      </w:r>
      <w:r w:rsidRPr="00460EC4">
        <w:rPr>
          <w:rFonts w:ascii="Century Gothic" w:hAnsi="Century Gothic"/>
          <w:sz w:val="16"/>
          <w:szCs w:val="16"/>
          <w:lang w:val="es-ES"/>
        </w:rPr>
        <w:t xml:space="preserve"> experimental</w:t>
      </w:r>
      <w:r>
        <w:rPr>
          <w:rFonts w:ascii="Century Gothic" w:hAnsi="Century Gothic"/>
          <w:sz w:val="16"/>
          <w:szCs w:val="16"/>
          <w:lang w:val="es-ES"/>
        </w:rPr>
        <w:t>.</w:t>
      </w:r>
    </w:p>
  </w:footnote>
  <w:footnote w:id="4">
    <w:p w14:paraId="7B365BCD" w14:textId="5CA32706" w:rsidR="00460EC4" w:rsidRPr="00460EC4" w:rsidRDefault="00460EC4">
      <w:pPr>
        <w:pStyle w:val="Textonotapie"/>
        <w:rPr>
          <w:sz w:val="16"/>
          <w:szCs w:val="16"/>
          <w:lang w:val="es-ES"/>
        </w:rPr>
      </w:pPr>
      <w:r>
        <w:rPr>
          <w:rStyle w:val="Refdenotaalpie"/>
        </w:rPr>
        <w:footnoteRef/>
      </w:r>
      <w:r>
        <w:t xml:space="preserve"> </w:t>
      </w:r>
      <w:r w:rsidRPr="00460EC4">
        <w:rPr>
          <w:rFonts w:ascii="Century Gothic" w:hAnsi="Century Gothic"/>
          <w:sz w:val="16"/>
          <w:szCs w:val="16"/>
        </w:rPr>
        <w:t>La Encuesta de Comercio Internacional de Servicios (ECIS) es un proceso de producción experimental.</w:t>
      </w:r>
    </w:p>
  </w:footnote>
  <w:footnote w:id="5">
    <w:p w14:paraId="7C5B704A" w14:textId="0FC0057E" w:rsidR="00431D67" w:rsidRPr="00603234" w:rsidRDefault="00431D67" w:rsidP="00C63C38">
      <w:pPr>
        <w:pStyle w:val="Textonotapie"/>
        <w:jc w:val="both"/>
        <w:rPr>
          <w:rFonts w:ascii="Century Gothic" w:hAnsi="Century Gothic"/>
          <w:sz w:val="16"/>
          <w:szCs w:val="16"/>
        </w:rPr>
      </w:pPr>
      <w:r w:rsidRPr="00603234">
        <w:rPr>
          <w:rStyle w:val="Refdenotaalpie"/>
          <w:rFonts w:ascii="Century Gothic" w:hAnsi="Century Gothic"/>
          <w:sz w:val="16"/>
          <w:szCs w:val="16"/>
        </w:rPr>
        <w:footnoteRef/>
      </w:r>
      <w:r w:rsidRPr="00603234">
        <w:rPr>
          <w:rFonts w:ascii="Century Gothic" w:hAnsi="Century Gothic"/>
          <w:sz w:val="16"/>
          <w:szCs w:val="16"/>
        </w:rPr>
        <w:t xml:space="preserve"> </w:t>
      </w:r>
      <w:r>
        <w:rPr>
          <w:rFonts w:ascii="Century Gothic" w:hAnsi="Century Gothic" w:cstheme="minorHAnsi"/>
          <w:sz w:val="16"/>
          <w:szCs w:val="16"/>
        </w:rPr>
        <w:t>Se</w:t>
      </w:r>
      <w:r w:rsidRPr="00603234">
        <w:rPr>
          <w:rFonts w:ascii="Century Gothic" w:hAnsi="Century Gothic" w:cstheme="minorHAnsi"/>
          <w:sz w:val="16"/>
          <w:szCs w:val="16"/>
        </w:rPr>
        <w:t xml:space="preserve"> considera que un indicador fue reportado “En Tiempo” cuando se entregó en la fecha de publicación del proceso o dentro del plazo de 30 días naturales posteriores a la publicación aprobado por el Comité como periodo de gracia; por otro lado, se considera que un indicador fue reportado con “Retraso” cuando se entregó posterior a los 30 días del periodo de gracia</w:t>
      </w:r>
      <w:r>
        <w:rPr>
          <w:rFonts w:ascii="Century Gothic" w:hAnsi="Century Gothic"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99B4" w14:textId="7FCC4F05" w:rsidR="00431D67" w:rsidRDefault="00431D67">
    <w:pPr>
      <w:pStyle w:val="Encabezado"/>
    </w:pPr>
    <w:r w:rsidRPr="00AC3CF7">
      <w:rPr>
        <w:rFonts w:ascii="Century Gothic" w:hAnsi="Century Gothic"/>
        <w:noProof/>
        <w:lang w:eastAsia="es-MX"/>
      </w:rPr>
      <w:drawing>
        <wp:inline distT="0" distB="0" distL="0" distR="0" wp14:anchorId="5C007497" wp14:editId="11D6CD71">
          <wp:extent cx="1108659" cy="374650"/>
          <wp:effectExtent l="0" t="0" r="0" b="6350"/>
          <wp:docPr id="17" name="Imagen 1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7540" cy="384410"/>
                  </a:xfrm>
                  <a:prstGeom prst="rect">
                    <a:avLst/>
                  </a:prstGeom>
                </pic:spPr>
              </pic:pic>
            </a:graphicData>
          </a:graphic>
        </wp:inline>
      </w:drawing>
    </w:r>
  </w:p>
  <w:p w14:paraId="075A377E" w14:textId="77777777" w:rsidR="00431D67" w:rsidRDefault="00431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82F" w14:textId="6FBA2BBA" w:rsidR="00431D67" w:rsidRDefault="00431D67" w:rsidP="00555CB3">
    <w:pPr>
      <w:pStyle w:val="Encabezado"/>
      <w:rPr>
        <w:rFonts w:ascii="Century Gothic" w:hAnsi="Century Gothic"/>
        <w:b/>
        <w:bCs/>
        <w:color w:val="002060"/>
      </w:rPr>
    </w:pPr>
    <w:r>
      <w:rPr>
        <w:rFonts w:ascii="Century Gothic" w:hAnsi="Century Gothic"/>
        <w:b/>
        <w:bCs/>
        <w:color w:val="002060"/>
      </w:rPr>
      <w:t xml:space="preserve">Informe de resultados, 2022 </w:t>
    </w:r>
    <w:r>
      <w:rPr>
        <w:rFonts w:ascii="Century Gothic" w:hAnsi="Century Gothic"/>
        <w:noProof/>
        <w:lang w:eastAsia="es-MX"/>
      </w:rPr>
      <w:t xml:space="preserve">                                                                                              </w:t>
    </w:r>
  </w:p>
  <w:p w14:paraId="2355CA42" w14:textId="77777777" w:rsidR="00431D67" w:rsidRPr="0041737A" w:rsidRDefault="00431D67">
    <w:pPr>
      <w:pStyle w:val="Encabezado"/>
      <w:rPr>
        <w:rFonts w:ascii="Century Gothic" w:hAnsi="Century Gothic"/>
        <w:b/>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39"/>
    <w:multiLevelType w:val="hybridMultilevel"/>
    <w:tmpl w:val="F25A2574"/>
    <w:lvl w:ilvl="0" w:tplc="4CDC2888">
      <w:start w:val="1"/>
      <w:numFmt w:val="bullet"/>
      <w:lvlText w:val="•"/>
      <w:lvlJc w:val="left"/>
      <w:pPr>
        <w:tabs>
          <w:tab w:val="num" w:pos="720"/>
        </w:tabs>
        <w:ind w:left="720" w:hanging="360"/>
      </w:pPr>
      <w:rPr>
        <w:rFonts w:ascii="Arial" w:hAnsi="Arial" w:hint="default"/>
      </w:rPr>
    </w:lvl>
    <w:lvl w:ilvl="1" w:tplc="58D6A616" w:tentative="1">
      <w:start w:val="1"/>
      <w:numFmt w:val="bullet"/>
      <w:lvlText w:val="•"/>
      <w:lvlJc w:val="left"/>
      <w:pPr>
        <w:tabs>
          <w:tab w:val="num" w:pos="1440"/>
        </w:tabs>
        <w:ind w:left="1440" w:hanging="360"/>
      </w:pPr>
      <w:rPr>
        <w:rFonts w:ascii="Arial" w:hAnsi="Arial" w:hint="default"/>
      </w:rPr>
    </w:lvl>
    <w:lvl w:ilvl="2" w:tplc="4008FED8" w:tentative="1">
      <w:start w:val="1"/>
      <w:numFmt w:val="bullet"/>
      <w:lvlText w:val="•"/>
      <w:lvlJc w:val="left"/>
      <w:pPr>
        <w:tabs>
          <w:tab w:val="num" w:pos="2160"/>
        </w:tabs>
        <w:ind w:left="2160" w:hanging="360"/>
      </w:pPr>
      <w:rPr>
        <w:rFonts w:ascii="Arial" w:hAnsi="Arial" w:hint="default"/>
      </w:rPr>
    </w:lvl>
    <w:lvl w:ilvl="3" w:tplc="6A1AD6F6" w:tentative="1">
      <w:start w:val="1"/>
      <w:numFmt w:val="bullet"/>
      <w:lvlText w:val="•"/>
      <w:lvlJc w:val="left"/>
      <w:pPr>
        <w:tabs>
          <w:tab w:val="num" w:pos="2880"/>
        </w:tabs>
        <w:ind w:left="2880" w:hanging="360"/>
      </w:pPr>
      <w:rPr>
        <w:rFonts w:ascii="Arial" w:hAnsi="Arial" w:hint="default"/>
      </w:rPr>
    </w:lvl>
    <w:lvl w:ilvl="4" w:tplc="37EEFF7C" w:tentative="1">
      <w:start w:val="1"/>
      <w:numFmt w:val="bullet"/>
      <w:lvlText w:val="•"/>
      <w:lvlJc w:val="left"/>
      <w:pPr>
        <w:tabs>
          <w:tab w:val="num" w:pos="3600"/>
        </w:tabs>
        <w:ind w:left="3600" w:hanging="360"/>
      </w:pPr>
      <w:rPr>
        <w:rFonts w:ascii="Arial" w:hAnsi="Arial" w:hint="default"/>
      </w:rPr>
    </w:lvl>
    <w:lvl w:ilvl="5" w:tplc="E15AB470" w:tentative="1">
      <w:start w:val="1"/>
      <w:numFmt w:val="bullet"/>
      <w:lvlText w:val="•"/>
      <w:lvlJc w:val="left"/>
      <w:pPr>
        <w:tabs>
          <w:tab w:val="num" w:pos="4320"/>
        </w:tabs>
        <w:ind w:left="4320" w:hanging="360"/>
      </w:pPr>
      <w:rPr>
        <w:rFonts w:ascii="Arial" w:hAnsi="Arial" w:hint="default"/>
      </w:rPr>
    </w:lvl>
    <w:lvl w:ilvl="6" w:tplc="BC56D8B4" w:tentative="1">
      <w:start w:val="1"/>
      <w:numFmt w:val="bullet"/>
      <w:lvlText w:val="•"/>
      <w:lvlJc w:val="left"/>
      <w:pPr>
        <w:tabs>
          <w:tab w:val="num" w:pos="5040"/>
        </w:tabs>
        <w:ind w:left="5040" w:hanging="360"/>
      </w:pPr>
      <w:rPr>
        <w:rFonts w:ascii="Arial" w:hAnsi="Arial" w:hint="default"/>
      </w:rPr>
    </w:lvl>
    <w:lvl w:ilvl="7" w:tplc="26CCAF50" w:tentative="1">
      <w:start w:val="1"/>
      <w:numFmt w:val="bullet"/>
      <w:lvlText w:val="•"/>
      <w:lvlJc w:val="left"/>
      <w:pPr>
        <w:tabs>
          <w:tab w:val="num" w:pos="5760"/>
        </w:tabs>
        <w:ind w:left="5760" w:hanging="360"/>
      </w:pPr>
      <w:rPr>
        <w:rFonts w:ascii="Arial" w:hAnsi="Arial" w:hint="default"/>
      </w:rPr>
    </w:lvl>
    <w:lvl w:ilvl="8" w:tplc="FC3AC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42759"/>
    <w:multiLevelType w:val="hybridMultilevel"/>
    <w:tmpl w:val="99D61C0A"/>
    <w:lvl w:ilvl="0" w:tplc="3B9A0D9C">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F231E"/>
    <w:multiLevelType w:val="hybridMultilevel"/>
    <w:tmpl w:val="CB38DE6A"/>
    <w:lvl w:ilvl="0" w:tplc="66343AFA">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5371B"/>
    <w:multiLevelType w:val="hybridMultilevel"/>
    <w:tmpl w:val="2E248F14"/>
    <w:lvl w:ilvl="0" w:tplc="2FF2E75A">
      <w:numFmt w:val="bullet"/>
      <w:lvlText w:val="•"/>
      <w:lvlJc w:val="left"/>
      <w:pPr>
        <w:ind w:left="1130" w:hanging="77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634"/>
    <w:multiLevelType w:val="hybridMultilevel"/>
    <w:tmpl w:val="2CEA7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247"/>
    <w:multiLevelType w:val="hybridMultilevel"/>
    <w:tmpl w:val="37CAC3F8"/>
    <w:lvl w:ilvl="0" w:tplc="869A63D4">
      <w:start w:val="1"/>
      <w:numFmt w:val="bullet"/>
      <w:lvlText w:val="•"/>
      <w:lvlJc w:val="left"/>
      <w:pPr>
        <w:tabs>
          <w:tab w:val="num" w:pos="720"/>
        </w:tabs>
        <w:ind w:left="720" w:hanging="360"/>
      </w:pPr>
      <w:rPr>
        <w:rFonts w:ascii="Arial" w:hAnsi="Arial" w:hint="default"/>
      </w:rPr>
    </w:lvl>
    <w:lvl w:ilvl="1" w:tplc="2F3EEC54" w:tentative="1">
      <w:start w:val="1"/>
      <w:numFmt w:val="bullet"/>
      <w:lvlText w:val="•"/>
      <w:lvlJc w:val="left"/>
      <w:pPr>
        <w:tabs>
          <w:tab w:val="num" w:pos="1440"/>
        </w:tabs>
        <w:ind w:left="1440" w:hanging="360"/>
      </w:pPr>
      <w:rPr>
        <w:rFonts w:ascii="Arial" w:hAnsi="Arial" w:hint="default"/>
      </w:rPr>
    </w:lvl>
    <w:lvl w:ilvl="2" w:tplc="1316B96A" w:tentative="1">
      <w:start w:val="1"/>
      <w:numFmt w:val="bullet"/>
      <w:lvlText w:val="•"/>
      <w:lvlJc w:val="left"/>
      <w:pPr>
        <w:tabs>
          <w:tab w:val="num" w:pos="2160"/>
        </w:tabs>
        <w:ind w:left="2160" w:hanging="360"/>
      </w:pPr>
      <w:rPr>
        <w:rFonts w:ascii="Arial" w:hAnsi="Arial" w:hint="default"/>
      </w:rPr>
    </w:lvl>
    <w:lvl w:ilvl="3" w:tplc="B8483890" w:tentative="1">
      <w:start w:val="1"/>
      <w:numFmt w:val="bullet"/>
      <w:lvlText w:val="•"/>
      <w:lvlJc w:val="left"/>
      <w:pPr>
        <w:tabs>
          <w:tab w:val="num" w:pos="2880"/>
        </w:tabs>
        <w:ind w:left="2880" w:hanging="360"/>
      </w:pPr>
      <w:rPr>
        <w:rFonts w:ascii="Arial" w:hAnsi="Arial" w:hint="default"/>
      </w:rPr>
    </w:lvl>
    <w:lvl w:ilvl="4" w:tplc="3BD6D91A" w:tentative="1">
      <w:start w:val="1"/>
      <w:numFmt w:val="bullet"/>
      <w:lvlText w:val="•"/>
      <w:lvlJc w:val="left"/>
      <w:pPr>
        <w:tabs>
          <w:tab w:val="num" w:pos="3600"/>
        </w:tabs>
        <w:ind w:left="3600" w:hanging="360"/>
      </w:pPr>
      <w:rPr>
        <w:rFonts w:ascii="Arial" w:hAnsi="Arial" w:hint="default"/>
      </w:rPr>
    </w:lvl>
    <w:lvl w:ilvl="5" w:tplc="7CCE9190" w:tentative="1">
      <w:start w:val="1"/>
      <w:numFmt w:val="bullet"/>
      <w:lvlText w:val="•"/>
      <w:lvlJc w:val="left"/>
      <w:pPr>
        <w:tabs>
          <w:tab w:val="num" w:pos="4320"/>
        </w:tabs>
        <w:ind w:left="4320" w:hanging="360"/>
      </w:pPr>
      <w:rPr>
        <w:rFonts w:ascii="Arial" w:hAnsi="Arial" w:hint="default"/>
      </w:rPr>
    </w:lvl>
    <w:lvl w:ilvl="6" w:tplc="E3A6EBBA" w:tentative="1">
      <w:start w:val="1"/>
      <w:numFmt w:val="bullet"/>
      <w:lvlText w:val="•"/>
      <w:lvlJc w:val="left"/>
      <w:pPr>
        <w:tabs>
          <w:tab w:val="num" w:pos="5040"/>
        </w:tabs>
        <w:ind w:left="5040" w:hanging="360"/>
      </w:pPr>
      <w:rPr>
        <w:rFonts w:ascii="Arial" w:hAnsi="Arial" w:hint="default"/>
      </w:rPr>
    </w:lvl>
    <w:lvl w:ilvl="7" w:tplc="CEF4076E" w:tentative="1">
      <w:start w:val="1"/>
      <w:numFmt w:val="bullet"/>
      <w:lvlText w:val="•"/>
      <w:lvlJc w:val="left"/>
      <w:pPr>
        <w:tabs>
          <w:tab w:val="num" w:pos="5760"/>
        </w:tabs>
        <w:ind w:left="5760" w:hanging="360"/>
      </w:pPr>
      <w:rPr>
        <w:rFonts w:ascii="Arial" w:hAnsi="Arial" w:hint="default"/>
      </w:rPr>
    </w:lvl>
    <w:lvl w:ilvl="8" w:tplc="7F22A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966A3"/>
    <w:multiLevelType w:val="hybridMultilevel"/>
    <w:tmpl w:val="9D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97290"/>
    <w:multiLevelType w:val="hybridMultilevel"/>
    <w:tmpl w:val="A6DE2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E60C0"/>
    <w:multiLevelType w:val="hybridMultilevel"/>
    <w:tmpl w:val="DF20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81812"/>
    <w:multiLevelType w:val="hybridMultilevel"/>
    <w:tmpl w:val="B01A7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C742C"/>
    <w:multiLevelType w:val="hybridMultilevel"/>
    <w:tmpl w:val="3E76920A"/>
    <w:lvl w:ilvl="0" w:tplc="BE1A71E6">
      <w:start w:val="2"/>
      <w:numFmt w:val="upp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314D4B"/>
    <w:multiLevelType w:val="hybridMultilevel"/>
    <w:tmpl w:val="FEFA6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82D54"/>
    <w:multiLevelType w:val="hybridMultilevel"/>
    <w:tmpl w:val="8062A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F0199"/>
    <w:multiLevelType w:val="hybridMultilevel"/>
    <w:tmpl w:val="F298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E1E74"/>
    <w:multiLevelType w:val="hybridMultilevel"/>
    <w:tmpl w:val="DD361076"/>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2580F"/>
    <w:multiLevelType w:val="hybridMultilevel"/>
    <w:tmpl w:val="03927B4E"/>
    <w:lvl w:ilvl="0" w:tplc="E82EDD3A">
      <w:start w:val="1"/>
      <w:numFmt w:val="bullet"/>
      <w:lvlText w:val="•"/>
      <w:lvlJc w:val="left"/>
      <w:pPr>
        <w:tabs>
          <w:tab w:val="num" w:pos="720"/>
        </w:tabs>
        <w:ind w:left="720" w:hanging="360"/>
      </w:pPr>
      <w:rPr>
        <w:rFonts w:ascii="Times New Roman" w:hAnsi="Times New Roman" w:hint="default"/>
      </w:rPr>
    </w:lvl>
    <w:lvl w:ilvl="1" w:tplc="814CC6AA" w:tentative="1">
      <w:start w:val="1"/>
      <w:numFmt w:val="bullet"/>
      <w:lvlText w:val="•"/>
      <w:lvlJc w:val="left"/>
      <w:pPr>
        <w:tabs>
          <w:tab w:val="num" w:pos="1440"/>
        </w:tabs>
        <w:ind w:left="1440" w:hanging="360"/>
      </w:pPr>
      <w:rPr>
        <w:rFonts w:ascii="Times New Roman" w:hAnsi="Times New Roman" w:hint="default"/>
      </w:rPr>
    </w:lvl>
    <w:lvl w:ilvl="2" w:tplc="F0A46632" w:tentative="1">
      <w:start w:val="1"/>
      <w:numFmt w:val="bullet"/>
      <w:lvlText w:val="•"/>
      <w:lvlJc w:val="left"/>
      <w:pPr>
        <w:tabs>
          <w:tab w:val="num" w:pos="2160"/>
        </w:tabs>
        <w:ind w:left="2160" w:hanging="360"/>
      </w:pPr>
      <w:rPr>
        <w:rFonts w:ascii="Times New Roman" w:hAnsi="Times New Roman" w:hint="default"/>
      </w:rPr>
    </w:lvl>
    <w:lvl w:ilvl="3" w:tplc="F4260BB6" w:tentative="1">
      <w:start w:val="1"/>
      <w:numFmt w:val="bullet"/>
      <w:lvlText w:val="•"/>
      <w:lvlJc w:val="left"/>
      <w:pPr>
        <w:tabs>
          <w:tab w:val="num" w:pos="2880"/>
        </w:tabs>
        <w:ind w:left="2880" w:hanging="360"/>
      </w:pPr>
      <w:rPr>
        <w:rFonts w:ascii="Times New Roman" w:hAnsi="Times New Roman" w:hint="default"/>
      </w:rPr>
    </w:lvl>
    <w:lvl w:ilvl="4" w:tplc="C88427D4" w:tentative="1">
      <w:start w:val="1"/>
      <w:numFmt w:val="bullet"/>
      <w:lvlText w:val="•"/>
      <w:lvlJc w:val="left"/>
      <w:pPr>
        <w:tabs>
          <w:tab w:val="num" w:pos="3600"/>
        </w:tabs>
        <w:ind w:left="3600" w:hanging="360"/>
      </w:pPr>
      <w:rPr>
        <w:rFonts w:ascii="Times New Roman" w:hAnsi="Times New Roman" w:hint="default"/>
      </w:rPr>
    </w:lvl>
    <w:lvl w:ilvl="5" w:tplc="35242096" w:tentative="1">
      <w:start w:val="1"/>
      <w:numFmt w:val="bullet"/>
      <w:lvlText w:val="•"/>
      <w:lvlJc w:val="left"/>
      <w:pPr>
        <w:tabs>
          <w:tab w:val="num" w:pos="4320"/>
        </w:tabs>
        <w:ind w:left="4320" w:hanging="360"/>
      </w:pPr>
      <w:rPr>
        <w:rFonts w:ascii="Times New Roman" w:hAnsi="Times New Roman" w:hint="default"/>
      </w:rPr>
    </w:lvl>
    <w:lvl w:ilvl="6" w:tplc="629EDEB8" w:tentative="1">
      <w:start w:val="1"/>
      <w:numFmt w:val="bullet"/>
      <w:lvlText w:val="•"/>
      <w:lvlJc w:val="left"/>
      <w:pPr>
        <w:tabs>
          <w:tab w:val="num" w:pos="5040"/>
        </w:tabs>
        <w:ind w:left="5040" w:hanging="360"/>
      </w:pPr>
      <w:rPr>
        <w:rFonts w:ascii="Times New Roman" w:hAnsi="Times New Roman" w:hint="default"/>
      </w:rPr>
    </w:lvl>
    <w:lvl w:ilvl="7" w:tplc="E634F05C" w:tentative="1">
      <w:start w:val="1"/>
      <w:numFmt w:val="bullet"/>
      <w:lvlText w:val="•"/>
      <w:lvlJc w:val="left"/>
      <w:pPr>
        <w:tabs>
          <w:tab w:val="num" w:pos="5760"/>
        </w:tabs>
        <w:ind w:left="5760" w:hanging="360"/>
      </w:pPr>
      <w:rPr>
        <w:rFonts w:ascii="Times New Roman" w:hAnsi="Times New Roman" w:hint="default"/>
      </w:rPr>
    </w:lvl>
    <w:lvl w:ilvl="8" w:tplc="BDC4B7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97B7B"/>
    <w:multiLevelType w:val="hybridMultilevel"/>
    <w:tmpl w:val="94A86038"/>
    <w:lvl w:ilvl="0" w:tplc="080A0015">
      <w:start w:val="1"/>
      <w:numFmt w:val="upperLetter"/>
      <w:lvlText w:val="%1."/>
      <w:lvlJc w:val="left"/>
      <w:pPr>
        <w:ind w:left="360" w:hanging="360"/>
      </w:pPr>
    </w:lvl>
    <w:lvl w:ilvl="1" w:tplc="522E3CC2">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7722F0C"/>
    <w:multiLevelType w:val="hybridMultilevel"/>
    <w:tmpl w:val="E6669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CB450DF"/>
    <w:multiLevelType w:val="hybridMultilevel"/>
    <w:tmpl w:val="59966140"/>
    <w:lvl w:ilvl="0" w:tplc="F1586644">
      <w:start w:val="1"/>
      <w:numFmt w:val="upperLetter"/>
      <w:lvlText w:val="%1."/>
      <w:lvlJc w:val="left"/>
      <w:pPr>
        <w:ind w:left="360" w:hanging="360"/>
      </w:pPr>
      <w:rPr>
        <w:rFonts w:hint="default"/>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43EEE"/>
    <w:multiLevelType w:val="hybridMultilevel"/>
    <w:tmpl w:val="15ACC9EA"/>
    <w:lvl w:ilvl="0" w:tplc="FFFFFFFF">
      <w:start w:val="1"/>
      <w:numFmt w:val="upperLetter"/>
      <w:lvlText w:val="%1."/>
      <w:lvlJc w:val="left"/>
      <w:pPr>
        <w:ind w:left="360" w:hanging="360"/>
      </w:p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1C3B74"/>
    <w:multiLevelType w:val="hybridMultilevel"/>
    <w:tmpl w:val="40F8FF8E"/>
    <w:lvl w:ilvl="0" w:tplc="8F6A3B6A">
      <w:start w:val="1"/>
      <w:numFmt w:val="bullet"/>
      <w:lvlText w:val="•"/>
      <w:lvlJc w:val="left"/>
      <w:pPr>
        <w:tabs>
          <w:tab w:val="num" w:pos="720"/>
        </w:tabs>
        <w:ind w:left="720" w:hanging="360"/>
      </w:pPr>
      <w:rPr>
        <w:rFonts w:ascii="Arial" w:hAnsi="Arial" w:hint="default"/>
      </w:rPr>
    </w:lvl>
    <w:lvl w:ilvl="1" w:tplc="B80A0CEE" w:tentative="1">
      <w:start w:val="1"/>
      <w:numFmt w:val="bullet"/>
      <w:lvlText w:val="•"/>
      <w:lvlJc w:val="left"/>
      <w:pPr>
        <w:tabs>
          <w:tab w:val="num" w:pos="1440"/>
        </w:tabs>
        <w:ind w:left="1440" w:hanging="360"/>
      </w:pPr>
      <w:rPr>
        <w:rFonts w:ascii="Arial" w:hAnsi="Arial" w:hint="default"/>
      </w:rPr>
    </w:lvl>
    <w:lvl w:ilvl="2" w:tplc="5DAAD406" w:tentative="1">
      <w:start w:val="1"/>
      <w:numFmt w:val="bullet"/>
      <w:lvlText w:val="•"/>
      <w:lvlJc w:val="left"/>
      <w:pPr>
        <w:tabs>
          <w:tab w:val="num" w:pos="2160"/>
        </w:tabs>
        <w:ind w:left="2160" w:hanging="360"/>
      </w:pPr>
      <w:rPr>
        <w:rFonts w:ascii="Arial" w:hAnsi="Arial" w:hint="default"/>
      </w:rPr>
    </w:lvl>
    <w:lvl w:ilvl="3" w:tplc="8B4AF76C" w:tentative="1">
      <w:start w:val="1"/>
      <w:numFmt w:val="bullet"/>
      <w:lvlText w:val="•"/>
      <w:lvlJc w:val="left"/>
      <w:pPr>
        <w:tabs>
          <w:tab w:val="num" w:pos="2880"/>
        </w:tabs>
        <w:ind w:left="2880" w:hanging="360"/>
      </w:pPr>
      <w:rPr>
        <w:rFonts w:ascii="Arial" w:hAnsi="Arial" w:hint="default"/>
      </w:rPr>
    </w:lvl>
    <w:lvl w:ilvl="4" w:tplc="844820CC" w:tentative="1">
      <w:start w:val="1"/>
      <w:numFmt w:val="bullet"/>
      <w:lvlText w:val="•"/>
      <w:lvlJc w:val="left"/>
      <w:pPr>
        <w:tabs>
          <w:tab w:val="num" w:pos="3600"/>
        </w:tabs>
        <w:ind w:left="3600" w:hanging="360"/>
      </w:pPr>
      <w:rPr>
        <w:rFonts w:ascii="Arial" w:hAnsi="Arial" w:hint="default"/>
      </w:rPr>
    </w:lvl>
    <w:lvl w:ilvl="5" w:tplc="815C0E38" w:tentative="1">
      <w:start w:val="1"/>
      <w:numFmt w:val="bullet"/>
      <w:lvlText w:val="•"/>
      <w:lvlJc w:val="left"/>
      <w:pPr>
        <w:tabs>
          <w:tab w:val="num" w:pos="4320"/>
        </w:tabs>
        <w:ind w:left="4320" w:hanging="360"/>
      </w:pPr>
      <w:rPr>
        <w:rFonts w:ascii="Arial" w:hAnsi="Arial" w:hint="default"/>
      </w:rPr>
    </w:lvl>
    <w:lvl w:ilvl="6" w:tplc="E19CD63C" w:tentative="1">
      <w:start w:val="1"/>
      <w:numFmt w:val="bullet"/>
      <w:lvlText w:val="•"/>
      <w:lvlJc w:val="left"/>
      <w:pPr>
        <w:tabs>
          <w:tab w:val="num" w:pos="5040"/>
        </w:tabs>
        <w:ind w:left="5040" w:hanging="360"/>
      </w:pPr>
      <w:rPr>
        <w:rFonts w:ascii="Arial" w:hAnsi="Arial" w:hint="default"/>
      </w:rPr>
    </w:lvl>
    <w:lvl w:ilvl="7" w:tplc="3438B618" w:tentative="1">
      <w:start w:val="1"/>
      <w:numFmt w:val="bullet"/>
      <w:lvlText w:val="•"/>
      <w:lvlJc w:val="left"/>
      <w:pPr>
        <w:tabs>
          <w:tab w:val="num" w:pos="5760"/>
        </w:tabs>
        <w:ind w:left="5760" w:hanging="360"/>
      </w:pPr>
      <w:rPr>
        <w:rFonts w:ascii="Arial" w:hAnsi="Arial" w:hint="default"/>
      </w:rPr>
    </w:lvl>
    <w:lvl w:ilvl="8" w:tplc="30DE29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B2524"/>
    <w:multiLevelType w:val="hybridMultilevel"/>
    <w:tmpl w:val="92E62B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4A2145"/>
    <w:multiLevelType w:val="hybridMultilevel"/>
    <w:tmpl w:val="2D100988"/>
    <w:lvl w:ilvl="0" w:tplc="7804C5A8">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61ED7"/>
    <w:multiLevelType w:val="hybridMultilevel"/>
    <w:tmpl w:val="3E8878B6"/>
    <w:lvl w:ilvl="0" w:tplc="3D86A26A">
      <w:start w:val="1"/>
      <w:numFmt w:val="decimal"/>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5F574F83"/>
    <w:multiLevelType w:val="hybridMultilevel"/>
    <w:tmpl w:val="3F588D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2B632E3"/>
    <w:multiLevelType w:val="hybridMultilevel"/>
    <w:tmpl w:val="CA689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D55AA9"/>
    <w:multiLevelType w:val="hybridMultilevel"/>
    <w:tmpl w:val="84B0D108"/>
    <w:lvl w:ilvl="0" w:tplc="D51E6DCE">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A6DE6"/>
    <w:multiLevelType w:val="hybridMultilevel"/>
    <w:tmpl w:val="AAA62E40"/>
    <w:lvl w:ilvl="0" w:tplc="D40EA490">
      <w:start w:val="1"/>
      <w:numFmt w:val="bullet"/>
      <w:lvlText w:val="•"/>
      <w:lvlJc w:val="left"/>
      <w:pPr>
        <w:tabs>
          <w:tab w:val="num" w:pos="720"/>
        </w:tabs>
        <w:ind w:left="720" w:hanging="360"/>
      </w:pPr>
      <w:rPr>
        <w:rFonts w:ascii="Times New Roman" w:hAnsi="Times New Roman" w:hint="default"/>
      </w:rPr>
    </w:lvl>
    <w:lvl w:ilvl="1" w:tplc="C7F0ED06" w:tentative="1">
      <w:start w:val="1"/>
      <w:numFmt w:val="bullet"/>
      <w:lvlText w:val="•"/>
      <w:lvlJc w:val="left"/>
      <w:pPr>
        <w:tabs>
          <w:tab w:val="num" w:pos="1440"/>
        </w:tabs>
        <w:ind w:left="1440" w:hanging="360"/>
      </w:pPr>
      <w:rPr>
        <w:rFonts w:ascii="Times New Roman" w:hAnsi="Times New Roman" w:hint="default"/>
      </w:rPr>
    </w:lvl>
    <w:lvl w:ilvl="2" w:tplc="C2AAA564" w:tentative="1">
      <w:start w:val="1"/>
      <w:numFmt w:val="bullet"/>
      <w:lvlText w:val="•"/>
      <w:lvlJc w:val="left"/>
      <w:pPr>
        <w:tabs>
          <w:tab w:val="num" w:pos="2160"/>
        </w:tabs>
        <w:ind w:left="2160" w:hanging="360"/>
      </w:pPr>
      <w:rPr>
        <w:rFonts w:ascii="Times New Roman" w:hAnsi="Times New Roman" w:hint="default"/>
      </w:rPr>
    </w:lvl>
    <w:lvl w:ilvl="3" w:tplc="79867868" w:tentative="1">
      <w:start w:val="1"/>
      <w:numFmt w:val="bullet"/>
      <w:lvlText w:val="•"/>
      <w:lvlJc w:val="left"/>
      <w:pPr>
        <w:tabs>
          <w:tab w:val="num" w:pos="2880"/>
        </w:tabs>
        <w:ind w:left="2880" w:hanging="360"/>
      </w:pPr>
      <w:rPr>
        <w:rFonts w:ascii="Times New Roman" w:hAnsi="Times New Roman" w:hint="default"/>
      </w:rPr>
    </w:lvl>
    <w:lvl w:ilvl="4" w:tplc="B04260D0" w:tentative="1">
      <w:start w:val="1"/>
      <w:numFmt w:val="bullet"/>
      <w:lvlText w:val="•"/>
      <w:lvlJc w:val="left"/>
      <w:pPr>
        <w:tabs>
          <w:tab w:val="num" w:pos="3600"/>
        </w:tabs>
        <w:ind w:left="3600" w:hanging="360"/>
      </w:pPr>
      <w:rPr>
        <w:rFonts w:ascii="Times New Roman" w:hAnsi="Times New Roman" w:hint="default"/>
      </w:rPr>
    </w:lvl>
    <w:lvl w:ilvl="5" w:tplc="9E36292A" w:tentative="1">
      <w:start w:val="1"/>
      <w:numFmt w:val="bullet"/>
      <w:lvlText w:val="•"/>
      <w:lvlJc w:val="left"/>
      <w:pPr>
        <w:tabs>
          <w:tab w:val="num" w:pos="4320"/>
        </w:tabs>
        <w:ind w:left="4320" w:hanging="360"/>
      </w:pPr>
      <w:rPr>
        <w:rFonts w:ascii="Times New Roman" w:hAnsi="Times New Roman" w:hint="default"/>
      </w:rPr>
    </w:lvl>
    <w:lvl w:ilvl="6" w:tplc="894A46E0" w:tentative="1">
      <w:start w:val="1"/>
      <w:numFmt w:val="bullet"/>
      <w:lvlText w:val="•"/>
      <w:lvlJc w:val="left"/>
      <w:pPr>
        <w:tabs>
          <w:tab w:val="num" w:pos="5040"/>
        </w:tabs>
        <w:ind w:left="5040" w:hanging="360"/>
      </w:pPr>
      <w:rPr>
        <w:rFonts w:ascii="Times New Roman" w:hAnsi="Times New Roman" w:hint="default"/>
      </w:rPr>
    </w:lvl>
    <w:lvl w:ilvl="7" w:tplc="787212EE" w:tentative="1">
      <w:start w:val="1"/>
      <w:numFmt w:val="bullet"/>
      <w:lvlText w:val="•"/>
      <w:lvlJc w:val="left"/>
      <w:pPr>
        <w:tabs>
          <w:tab w:val="num" w:pos="5760"/>
        </w:tabs>
        <w:ind w:left="5760" w:hanging="360"/>
      </w:pPr>
      <w:rPr>
        <w:rFonts w:ascii="Times New Roman" w:hAnsi="Times New Roman" w:hint="default"/>
      </w:rPr>
    </w:lvl>
    <w:lvl w:ilvl="8" w:tplc="8C4492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702977"/>
    <w:multiLevelType w:val="hybridMultilevel"/>
    <w:tmpl w:val="130034B8"/>
    <w:lvl w:ilvl="0" w:tplc="FFFFFFFF">
      <w:start w:val="1"/>
      <w:numFmt w:val="upp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08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F7CF0"/>
    <w:multiLevelType w:val="hybridMultilevel"/>
    <w:tmpl w:val="CE4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5E21B8"/>
    <w:multiLevelType w:val="hybridMultilevel"/>
    <w:tmpl w:val="71A68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1909FD"/>
    <w:multiLevelType w:val="hybridMultilevel"/>
    <w:tmpl w:val="71C05CF0"/>
    <w:lvl w:ilvl="0" w:tplc="F636059C">
      <w:start w:val="1"/>
      <w:numFmt w:val="bullet"/>
      <w:lvlText w:val="•"/>
      <w:lvlJc w:val="left"/>
      <w:pPr>
        <w:tabs>
          <w:tab w:val="num" w:pos="720"/>
        </w:tabs>
        <w:ind w:left="720" w:hanging="360"/>
      </w:pPr>
      <w:rPr>
        <w:rFonts w:ascii="Arial" w:hAnsi="Arial" w:hint="default"/>
      </w:rPr>
    </w:lvl>
    <w:lvl w:ilvl="1" w:tplc="A5181258">
      <w:start w:val="1"/>
      <w:numFmt w:val="bullet"/>
      <w:lvlText w:val="•"/>
      <w:lvlJc w:val="left"/>
      <w:pPr>
        <w:tabs>
          <w:tab w:val="num" w:pos="8015"/>
        </w:tabs>
        <w:ind w:left="8015" w:hanging="360"/>
      </w:pPr>
      <w:rPr>
        <w:rFonts w:ascii="Arial" w:hAnsi="Arial" w:hint="default"/>
        <w:sz w:val="28"/>
      </w:rPr>
    </w:lvl>
    <w:lvl w:ilvl="2" w:tplc="080A0003">
      <w:start w:val="1"/>
      <w:numFmt w:val="bullet"/>
      <w:lvlText w:val="o"/>
      <w:lvlJc w:val="left"/>
      <w:pPr>
        <w:tabs>
          <w:tab w:val="num" w:pos="2160"/>
        </w:tabs>
        <w:ind w:left="2160" w:hanging="360"/>
      </w:pPr>
      <w:rPr>
        <w:rFonts w:ascii="Courier New" w:hAnsi="Courier New" w:cs="Courier New" w:hint="default"/>
      </w:rPr>
    </w:lvl>
    <w:lvl w:ilvl="3" w:tplc="0B587BF8" w:tentative="1">
      <w:start w:val="1"/>
      <w:numFmt w:val="bullet"/>
      <w:lvlText w:val="•"/>
      <w:lvlJc w:val="left"/>
      <w:pPr>
        <w:tabs>
          <w:tab w:val="num" w:pos="2880"/>
        </w:tabs>
        <w:ind w:left="2880" w:hanging="360"/>
      </w:pPr>
      <w:rPr>
        <w:rFonts w:ascii="Arial" w:hAnsi="Arial" w:hint="default"/>
      </w:rPr>
    </w:lvl>
    <w:lvl w:ilvl="4" w:tplc="6B6C75E2" w:tentative="1">
      <w:start w:val="1"/>
      <w:numFmt w:val="bullet"/>
      <w:lvlText w:val="•"/>
      <w:lvlJc w:val="left"/>
      <w:pPr>
        <w:tabs>
          <w:tab w:val="num" w:pos="3600"/>
        </w:tabs>
        <w:ind w:left="3600" w:hanging="360"/>
      </w:pPr>
      <w:rPr>
        <w:rFonts w:ascii="Arial" w:hAnsi="Arial" w:hint="default"/>
      </w:rPr>
    </w:lvl>
    <w:lvl w:ilvl="5" w:tplc="CEA04446" w:tentative="1">
      <w:start w:val="1"/>
      <w:numFmt w:val="bullet"/>
      <w:lvlText w:val="•"/>
      <w:lvlJc w:val="left"/>
      <w:pPr>
        <w:tabs>
          <w:tab w:val="num" w:pos="4320"/>
        </w:tabs>
        <w:ind w:left="4320" w:hanging="360"/>
      </w:pPr>
      <w:rPr>
        <w:rFonts w:ascii="Arial" w:hAnsi="Arial" w:hint="default"/>
      </w:rPr>
    </w:lvl>
    <w:lvl w:ilvl="6" w:tplc="8FEAA1A4" w:tentative="1">
      <w:start w:val="1"/>
      <w:numFmt w:val="bullet"/>
      <w:lvlText w:val="•"/>
      <w:lvlJc w:val="left"/>
      <w:pPr>
        <w:tabs>
          <w:tab w:val="num" w:pos="5040"/>
        </w:tabs>
        <w:ind w:left="5040" w:hanging="360"/>
      </w:pPr>
      <w:rPr>
        <w:rFonts w:ascii="Arial" w:hAnsi="Arial" w:hint="default"/>
      </w:rPr>
    </w:lvl>
    <w:lvl w:ilvl="7" w:tplc="7F60F17A" w:tentative="1">
      <w:start w:val="1"/>
      <w:numFmt w:val="bullet"/>
      <w:lvlText w:val="•"/>
      <w:lvlJc w:val="left"/>
      <w:pPr>
        <w:tabs>
          <w:tab w:val="num" w:pos="5760"/>
        </w:tabs>
        <w:ind w:left="5760" w:hanging="360"/>
      </w:pPr>
      <w:rPr>
        <w:rFonts w:ascii="Arial" w:hAnsi="Arial" w:hint="default"/>
      </w:rPr>
    </w:lvl>
    <w:lvl w:ilvl="8" w:tplc="909E8042"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7"/>
  </w:num>
  <w:num w:numId="4">
    <w:abstractNumId w:val="11"/>
  </w:num>
  <w:num w:numId="5">
    <w:abstractNumId w:val="0"/>
  </w:num>
  <w:num w:numId="6">
    <w:abstractNumId w:val="5"/>
  </w:num>
  <w:num w:numId="7">
    <w:abstractNumId w:val="20"/>
  </w:num>
  <w:num w:numId="8">
    <w:abstractNumId w:val="17"/>
  </w:num>
  <w:num w:numId="9">
    <w:abstractNumId w:val="2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4"/>
  </w:num>
  <w:num w:numId="14">
    <w:abstractNumId w:val="8"/>
  </w:num>
  <w:num w:numId="15">
    <w:abstractNumId w:val="9"/>
  </w:num>
  <w:num w:numId="16">
    <w:abstractNumId w:val="7"/>
  </w:num>
  <w:num w:numId="17">
    <w:abstractNumId w:val="13"/>
  </w:num>
  <w:num w:numId="18">
    <w:abstractNumId w:val="23"/>
  </w:num>
  <w:num w:numId="19">
    <w:abstractNumId w:val="12"/>
  </w:num>
  <w:num w:numId="20">
    <w:abstractNumId w:val="21"/>
  </w:num>
  <w:num w:numId="21">
    <w:abstractNumId w:val="16"/>
  </w:num>
  <w:num w:numId="22">
    <w:abstractNumId w:val="19"/>
  </w:num>
  <w:num w:numId="23">
    <w:abstractNumId w:val="28"/>
  </w:num>
  <w:num w:numId="24">
    <w:abstractNumId w:val="18"/>
  </w:num>
  <w:num w:numId="25">
    <w:abstractNumId w:val="22"/>
  </w:num>
  <w:num w:numId="26">
    <w:abstractNumId w:val="2"/>
  </w:num>
  <w:num w:numId="27">
    <w:abstractNumId w:val="14"/>
  </w:num>
  <w:num w:numId="28">
    <w:abstractNumId w:val="1"/>
  </w:num>
  <w:num w:numId="29">
    <w:abstractNumId w:val="10"/>
  </w:num>
  <w:num w:numId="30">
    <w:abstractNumId w:val="26"/>
  </w:num>
  <w:num w:numId="31">
    <w:abstractNumId w:val="29"/>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B6F"/>
    <w:rsid w:val="00000EB5"/>
    <w:rsid w:val="0000111B"/>
    <w:rsid w:val="000017BE"/>
    <w:rsid w:val="00001F55"/>
    <w:rsid w:val="000024AF"/>
    <w:rsid w:val="0000255C"/>
    <w:rsid w:val="000034BB"/>
    <w:rsid w:val="00003D18"/>
    <w:rsid w:val="0000497F"/>
    <w:rsid w:val="00004A1F"/>
    <w:rsid w:val="00005687"/>
    <w:rsid w:val="00005717"/>
    <w:rsid w:val="000057FA"/>
    <w:rsid w:val="00005E74"/>
    <w:rsid w:val="00006C61"/>
    <w:rsid w:val="000070EC"/>
    <w:rsid w:val="00007243"/>
    <w:rsid w:val="000077C0"/>
    <w:rsid w:val="000104EB"/>
    <w:rsid w:val="00010D7F"/>
    <w:rsid w:val="00010FD0"/>
    <w:rsid w:val="00011807"/>
    <w:rsid w:val="00011E7F"/>
    <w:rsid w:val="00012320"/>
    <w:rsid w:val="0001337F"/>
    <w:rsid w:val="00014869"/>
    <w:rsid w:val="00014A00"/>
    <w:rsid w:val="00015158"/>
    <w:rsid w:val="00015160"/>
    <w:rsid w:val="000158DC"/>
    <w:rsid w:val="00015C47"/>
    <w:rsid w:val="00016698"/>
    <w:rsid w:val="00016BBE"/>
    <w:rsid w:val="00016EB4"/>
    <w:rsid w:val="00017207"/>
    <w:rsid w:val="00017748"/>
    <w:rsid w:val="00017B4D"/>
    <w:rsid w:val="00020B0E"/>
    <w:rsid w:val="000219DC"/>
    <w:rsid w:val="00021DF2"/>
    <w:rsid w:val="00021ED7"/>
    <w:rsid w:val="00022134"/>
    <w:rsid w:val="00022555"/>
    <w:rsid w:val="00023B0E"/>
    <w:rsid w:val="00023D16"/>
    <w:rsid w:val="000243E7"/>
    <w:rsid w:val="000248EF"/>
    <w:rsid w:val="000249A7"/>
    <w:rsid w:val="00025561"/>
    <w:rsid w:val="000257B9"/>
    <w:rsid w:val="000257C5"/>
    <w:rsid w:val="0002668B"/>
    <w:rsid w:val="0002668D"/>
    <w:rsid w:val="0002683F"/>
    <w:rsid w:val="00026918"/>
    <w:rsid w:val="00026CAB"/>
    <w:rsid w:val="00026E99"/>
    <w:rsid w:val="00026F07"/>
    <w:rsid w:val="0002767F"/>
    <w:rsid w:val="000276B7"/>
    <w:rsid w:val="00027859"/>
    <w:rsid w:val="00027F1D"/>
    <w:rsid w:val="0003150D"/>
    <w:rsid w:val="00031897"/>
    <w:rsid w:val="000331C1"/>
    <w:rsid w:val="000331FF"/>
    <w:rsid w:val="00033302"/>
    <w:rsid w:val="00033375"/>
    <w:rsid w:val="00033398"/>
    <w:rsid w:val="0003352B"/>
    <w:rsid w:val="00033654"/>
    <w:rsid w:val="00033A97"/>
    <w:rsid w:val="00033F8D"/>
    <w:rsid w:val="00033FD4"/>
    <w:rsid w:val="0003413E"/>
    <w:rsid w:val="00034617"/>
    <w:rsid w:val="0003498B"/>
    <w:rsid w:val="00035BE4"/>
    <w:rsid w:val="00036059"/>
    <w:rsid w:val="00036138"/>
    <w:rsid w:val="00036FD3"/>
    <w:rsid w:val="00036FE5"/>
    <w:rsid w:val="00037252"/>
    <w:rsid w:val="00037355"/>
    <w:rsid w:val="0003747C"/>
    <w:rsid w:val="00037855"/>
    <w:rsid w:val="00037DA5"/>
    <w:rsid w:val="000402A8"/>
    <w:rsid w:val="000412B6"/>
    <w:rsid w:val="00041544"/>
    <w:rsid w:val="0004156C"/>
    <w:rsid w:val="00041616"/>
    <w:rsid w:val="000416D7"/>
    <w:rsid w:val="000417E4"/>
    <w:rsid w:val="00042159"/>
    <w:rsid w:val="0004252C"/>
    <w:rsid w:val="000430D6"/>
    <w:rsid w:val="00043202"/>
    <w:rsid w:val="00043B91"/>
    <w:rsid w:val="00043B97"/>
    <w:rsid w:val="000440A5"/>
    <w:rsid w:val="00044C0C"/>
    <w:rsid w:val="00044F5A"/>
    <w:rsid w:val="00044F82"/>
    <w:rsid w:val="0004512F"/>
    <w:rsid w:val="00045D14"/>
    <w:rsid w:val="000460C4"/>
    <w:rsid w:val="000466EE"/>
    <w:rsid w:val="00047124"/>
    <w:rsid w:val="000509DF"/>
    <w:rsid w:val="00051413"/>
    <w:rsid w:val="000514C3"/>
    <w:rsid w:val="000516D5"/>
    <w:rsid w:val="000518C8"/>
    <w:rsid w:val="00051DC7"/>
    <w:rsid w:val="00051E4E"/>
    <w:rsid w:val="00051F54"/>
    <w:rsid w:val="000527B7"/>
    <w:rsid w:val="00052F2C"/>
    <w:rsid w:val="00052FCC"/>
    <w:rsid w:val="00053D6C"/>
    <w:rsid w:val="00053E3F"/>
    <w:rsid w:val="00054590"/>
    <w:rsid w:val="0005517E"/>
    <w:rsid w:val="00055192"/>
    <w:rsid w:val="00055689"/>
    <w:rsid w:val="00055C06"/>
    <w:rsid w:val="00055D73"/>
    <w:rsid w:val="00055F51"/>
    <w:rsid w:val="0005607D"/>
    <w:rsid w:val="0005634A"/>
    <w:rsid w:val="000563F3"/>
    <w:rsid w:val="000566E5"/>
    <w:rsid w:val="0005693B"/>
    <w:rsid w:val="000569BD"/>
    <w:rsid w:val="00056E74"/>
    <w:rsid w:val="00057000"/>
    <w:rsid w:val="0005759B"/>
    <w:rsid w:val="00057616"/>
    <w:rsid w:val="00057C1E"/>
    <w:rsid w:val="00057EAF"/>
    <w:rsid w:val="000600DC"/>
    <w:rsid w:val="00060A9D"/>
    <w:rsid w:val="00061DA1"/>
    <w:rsid w:val="00062387"/>
    <w:rsid w:val="0006275D"/>
    <w:rsid w:val="00062990"/>
    <w:rsid w:val="00063022"/>
    <w:rsid w:val="00063181"/>
    <w:rsid w:val="000632CD"/>
    <w:rsid w:val="0006343F"/>
    <w:rsid w:val="000636C5"/>
    <w:rsid w:val="00064154"/>
    <w:rsid w:val="00065249"/>
    <w:rsid w:val="0006554F"/>
    <w:rsid w:val="000656F6"/>
    <w:rsid w:val="0006630A"/>
    <w:rsid w:val="0006630D"/>
    <w:rsid w:val="0006657D"/>
    <w:rsid w:val="000667A8"/>
    <w:rsid w:val="00066A8E"/>
    <w:rsid w:val="00067532"/>
    <w:rsid w:val="00067C2B"/>
    <w:rsid w:val="00067C6C"/>
    <w:rsid w:val="000704F7"/>
    <w:rsid w:val="00070768"/>
    <w:rsid w:val="00070FBC"/>
    <w:rsid w:val="00071CD3"/>
    <w:rsid w:val="00071D57"/>
    <w:rsid w:val="00072188"/>
    <w:rsid w:val="000725ED"/>
    <w:rsid w:val="00072718"/>
    <w:rsid w:val="00072EC7"/>
    <w:rsid w:val="0007375D"/>
    <w:rsid w:val="00073E00"/>
    <w:rsid w:val="0007427D"/>
    <w:rsid w:val="00074520"/>
    <w:rsid w:val="00074E2F"/>
    <w:rsid w:val="00074FB7"/>
    <w:rsid w:val="00075651"/>
    <w:rsid w:val="00075CFB"/>
    <w:rsid w:val="000762EF"/>
    <w:rsid w:val="0007653E"/>
    <w:rsid w:val="00076AA1"/>
    <w:rsid w:val="00076ADC"/>
    <w:rsid w:val="00076B9B"/>
    <w:rsid w:val="00076E8F"/>
    <w:rsid w:val="00077063"/>
    <w:rsid w:val="00077182"/>
    <w:rsid w:val="00077279"/>
    <w:rsid w:val="0007749F"/>
    <w:rsid w:val="00077BB7"/>
    <w:rsid w:val="00077D19"/>
    <w:rsid w:val="00080235"/>
    <w:rsid w:val="000807C7"/>
    <w:rsid w:val="000809B5"/>
    <w:rsid w:val="00080AFC"/>
    <w:rsid w:val="00080B2B"/>
    <w:rsid w:val="00081309"/>
    <w:rsid w:val="00081638"/>
    <w:rsid w:val="00081691"/>
    <w:rsid w:val="00081ACE"/>
    <w:rsid w:val="00081DB7"/>
    <w:rsid w:val="00082272"/>
    <w:rsid w:val="000824AC"/>
    <w:rsid w:val="00082C3E"/>
    <w:rsid w:val="00083916"/>
    <w:rsid w:val="00084391"/>
    <w:rsid w:val="00084454"/>
    <w:rsid w:val="000849C2"/>
    <w:rsid w:val="000858BA"/>
    <w:rsid w:val="00085B16"/>
    <w:rsid w:val="000868F4"/>
    <w:rsid w:val="00086A63"/>
    <w:rsid w:val="00086FA9"/>
    <w:rsid w:val="00086FE7"/>
    <w:rsid w:val="000876B0"/>
    <w:rsid w:val="00087BF4"/>
    <w:rsid w:val="0009092B"/>
    <w:rsid w:val="00090E30"/>
    <w:rsid w:val="00091523"/>
    <w:rsid w:val="000916CE"/>
    <w:rsid w:val="00091F56"/>
    <w:rsid w:val="00092CFC"/>
    <w:rsid w:val="000930DA"/>
    <w:rsid w:val="000935C3"/>
    <w:rsid w:val="00093640"/>
    <w:rsid w:val="00093D43"/>
    <w:rsid w:val="00093F5B"/>
    <w:rsid w:val="00094A16"/>
    <w:rsid w:val="00094F7E"/>
    <w:rsid w:val="00094F9E"/>
    <w:rsid w:val="000954FE"/>
    <w:rsid w:val="00095742"/>
    <w:rsid w:val="0009623E"/>
    <w:rsid w:val="00096928"/>
    <w:rsid w:val="00096EF4"/>
    <w:rsid w:val="00097094"/>
    <w:rsid w:val="0009788F"/>
    <w:rsid w:val="000979CF"/>
    <w:rsid w:val="000A0421"/>
    <w:rsid w:val="000A0641"/>
    <w:rsid w:val="000A0CC3"/>
    <w:rsid w:val="000A0E28"/>
    <w:rsid w:val="000A1376"/>
    <w:rsid w:val="000A1D6E"/>
    <w:rsid w:val="000A23CD"/>
    <w:rsid w:val="000A26A6"/>
    <w:rsid w:val="000A296F"/>
    <w:rsid w:val="000A2ACF"/>
    <w:rsid w:val="000A2BD1"/>
    <w:rsid w:val="000A2D46"/>
    <w:rsid w:val="000A3045"/>
    <w:rsid w:val="000A31B5"/>
    <w:rsid w:val="000A3400"/>
    <w:rsid w:val="000A3823"/>
    <w:rsid w:val="000A41C2"/>
    <w:rsid w:val="000A4284"/>
    <w:rsid w:val="000A465B"/>
    <w:rsid w:val="000A4B13"/>
    <w:rsid w:val="000A4D31"/>
    <w:rsid w:val="000A5086"/>
    <w:rsid w:val="000A6153"/>
    <w:rsid w:val="000A63FB"/>
    <w:rsid w:val="000A6703"/>
    <w:rsid w:val="000A6957"/>
    <w:rsid w:val="000A6C8E"/>
    <w:rsid w:val="000A711D"/>
    <w:rsid w:val="000A74AF"/>
    <w:rsid w:val="000B052E"/>
    <w:rsid w:val="000B0618"/>
    <w:rsid w:val="000B061C"/>
    <w:rsid w:val="000B0A3D"/>
    <w:rsid w:val="000B0AB3"/>
    <w:rsid w:val="000B0C1E"/>
    <w:rsid w:val="000B1545"/>
    <w:rsid w:val="000B1650"/>
    <w:rsid w:val="000B18C8"/>
    <w:rsid w:val="000B191F"/>
    <w:rsid w:val="000B29F0"/>
    <w:rsid w:val="000B2B8A"/>
    <w:rsid w:val="000B3282"/>
    <w:rsid w:val="000B37F1"/>
    <w:rsid w:val="000B4009"/>
    <w:rsid w:val="000B485C"/>
    <w:rsid w:val="000B5281"/>
    <w:rsid w:val="000B5848"/>
    <w:rsid w:val="000B5C7E"/>
    <w:rsid w:val="000B5EEF"/>
    <w:rsid w:val="000B6040"/>
    <w:rsid w:val="000B6432"/>
    <w:rsid w:val="000B6751"/>
    <w:rsid w:val="000B6863"/>
    <w:rsid w:val="000B6B8E"/>
    <w:rsid w:val="000B719A"/>
    <w:rsid w:val="000B71FF"/>
    <w:rsid w:val="000C026F"/>
    <w:rsid w:val="000C0BA2"/>
    <w:rsid w:val="000C0C60"/>
    <w:rsid w:val="000C0FC5"/>
    <w:rsid w:val="000C18D9"/>
    <w:rsid w:val="000C1ADA"/>
    <w:rsid w:val="000C1B70"/>
    <w:rsid w:val="000C20C6"/>
    <w:rsid w:val="000C20F5"/>
    <w:rsid w:val="000C2B4E"/>
    <w:rsid w:val="000C384B"/>
    <w:rsid w:val="000C3CAA"/>
    <w:rsid w:val="000C3EF6"/>
    <w:rsid w:val="000C4378"/>
    <w:rsid w:val="000C4CFD"/>
    <w:rsid w:val="000C51EE"/>
    <w:rsid w:val="000C5A9B"/>
    <w:rsid w:val="000C5FD8"/>
    <w:rsid w:val="000C62AA"/>
    <w:rsid w:val="000C63A9"/>
    <w:rsid w:val="000C6D46"/>
    <w:rsid w:val="000C767B"/>
    <w:rsid w:val="000C79AA"/>
    <w:rsid w:val="000C79B8"/>
    <w:rsid w:val="000D00A0"/>
    <w:rsid w:val="000D00E1"/>
    <w:rsid w:val="000D0E5F"/>
    <w:rsid w:val="000D0F3A"/>
    <w:rsid w:val="000D1585"/>
    <w:rsid w:val="000D1ADA"/>
    <w:rsid w:val="000D1C5C"/>
    <w:rsid w:val="000D23AC"/>
    <w:rsid w:val="000D292E"/>
    <w:rsid w:val="000D3343"/>
    <w:rsid w:val="000D33BF"/>
    <w:rsid w:val="000D3878"/>
    <w:rsid w:val="000D3E5A"/>
    <w:rsid w:val="000D4741"/>
    <w:rsid w:val="000D4844"/>
    <w:rsid w:val="000D48B2"/>
    <w:rsid w:val="000D4D13"/>
    <w:rsid w:val="000D54F6"/>
    <w:rsid w:val="000D578B"/>
    <w:rsid w:val="000D59FD"/>
    <w:rsid w:val="000D6240"/>
    <w:rsid w:val="000D67C3"/>
    <w:rsid w:val="000D6C7B"/>
    <w:rsid w:val="000D723F"/>
    <w:rsid w:val="000D7311"/>
    <w:rsid w:val="000D7313"/>
    <w:rsid w:val="000D7789"/>
    <w:rsid w:val="000D7BFD"/>
    <w:rsid w:val="000E01C2"/>
    <w:rsid w:val="000E077F"/>
    <w:rsid w:val="000E16BD"/>
    <w:rsid w:val="000E1904"/>
    <w:rsid w:val="000E202C"/>
    <w:rsid w:val="000E2239"/>
    <w:rsid w:val="000E255F"/>
    <w:rsid w:val="000E30B8"/>
    <w:rsid w:val="000E3173"/>
    <w:rsid w:val="000E3F22"/>
    <w:rsid w:val="000E440F"/>
    <w:rsid w:val="000E4621"/>
    <w:rsid w:val="000E481B"/>
    <w:rsid w:val="000E4899"/>
    <w:rsid w:val="000E493B"/>
    <w:rsid w:val="000E4F56"/>
    <w:rsid w:val="000E51DA"/>
    <w:rsid w:val="000E6489"/>
    <w:rsid w:val="000E67D5"/>
    <w:rsid w:val="000E6ABF"/>
    <w:rsid w:val="000E6AE0"/>
    <w:rsid w:val="000E6C16"/>
    <w:rsid w:val="000E747E"/>
    <w:rsid w:val="000E7B34"/>
    <w:rsid w:val="000F019A"/>
    <w:rsid w:val="000F0931"/>
    <w:rsid w:val="000F0D48"/>
    <w:rsid w:val="000F0D64"/>
    <w:rsid w:val="000F0F91"/>
    <w:rsid w:val="000F1898"/>
    <w:rsid w:val="000F1BD6"/>
    <w:rsid w:val="000F1C00"/>
    <w:rsid w:val="000F21DE"/>
    <w:rsid w:val="000F269E"/>
    <w:rsid w:val="000F2778"/>
    <w:rsid w:val="000F2ACB"/>
    <w:rsid w:val="000F2BC2"/>
    <w:rsid w:val="000F2E0A"/>
    <w:rsid w:val="000F4226"/>
    <w:rsid w:val="000F42A7"/>
    <w:rsid w:val="000F4826"/>
    <w:rsid w:val="000F4F3F"/>
    <w:rsid w:val="000F5361"/>
    <w:rsid w:val="000F54A5"/>
    <w:rsid w:val="000F55EC"/>
    <w:rsid w:val="000F5D79"/>
    <w:rsid w:val="000F634E"/>
    <w:rsid w:val="000F6491"/>
    <w:rsid w:val="000F67EB"/>
    <w:rsid w:val="000F6852"/>
    <w:rsid w:val="000F6F20"/>
    <w:rsid w:val="000F72D2"/>
    <w:rsid w:val="000F72F4"/>
    <w:rsid w:val="00100108"/>
    <w:rsid w:val="00100257"/>
    <w:rsid w:val="00100467"/>
    <w:rsid w:val="00100592"/>
    <w:rsid w:val="00100662"/>
    <w:rsid w:val="00100BC5"/>
    <w:rsid w:val="00101BE8"/>
    <w:rsid w:val="00101D26"/>
    <w:rsid w:val="00101D3D"/>
    <w:rsid w:val="001027A8"/>
    <w:rsid w:val="00102ACA"/>
    <w:rsid w:val="00103B95"/>
    <w:rsid w:val="00104793"/>
    <w:rsid w:val="00104FB8"/>
    <w:rsid w:val="001057A0"/>
    <w:rsid w:val="00105A12"/>
    <w:rsid w:val="001066D7"/>
    <w:rsid w:val="0010678C"/>
    <w:rsid w:val="0010748B"/>
    <w:rsid w:val="001075BC"/>
    <w:rsid w:val="0011009B"/>
    <w:rsid w:val="001106AE"/>
    <w:rsid w:val="001113AD"/>
    <w:rsid w:val="0011172F"/>
    <w:rsid w:val="00111956"/>
    <w:rsid w:val="00112054"/>
    <w:rsid w:val="0011205A"/>
    <w:rsid w:val="00112280"/>
    <w:rsid w:val="001125B1"/>
    <w:rsid w:val="001126B6"/>
    <w:rsid w:val="00112858"/>
    <w:rsid w:val="00112D0D"/>
    <w:rsid w:val="001134C1"/>
    <w:rsid w:val="00113743"/>
    <w:rsid w:val="00113824"/>
    <w:rsid w:val="00113B51"/>
    <w:rsid w:val="00113EFA"/>
    <w:rsid w:val="0011425A"/>
    <w:rsid w:val="00114509"/>
    <w:rsid w:val="0011487A"/>
    <w:rsid w:val="00114975"/>
    <w:rsid w:val="0011523C"/>
    <w:rsid w:val="00115DE7"/>
    <w:rsid w:val="00115EFA"/>
    <w:rsid w:val="00116138"/>
    <w:rsid w:val="001167BF"/>
    <w:rsid w:val="00116817"/>
    <w:rsid w:val="00116C3A"/>
    <w:rsid w:val="00116FFB"/>
    <w:rsid w:val="001170BD"/>
    <w:rsid w:val="001171C2"/>
    <w:rsid w:val="00117992"/>
    <w:rsid w:val="00117AFF"/>
    <w:rsid w:val="00117E4B"/>
    <w:rsid w:val="001203CE"/>
    <w:rsid w:val="0012085E"/>
    <w:rsid w:val="00120B3E"/>
    <w:rsid w:val="00120F52"/>
    <w:rsid w:val="001211BC"/>
    <w:rsid w:val="001216ED"/>
    <w:rsid w:val="00121DC3"/>
    <w:rsid w:val="00123787"/>
    <w:rsid w:val="00124162"/>
    <w:rsid w:val="0012440F"/>
    <w:rsid w:val="001245BC"/>
    <w:rsid w:val="00124E04"/>
    <w:rsid w:val="00125148"/>
    <w:rsid w:val="00126525"/>
    <w:rsid w:val="00126653"/>
    <w:rsid w:val="00127461"/>
    <w:rsid w:val="00127687"/>
    <w:rsid w:val="00127A46"/>
    <w:rsid w:val="00127E43"/>
    <w:rsid w:val="001309D8"/>
    <w:rsid w:val="0013125A"/>
    <w:rsid w:val="001327D6"/>
    <w:rsid w:val="00132E51"/>
    <w:rsid w:val="00132E6D"/>
    <w:rsid w:val="001337E9"/>
    <w:rsid w:val="00133B15"/>
    <w:rsid w:val="00134494"/>
    <w:rsid w:val="00134518"/>
    <w:rsid w:val="00134655"/>
    <w:rsid w:val="001348B9"/>
    <w:rsid w:val="00134FBE"/>
    <w:rsid w:val="0013534D"/>
    <w:rsid w:val="0013546D"/>
    <w:rsid w:val="0013559B"/>
    <w:rsid w:val="00135F99"/>
    <w:rsid w:val="00137118"/>
    <w:rsid w:val="00137662"/>
    <w:rsid w:val="0014053C"/>
    <w:rsid w:val="00140574"/>
    <w:rsid w:val="00140858"/>
    <w:rsid w:val="00140A1B"/>
    <w:rsid w:val="00140C74"/>
    <w:rsid w:val="0014113F"/>
    <w:rsid w:val="00141BBF"/>
    <w:rsid w:val="00141BF7"/>
    <w:rsid w:val="00141DEC"/>
    <w:rsid w:val="001420C0"/>
    <w:rsid w:val="0014279E"/>
    <w:rsid w:val="00142D42"/>
    <w:rsid w:val="00142E77"/>
    <w:rsid w:val="0014331B"/>
    <w:rsid w:val="00143B3F"/>
    <w:rsid w:val="00144427"/>
    <w:rsid w:val="00144606"/>
    <w:rsid w:val="00144BEF"/>
    <w:rsid w:val="0014513D"/>
    <w:rsid w:val="00145843"/>
    <w:rsid w:val="001459C2"/>
    <w:rsid w:val="00145A0D"/>
    <w:rsid w:val="00145A8F"/>
    <w:rsid w:val="00145DF0"/>
    <w:rsid w:val="00145FF8"/>
    <w:rsid w:val="0014637E"/>
    <w:rsid w:val="00146CD7"/>
    <w:rsid w:val="00146EAE"/>
    <w:rsid w:val="0014705A"/>
    <w:rsid w:val="00147431"/>
    <w:rsid w:val="00147565"/>
    <w:rsid w:val="00147917"/>
    <w:rsid w:val="00147FBA"/>
    <w:rsid w:val="001503D3"/>
    <w:rsid w:val="00150680"/>
    <w:rsid w:val="0015091B"/>
    <w:rsid w:val="00150D38"/>
    <w:rsid w:val="0015103C"/>
    <w:rsid w:val="00151086"/>
    <w:rsid w:val="00151996"/>
    <w:rsid w:val="00151A52"/>
    <w:rsid w:val="00151EF7"/>
    <w:rsid w:val="0015269F"/>
    <w:rsid w:val="0015292A"/>
    <w:rsid w:val="00152BFA"/>
    <w:rsid w:val="00152DDB"/>
    <w:rsid w:val="00152DF4"/>
    <w:rsid w:val="00152F00"/>
    <w:rsid w:val="00152FCB"/>
    <w:rsid w:val="00153052"/>
    <w:rsid w:val="001533DC"/>
    <w:rsid w:val="0015396D"/>
    <w:rsid w:val="001539D5"/>
    <w:rsid w:val="00153AEB"/>
    <w:rsid w:val="00153E1C"/>
    <w:rsid w:val="0015471E"/>
    <w:rsid w:val="001547FA"/>
    <w:rsid w:val="00154D55"/>
    <w:rsid w:val="00154FAD"/>
    <w:rsid w:val="00155016"/>
    <w:rsid w:val="00155107"/>
    <w:rsid w:val="0015513F"/>
    <w:rsid w:val="001559DE"/>
    <w:rsid w:val="00155BDA"/>
    <w:rsid w:val="00155C29"/>
    <w:rsid w:val="00156724"/>
    <w:rsid w:val="00156DFC"/>
    <w:rsid w:val="00157979"/>
    <w:rsid w:val="00157AC8"/>
    <w:rsid w:val="00157BE1"/>
    <w:rsid w:val="00157C72"/>
    <w:rsid w:val="0016047D"/>
    <w:rsid w:val="0016058C"/>
    <w:rsid w:val="00160692"/>
    <w:rsid w:val="00160867"/>
    <w:rsid w:val="00160CBB"/>
    <w:rsid w:val="00160DAF"/>
    <w:rsid w:val="0016116F"/>
    <w:rsid w:val="00161F82"/>
    <w:rsid w:val="00162251"/>
    <w:rsid w:val="00162273"/>
    <w:rsid w:val="00162C7C"/>
    <w:rsid w:val="00162CFF"/>
    <w:rsid w:val="00163909"/>
    <w:rsid w:val="00163DEC"/>
    <w:rsid w:val="00163F7C"/>
    <w:rsid w:val="0016412C"/>
    <w:rsid w:val="001643F4"/>
    <w:rsid w:val="00164A8A"/>
    <w:rsid w:val="00165B31"/>
    <w:rsid w:val="001701DF"/>
    <w:rsid w:val="00170999"/>
    <w:rsid w:val="00170A4C"/>
    <w:rsid w:val="00171362"/>
    <w:rsid w:val="0017170E"/>
    <w:rsid w:val="00171FA6"/>
    <w:rsid w:val="0017276B"/>
    <w:rsid w:val="00172896"/>
    <w:rsid w:val="00172F5B"/>
    <w:rsid w:val="00173301"/>
    <w:rsid w:val="001739EA"/>
    <w:rsid w:val="00174473"/>
    <w:rsid w:val="001744DC"/>
    <w:rsid w:val="00174794"/>
    <w:rsid w:val="00174A47"/>
    <w:rsid w:val="001752FD"/>
    <w:rsid w:val="00175F0E"/>
    <w:rsid w:val="0017625E"/>
    <w:rsid w:val="0017632C"/>
    <w:rsid w:val="00176603"/>
    <w:rsid w:val="00176656"/>
    <w:rsid w:val="00176AE7"/>
    <w:rsid w:val="00176D97"/>
    <w:rsid w:val="00177096"/>
    <w:rsid w:val="00177B44"/>
    <w:rsid w:val="00177FC7"/>
    <w:rsid w:val="001803A9"/>
    <w:rsid w:val="0018097E"/>
    <w:rsid w:val="00180AF9"/>
    <w:rsid w:val="0018148E"/>
    <w:rsid w:val="00181744"/>
    <w:rsid w:val="001818C8"/>
    <w:rsid w:val="00181E41"/>
    <w:rsid w:val="00181FA6"/>
    <w:rsid w:val="001820CE"/>
    <w:rsid w:val="0018255F"/>
    <w:rsid w:val="001825B6"/>
    <w:rsid w:val="00182739"/>
    <w:rsid w:val="00182ADA"/>
    <w:rsid w:val="00182F7B"/>
    <w:rsid w:val="0018318A"/>
    <w:rsid w:val="00183634"/>
    <w:rsid w:val="001837DE"/>
    <w:rsid w:val="00183931"/>
    <w:rsid w:val="00184866"/>
    <w:rsid w:val="00184CB5"/>
    <w:rsid w:val="00184D90"/>
    <w:rsid w:val="00184D9D"/>
    <w:rsid w:val="00185A42"/>
    <w:rsid w:val="00185AA7"/>
    <w:rsid w:val="00185B0C"/>
    <w:rsid w:val="00185CD2"/>
    <w:rsid w:val="00185D04"/>
    <w:rsid w:val="0018624B"/>
    <w:rsid w:val="001869B6"/>
    <w:rsid w:val="00186DF0"/>
    <w:rsid w:val="00186F4F"/>
    <w:rsid w:val="00186F93"/>
    <w:rsid w:val="001876DF"/>
    <w:rsid w:val="001879DA"/>
    <w:rsid w:val="00190838"/>
    <w:rsid w:val="0019087D"/>
    <w:rsid w:val="0019101C"/>
    <w:rsid w:val="001914BB"/>
    <w:rsid w:val="001914D7"/>
    <w:rsid w:val="00191E75"/>
    <w:rsid w:val="00192F31"/>
    <w:rsid w:val="001937AA"/>
    <w:rsid w:val="00193A33"/>
    <w:rsid w:val="00193BFD"/>
    <w:rsid w:val="001945BB"/>
    <w:rsid w:val="0019509E"/>
    <w:rsid w:val="00195817"/>
    <w:rsid w:val="00195ED3"/>
    <w:rsid w:val="0019617C"/>
    <w:rsid w:val="001962C5"/>
    <w:rsid w:val="00196454"/>
    <w:rsid w:val="00196581"/>
    <w:rsid w:val="00196E3E"/>
    <w:rsid w:val="00196FCB"/>
    <w:rsid w:val="001972AF"/>
    <w:rsid w:val="001977FE"/>
    <w:rsid w:val="00197D0C"/>
    <w:rsid w:val="00197F89"/>
    <w:rsid w:val="001A084A"/>
    <w:rsid w:val="001A08FA"/>
    <w:rsid w:val="001A11EF"/>
    <w:rsid w:val="001A1DE7"/>
    <w:rsid w:val="001A1E22"/>
    <w:rsid w:val="001A22A4"/>
    <w:rsid w:val="001A28C6"/>
    <w:rsid w:val="001A2AB3"/>
    <w:rsid w:val="001A2B0B"/>
    <w:rsid w:val="001A2ECA"/>
    <w:rsid w:val="001A31DF"/>
    <w:rsid w:val="001A3395"/>
    <w:rsid w:val="001A37C4"/>
    <w:rsid w:val="001A3E12"/>
    <w:rsid w:val="001A3F1E"/>
    <w:rsid w:val="001A4E15"/>
    <w:rsid w:val="001A532C"/>
    <w:rsid w:val="001A58CD"/>
    <w:rsid w:val="001A5F4D"/>
    <w:rsid w:val="001A5F8C"/>
    <w:rsid w:val="001A6C27"/>
    <w:rsid w:val="001A6C75"/>
    <w:rsid w:val="001A6ECF"/>
    <w:rsid w:val="001A7559"/>
    <w:rsid w:val="001A7DF8"/>
    <w:rsid w:val="001A7F65"/>
    <w:rsid w:val="001B046D"/>
    <w:rsid w:val="001B0B19"/>
    <w:rsid w:val="001B0B26"/>
    <w:rsid w:val="001B1189"/>
    <w:rsid w:val="001B131E"/>
    <w:rsid w:val="001B185C"/>
    <w:rsid w:val="001B1FB7"/>
    <w:rsid w:val="001B2037"/>
    <w:rsid w:val="001B29BA"/>
    <w:rsid w:val="001B2D8D"/>
    <w:rsid w:val="001B313B"/>
    <w:rsid w:val="001B32A0"/>
    <w:rsid w:val="001B339E"/>
    <w:rsid w:val="001B3912"/>
    <w:rsid w:val="001B3DD2"/>
    <w:rsid w:val="001B412E"/>
    <w:rsid w:val="001B4602"/>
    <w:rsid w:val="001B4844"/>
    <w:rsid w:val="001B4D68"/>
    <w:rsid w:val="001B4F3D"/>
    <w:rsid w:val="001B5665"/>
    <w:rsid w:val="001B59DE"/>
    <w:rsid w:val="001B6579"/>
    <w:rsid w:val="001B6A8A"/>
    <w:rsid w:val="001B70E1"/>
    <w:rsid w:val="001B7447"/>
    <w:rsid w:val="001B7630"/>
    <w:rsid w:val="001B7CC4"/>
    <w:rsid w:val="001C00A0"/>
    <w:rsid w:val="001C0C67"/>
    <w:rsid w:val="001C0D3C"/>
    <w:rsid w:val="001C0D9D"/>
    <w:rsid w:val="001C0DF8"/>
    <w:rsid w:val="001C0E6A"/>
    <w:rsid w:val="001C1128"/>
    <w:rsid w:val="001C147F"/>
    <w:rsid w:val="001C1646"/>
    <w:rsid w:val="001C18CA"/>
    <w:rsid w:val="001C192A"/>
    <w:rsid w:val="001C2AA0"/>
    <w:rsid w:val="001C2BAE"/>
    <w:rsid w:val="001C2DA5"/>
    <w:rsid w:val="001C353C"/>
    <w:rsid w:val="001C367E"/>
    <w:rsid w:val="001C3D60"/>
    <w:rsid w:val="001C3EDA"/>
    <w:rsid w:val="001C40D8"/>
    <w:rsid w:val="001C413B"/>
    <w:rsid w:val="001C454C"/>
    <w:rsid w:val="001C476F"/>
    <w:rsid w:val="001C4A5F"/>
    <w:rsid w:val="001C56EF"/>
    <w:rsid w:val="001C5778"/>
    <w:rsid w:val="001C5AC3"/>
    <w:rsid w:val="001C6615"/>
    <w:rsid w:val="001C6AAC"/>
    <w:rsid w:val="001C710D"/>
    <w:rsid w:val="001C7A2E"/>
    <w:rsid w:val="001C7EA6"/>
    <w:rsid w:val="001D034A"/>
    <w:rsid w:val="001D0B13"/>
    <w:rsid w:val="001D0C65"/>
    <w:rsid w:val="001D0E5F"/>
    <w:rsid w:val="001D155E"/>
    <w:rsid w:val="001D18E7"/>
    <w:rsid w:val="001D294B"/>
    <w:rsid w:val="001D3714"/>
    <w:rsid w:val="001D3861"/>
    <w:rsid w:val="001D3B86"/>
    <w:rsid w:val="001D428D"/>
    <w:rsid w:val="001D4532"/>
    <w:rsid w:val="001D4629"/>
    <w:rsid w:val="001D4A76"/>
    <w:rsid w:val="001D4B2E"/>
    <w:rsid w:val="001D521B"/>
    <w:rsid w:val="001D5671"/>
    <w:rsid w:val="001D5B7E"/>
    <w:rsid w:val="001D5BE0"/>
    <w:rsid w:val="001D5BF6"/>
    <w:rsid w:val="001D6517"/>
    <w:rsid w:val="001D694B"/>
    <w:rsid w:val="001D71E8"/>
    <w:rsid w:val="001D73B8"/>
    <w:rsid w:val="001D7BBC"/>
    <w:rsid w:val="001D7FCA"/>
    <w:rsid w:val="001E0AA8"/>
    <w:rsid w:val="001E1319"/>
    <w:rsid w:val="001E15D9"/>
    <w:rsid w:val="001E18DA"/>
    <w:rsid w:val="001E20FE"/>
    <w:rsid w:val="001E21BF"/>
    <w:rsid w:val="001E242D"/>
    <w:rsid w:val="001E2CD7"/>
    <w:rsid w:val="001E2EBF"/>
    <w:rsid w:val="001E3EC9"/>
    <w:rsid w:val="001E421F"/>
    <w:rsid w:val="001E48B7"/>
    <w:rsid w:val="001E5349"/>
    <w:rsid w:val="001E635C"/>
    <w:rsid w:val="001E7080"/>
    <w:rsid w:val="001E7557"/>
    <w:rsid w:val="001E76A6"/>
    <w:rsid w:val="001E7F8F"/>
    <w:rsid w:val="001F0345"/>
    <w:rsid w:val="001F0474"/>
    <w:rsid w:val="001F0D4D"/>
    <w:rsid w:val="001F13DC"/>
    <w:rsid w:val="001F13FE"/>
    <w:rsid w:val="001F1DDA"/>
    <w:rsid w:val="001F20B5"/>
    <w:rsid w:val="001F2116"/>
    <w:rsid w:val="001F2DC4"/>
    <w:rsid w:val="001F3596"/>
    <w:rsid w:val="001F37E7"/>
    <w:rsid w:val="001F389A"/>
    <w:rsid w:val="001F3BBD"/>
    <w:rsid w:val="001F3CA2"/>
    <w:rsid w:val="001F42A8"/>
    <w:rsid w:val="001F4A36"/>
    <w:rsid w:val="001F4C2E"/>
    <w:rsid w:val="001F4D54"/>
    <w:rsid w:val="001F4FB7"/>
    <w:rsid w:val="001F5037"/>
    <w:rsid w:val="001F5617"/>
    <w:rsid w:val="001F5DAC"/>
    <w:rsid w:val="001F668D"/>
    <w:rsid w:val="001F69CB"/>
    <w:rsid w:val="001F6CD0"/>
    <w:rsid w:val="001F6CFF"/>
    <w:rsid w:val="001F74FD"/>
    <w:rsid w:val="002007ED"/>
    <w:rsid w:val="00200BC2"/>
    <w:rsid w:val="002016C5"/>
    <w:rsid w:val="002024BF"/>
    <w:rsid w:val="00202560"/>
    <w:rsid w:val="00203785"/>
    <w:rsid w:val="002038B0"/>
    <w:rsid w:val="00203EB7"/>
    <w:rsid w:val="002049EB"/>
    <w:rsid w:val="00204B71"/>
    <w:rsid w:val="00204ED0"/>
    <w:rsid w:val="00205994"/>
    <w:rsid w:val="002064F7"/>
    <w:rsid w:val="002067F8"/>
    <w:rsid w:val="00206AFC"/>
    <w:rsid w:val="00206B2F"/>
    <w:rsid w:val="00206BA5"/>
    <w:rsid w:val="00206E10"/>
    <w:rsid w:val="00206EC3"/>
    <w:rsid w:val="00206F2D"/>
    <w:rsid w:val="0020708C"/>
    <w:rsid w:val="00207319"/>
    <w:rsid w:val="00207461"/>
    <w:rsid w:val="00207AB3"/>
    <w:rsid w:val="00207CF9"/>
    <w:rsid w:val="00210322"/>
    <w:rsid w:val="00210C8D"/>
    <w:rsid w:val="00211033"/>
    <w:rsid w:val="002117FF"/>
    <w:rsid w:val="002118EC"/>
    <w:rsid w:val="00211989"/>
    <w:rsid w:val="00211A76"/>
    <w:rsid w:val="002125C7"/>
    <w:rsid w:val="00212AEC"/>
    <w:rsid w:val="00212B73"/>
    <w:rsid w:val="00213284"/>
    <w:rsid w:val="00213A2C"/>
    <w:rsid w:val="00213B20"/>
    <w:rsid w:val="00213E8F"/>
    <w:rsid w:val="00214969"/>
    <w:rsid w:val="00214C16"/>
    <w:rsid w:val="0021655A"/>
    <w:rsid w:val="0021696F"/>
    <w:rsid w:val="00216A17"/>
    <w:rsid w:val="00216D24"/>
    <w:rsid w:val="0021748B"/>
    <w:rsid w:val="00217949"/>
    <w:rsid w:val="0022000F"/>
    <w:rsid w:val="0022003B"/>
    <w:rsid w:val="002207A6"/>
    <w:rsid w:val="0022091F"/>
    <w:rsid w:val="00221195"/>
    <w:rsid w:val="002214AF"/>
    <w:rsid w:val="00221575"/>
    <w:rsid w:val="0022226D"/>
    <w:rsid w:val="00222726"/>
    <w:rsid w:val="00222E9E"/>
    <w:rsid w:val="00222EF4"/>
    <w:rsid w:val="0022301B"/>
    <w:rsid w:val="002235E3"/>
    <w:rsid w:val="00223639"/>
    <w:rsid w:val="00223C5C"/>
    <w:rsid w:val="00224771"/>
    <w:rsid w:val="00224811"/>
    <w:rsid w:val="002248F8"/>
    <w:rsid w:val="00224BE6"/>
    <w:rsid w:val="00224D0B"/>
    <w:rsid w:val="00224E0F"/>
    <w:rsid w:val="00224E87"/>
    <w:rsid w:val="0022505B"/>
    <w:rsid w:val="002257DC"/>
    <w:rsid w:val="002258D2"/>
    <w:rsid w:val="00225C85"/>
    <w:rsid w:val="00225C95"/>
    <w:rsid w:val="00225E99"/>
    <w:rsid w:val="002262FB"/>
    <w:rsid w:val="00226406"/>
    <w:rsid w:val="00226CFC"/>
    <w:rsid w:val="002272CE"/>
    <w:rsid w:val="00227587"/>
    <w:rsid w:val="002277F9"/>
    <w:rsid w:val="002300A6"/>
    <w:rsid w:val="00230A79"/>
    <w:rsid w:val="00230BDB"/>
    <w:rsid w:val="00230F4A"/>
    <w:rsid w:val="00231318"/>
    <w:rsid w:val="00231875"/>
    <w:rsid w:val="0023198E"/>
    <w:rsid w:val="00231BFC"/>
    <w:rsid w:val="00231E0C"/>
    <w:rsid w:val="00231FA7"/>
    <w:rsid w:val="0023231C"/>
    <w:rsid w:val="00232364"/>
    <w:rsid w:val="0023241C"/>
    <w:rsid w:val="00232426"/>
    <w:rsid w:val="002328B1"/>
    <w:rsid w:val="00232A73"/>
    <w:rsid w:val="002331E5"/>
    <w:rsid w:val="00233376"/>
    <w:rsid w:val="00233826"/>
    <w:rsid w:val="00233AC9"/>
    <w:rsid w:val="0023472C"/>
    <w:rsid w:val="00235165"/>
    <w:rsid w:val="00235320"/>
    <w:rsid w:val="00235BE4"/>
    <w:rsid w:val="00235E40"/>
    <w:rsid w:val="00235FD6"/>
    <w:rsid w:val="00236335"/>
    <w:rsid w:val="00236CE5"/>
    <w:rsid w:val="00236E2C"/>
    <w:rsid w:val="00237327"/>
    <w:rsid w:val="0024038A"/>
    <w:rsid w:val="0024141F"/>
    <w:rsid w:val="002414BD"/>
    <w:rsid w:val="00241C14"/>
    <w:rsid w:val="0024353C"/>
    <w:rsid w:val="002446EF"/>
    <w:rsid w:val="00244794"/>
    <w:rsid w:val="00244F2D"/>
    <w:rsid w:val="00245259"/>
    <w:rsid w:val="002452B6"/>
    <w:rsid w:val="00245485"/>
    <w:rsid w:val="0024559E"/>
    <w:rsid w:val="002456C4"/>
    <w:rsid w:val="00245D02"/>
    <w:rsid w:val="00246135"/>
    <w:rsid w:val="002464E8"/>
    <w:rsid w:val="00246689"/>
    <w:rsid w:val="00246796"/>
    <w:rsid w:val="002473A8"/>
    <w:rsid w:val="00247A8D"/>
    <w:rsid w:val="00247DA7"/>
    <w:rsid w:val="00247DDE"/>
    <w:rsid w:val="002507BC"/>
    <w:rsid w:val="002508F9"/>
    <w:rsid w:val="0025092F"/>
    <w:rsid w:val="00250B30"/>
    <w:rsid w:val="00250C48"/>
    <w:rsid w:val="00250F22"/>
    <w:rsid w:val="002517E4"/>
    <w:rsid w:val="0025185F"/>
    <w:rsid w:val="00252562"/>
    <w:rsid w:val="00252A6C"/>
    <w:rsid w:val="00252CA7"/>
    <w:rsid w:val="00253327"/>
    <w:rsid w:val="002537C7"/>
    <w:rsid w:val="00253B61"/>
    <w:rsid w:val="00253F46"/>
    <w:rsid w:val="002550F7"/>
    <w:rsid w:val="00255226"/>
    <w:rsid w:val="002554D4"/>
    <w:rsid w:val="002554FA"/>
    <w:rsid w:val="002558E7"/>
    <w:rsid w:val="00256978"/>
    <w:rsid w:val="00256B0A"/>
    <w:rsid w:val="00257778"/>
    <w:rsid w:val="00257D7D"/>
    <w:rsid w:val="002600C9"/>
    <w:rsid w:val="0026035C"/>
    <w:rsid w:val="002604E4"/>
    <w:rsid w:val="00260503"/>
    <w:rsid w:val="00260BB9"/>
    <w:rsid w:val="00260D1B"/>
    <w:rsid w:val="0026128F"/>
    <w:rsid w:val="0026136B"/>
    <w:rsid w:val="002616F0"/>
    <w:rsid w:val="00261D56"/>
    <w:rsid w:val="00261D9F"/>
    <w:rsid w:val="00261EE6"/>
    <w:rsid w:val="00262210"/>
    <w:rsid w:val="00262242"/>
    <w:rsid w:val="00262500"/>
    <w:rsid w:val="00262865"/>
    <w:rsid w:val="00262B5D"/>
    <w:rsid w:val="00262F3C"/>
    <w:rsid w:val="00263275"/>
    <w:rsid w:val="00263B05"/>
    <w:rsid w:val="00263ECC"/>
    <w:rsid w:val="00263ED1"/>
    <w:rsid w:val="00263F0C"/>
    <w:rsid w:val="00264237"/>
    <w:rsid w:val="0026424B"/>
    <w:rsid w:val="0026467C"/>
    <w:rsid w:val="00264BE9"/>
    <w:rsid w:val="002650CB"/>
    <w:rsid w:val="00265298"/>
    <w:rsid w:val="00265562"/>
    <w:rsid w:val="00265C82"/>
    <w:rsid w:val="00265EB0"/>
    <w:rsid w:val="0026625E"/>
    <w:rsid w:val="0026648A"/>
    <w:rsid w:val="00266A1E"/>
    <w:rsid w:val="00266DF3"/>
    <w:rsid w:val="002675B2"/>
    <w:rsid w:val="00267921"/>
    <w:rsid w:val="00267F79"/>
    <w:rsid w:val="00270280"/>
    <w:rsid w:val="002705C8"/>
    <w:rsid w:val="002709BD"/>
    <w:rsid w:val="00270D7C"/>
    <w:rsid w:val="002712BC"/>
    <w:rsid w:val="002714C2"/>
    <w:rsid w:val="002716F7"/>
    <w:rsid w:val="002718CB"/>
    <w:rsid w:val="002720B4"/>
    <w:rsid w:val="002722D8"/>
    <w:rsid w:val="0027292B"/>
    <w:rsid w:val="00272BE2"/>
    <w:rsid w:val="00272E9B"/>
    <w:rsid w:val="0027342B"/>
    <w:rsid w:val="00274094"/>
    <w:rsid w:val="00274C4C"/>
    <w:rsid w:val="002752B5"/>
    <w:rsid w:val="002755FF"/>
    <w:rsid w:val="00275771"/>
    <w:rsid w:val="00276143"/>
    <w:rsid w:val="002766B2"/>
    <w:rsid w:val="0027686E"/>
    <w:rsid w:val="00276C39"/>
    <w:rsid w:val="0027757E"/>
    <w:rsid w:val="00277678"/>
    <w:rsid w:val="00277D4C"/>
    <w:rsid w:val="00280768"/>
    <w:rsid w:val="00281149"/>
    <w:rsid w:val="00281BD2"/>
    <w:rsid w:val="00281F72"/>
    <w:rsid w:val="0028252A"/>
    <w:rsid w:val="00282647"/>
    <w:rsid w:val="00283734"/>
    <w:rsid w:val="00283E9B"/>
    <w:rsid w:val="0028444E"/>
    <w:rsid w:val="002846D9"/>
    <w:rsid w:val="0028492E"/>
    <w:rsid w:val="00284DBC"/>
    <w:rsid w:val="00285454"/>
    <w:rsid w:val="00285A66"/>
    <w:rsid w:val="002866EF"/>
    <w:rsid w:val="00286927"/>
    <w:rsid w:val="0028698C"/>
    <w:rsid w:val="00286A37"/>
    <w:rsid w:val="0028769C"/>
    <w:rsid w:val="00287CFD"/>
    <w:rsid w:val="00287E38"/>
    <w:rsid w:val="00287E6E"/>
    <w:rsid w:val="00290075"/>
    <w:rsid w:val="0029008E"/>
    <w:rsid w:val="0029041B"/>
    <w:rsid w:val="002906C9"/>
    <w:rsid w:val="00290973"/>
    <w:rsid w:val="00291074"/>
    <w:rsid w:val="00291318"/>
    <w:rsid w:val="00291B16"/>
    <w:rsid w:val="00292168"/>
    <w:rsid w:val="00292D57"/>
    <w:rsid w:val="00293D8C"/>
    <w:rsid w:val="002943A8"/>
    <w:rsid w:val="00294449"/>
    <w:rsid w:val="002945A7"/>
    <w:rsid w:val="00294C41"/>
    <w:rsid w:val="002954D7"/>
    <w:rsid w:val="0029598C"/>
    <w:rsid w:val="00296109"/>
    <w:rsid w:val="0029624D"/>
    <w:rsid w:val="002967E1"/>
    <w:rsid w:val="002969A1"/>
    <w:rsid w:val="00296C95"/>
    <w:rsid w:val="00296E53"/>
    <w:rsid w:val="0029749C"/>
    <w:rsid w:val="002975D8"/>
    <w:rsid w:val="002A06B2"/>
    <w:rsid w:val="002A0DC3"/>
    <w:rsid w:val="002A1DE5"/>
    <w:rsid w:val="002A2040"/>
    <w:rsid w:val="002A2050"/>
    <w:rsid w:val="002A2730"/>
    <w:rsid w:val="002A2E97"/>
    <w:rsid w:val="002A2FF2"/>
    <w:rsid w:val="002A33D0"/>
    <w:rsid w:val="002A3825"/>
    <w:rsid w:val="002A3A10"/>
    <w:rsid w:val="002A3B01"/>
    <w:rsid w:val="002A3FBC"/>
    <w:rsid w:val="002A4787"/>
    <w:rsid w:val="002A47D3"/>
    <w:rsid w:val="002A4A95"/>
    <w:rsid w:val="002A5528"/>
    <w:rsid w:val="002A575E"/>
    <w:rsid w:val="002A5CF8"/>
    <w:rsid w:val="002A607D"/>
    <w:rsid w:val="002A61BC"/>
    <w:rsid w:val="002A6213"/>
    <w:rsid w:val="002A6725"/>
    <w:rsid w:val="002A69C8"/>
    <w:rsid w:val="002A6A5D"/>
    <w:rsid w:val="002A6B37"/>
    <w:rsid w:val="002A70D3"/>
    <w:rsid w:val="002A740A"/>
    <w:rsid w:val="002A777C"/>
    <w:rsid w:val="002A7D7E"/>
    <w:rsid w:val="002A7EEA"/>
    <w:rsid w:val="002B035B"/>
    <w:rsid w:val="002B09C6"/>
    <w:rsid w:val="002B0E3E"/>
    <w:rsid w:val="002B0F4D"/>
    <w:rsid w:val="002B13C8"/>
    <w:rsid w:val="002B1D4E"/>
    <w:rsid w:val="002B21D7"/>
    <w:rsid w:val="002B24AE"/>
    <w:rsid w:val="002B2C11"/>
    <w:rsid w:val="002B2C88"/>
    <w:rsid w:val="002B3365"/>
    <w:rsid w:val="002B36AC"/>
    <w:rsid w:val="002B383E"/>
    <w:rsid w:val="002B3C3B"/>
    <w:rsid w:val="002B44E4"/>
    <w:rsid w:val="002B4A7F"/>
    <w:rsid w:val="002B4FC3"/>
    <w:rsid w:val="002B5156"/>
    <w:rsid w:val="002B548F"/>
    <w:rsid w:val="002B551A"/>
    <w:rsid w:val="002B629C"/>
    <w:rsid w:val="002B70CB"/>
    <w:rsid w:val="002B70D5"/>
    <w:rsid w:val="002B72CD"/>
    <w:rsid w:val="002B7E31"/>
    <w:rsid w:val="002C0B0A"/>
    <w:rsid w:val="002C0F78"/>
    <w:rsid w:val="002C15EA"/>
    <w:rsid w:val="002C15F6"/>
    <w:rsid w:val="002C2062"/>
    <w:rsid w:val="002C2141"/>
    <w:rsid w:val="002C34F0"/>
    <w:rsid w:val="002C37C6"/>
    <w:rsid w:val="002C481B"/>
    <w:rsid w:val="002C5399"/>
    <w:rsid w:val="002C55D5"/>
    <w:rsid w:val="002C59E3"/>
    <w:rsid w:val="002C5E03"/>
    <w:rsid w:val="002C6F6F"/>
    <w:rsid w:val="002C708D"/>
    <w:rsid w:val="002C7385"/>
    <w:rsid w:val="002C7B78"/>
    <w:rsid w:val="002C7F4F"/>
    <w:rsid w:val="002D0786"/>
    <w:rsid w:val="002D0BD1"/>
    <w:rsid w:val="002D12FE"/>
    <w:rsid w:val="002D1715"/>
    <w:rsid w:val="002D1CBE"/>
    <w:rsid w:val="002D1EAA"/>
    <w:rsid w:val="002D2B34"/>
    <w:rsid w:val="002D2BE5"/>
    <w:rsid w:val="002D2D20"/>
    <w:rsid w:val="002D2E17"/>
    <w:rsid w:val="002D30D2"/>
    <w:rsid w:val="002D3316"/>
    <w:rsid w:val="002D3887"/>
    <w:rsid w:val="002D38CD"/>
    <w:rsid w:val="002D3A4E"/>
    <w:rsid w:val="002D3AC4"/>
    <w:rsid w:val="002D3AEC"/>
    <w:rsid w:val="002D4462"/>
    <w:rsid w:val="002D4B6C"/>
    <w:rsid w:val="002D5030"/>
    <w:rsid w:val="002D53F8"/>
    <w:rsid w:val="002D5CD2"/>
    <w:rsid w:val="002D5DCF"/>
    <w:rsid w:val="002D5F43"/>
    <w:rsid w:val="002D60C9"/>
    <w:rsid w:val="002D6114"/>
    <w:rsid w:val="002D625C"/>
    <w:rsid w:val="002D704C"/>
    <w:rsid w:val="002D7571"/>
    <w:rsid w:val="002D797E"/>
    <w:rsid w:val="002E05AA"/>
    <w:rsid w:val="002E05DA"/>
    <w:rsid w:val="002E06BE"/>
    <w:rsid w:val="002E09ED"/>
    <w:rsid w:val="002E0DC0"/>
    <w:rsid w:val="002E14B1"/>
    <w:rsid w:val="002E1592"/>
    <w:rsid w:val="002E1DA3"/>
    <w:rsid w:val="002E27DA"/>
    <w:rsid w:val="002E2AD3"/>
    <w:rsid w:val="002E2BA5"/>
    <w:rsid w:val="002E3505"/>
    <w:rsid w:val="002E4AA4"/>
    <w:rsid w:val="002E4D71"/>
    <w:rsid w:val="002E4DA1"/>
    <w:rsid w:val="002E5BBD"/>
    <w:rsid w:val="002E612C"/>
    <w:rsid w:val="002E69D5"/>
    <w:rsid w:val="002E6DBA"/>
    <w:rsid w:val="002E7043"/>
    <w:rsid w:val="002E7081"/>
    <w:rsid w:val="002E7472"/>
    <w:rsid w:val="002E7748"/>
    <w:rsid w:val="002E7AF4"/>
    <w:rsid w:val="002E7FF3"/>
    <w:rsid w:val="002F0062"/>
    <w:rsid w:val="002F0907"/>
    <w:rsid w:val="002F0E79"/>
    <w:rsid w:val="002F1217"/>
    <w:rsid w:val="002F15B3"/>
    <w:rsid w:val="002F2928"/>
    <w:rsid w:val="002F2AD3"/>
    <w:rsid w:val="002F2E89"/>
    <w:rsid w:val="002F3295"/>
    <w:rsid w:val="002F344E"/>
    <w:rsid w:val="002F3641"/>
    <w:rsid w:val="002F3655"/>
    <w:rsid w:val="002F36CD"/>
    <w:rsid w:val="002F3A0F"/>
    <w:rsid w:val="002F3DF1"/>
    <w:rsid w:val="002F5416"/>
    <w:rsid w:val="002F5D72"/>
    <w:rsid w:val="002F6128"/>
    <w:rsid w:val="002F66E5"/>
    <w:rsid w:val="002F67BD"/>
    <w:rsid w:val="002F6B4C"/>
    <w:rsid w:val="002F6ED3"/>
    <w:rsid w:val="002F72EE"/>
    <w:rsid w:val="002F7C2B"/>
    <w:rsid w:val="0030053C"/>
    <w:rsid w:val="003015C4"/>
    <w:rsid w:val="003018C5"/>
    <w:rsid w:val="003018D4"/>
    <w:rsid w:val="00301F0C"/>
    <w:rsid w:val="00301FDA"/>
    <w:rsid w:val="003022B8"/>
    <w:rsid w:val="003028A1"/>
    <w:rsid w:val="003029A5"/>
    <w:rsid w:val="00302A44"/>
    <w:rsid w:val="0030359D"/>
    <w:rsid w:val="003036AF"/>
    <w:rsid w:val="00303CBE"/>
    <w:rsid w:val="003040F8"/>
    <w:rsid w:val="0030444D"/>
    <w:rsid w:val="00304AE9"/>
    <w:rsid w:val="00304B7B"/>
    <w:rsid w:val="00305295"/>
    <w:rsid w:val="003055E4"/>
    <w:rsid w:val="00305985"/>
    <w:rsid w:val="00305E88"/>
    <w:rsid w:val="00305FD7"/>
    <w:rsid w:val="0030668B"/>
    <w:rsid w:val="00306962"/>
    <w:rsid w:val="003069EF"/>
    <w:rsid w:val="00306DDE"/>
    <w:rsid w:val="00307323"/>
    <w:rsid w:val="003073AF"/>
    <w:rsid w:val="00307858"/>
    <w:rsid w:val="00310251"/>
    <w:rsid w:val="00310596"/>
    <w:rsid w:val="0031135D"/>
    <w:rsid w:val="00311A58"/>
    <w:rsid w:val="00311C9F"/>
    <w:rsid w:val="00311D47"/>
    <w:rsid w:val="00312042"/>
    <w:rsid w:val="003120B6"/>
    <w:rsid w:val="003128CD"/>
    <w:rsid w:val="00312E68"/>
    <w:rsid w:val="0031360D"/>
    <w:rsid w:val="003149A2"/>
    <w:rsid w:val="00314BEF"/>
    <w:rsid w:val="00314EA5"/>
    <w:rsid w:val="00314F3F"/>
    <w:rsid w:val="0031576C"/>
    <w:rsid w:val="00315C36"/>
    <w:rsid w:val="00316015"/>
    <w:rsid w:val="003165D1"/>
    <w:rsid w:val="0031667F"/>
    <w:rsid w:val="00316762"/>
    <w:rsid w:val="003167FE"/>
    <w:rsid w:val="003169D4"/>
    <w:rsid w:val="00316F82"/>
    <w:rsid w:val="00317157"/>
    <w:rsid w:val="00317605"/>
    <w:rsid w:val="0031763E"/>
    <w:rsid w:val="00317772"/>
    <w:rsid w:val="00317B68"/>
    <w:rsid w:val="00317CDD"/>
    <w:rsid w:val="00320580"/>
    <w:rsid w:val="00321C51"/>
    <w:rsid w:val="00321D32"/>
    <w:rsid w:val="00322543"/>
    <w:rsid w:val="00322818"/>
    <w:rsid w:val="003229B0"/>
    <w:rsid w:val="0032347E"/>
    <w:rsid w:val="00323937"/>
    <w:rsid w:val="00323D91"/>
    <w:rsid w:val="00323EA8"/>
    <w:rsid w:val="00324534"/>
    <w:rsid w:val="003252DA"/>
    <w:rsid w:val="00325817"/>
    <w:rsid w:val="00325853"/>
    <w:rsid w:val="00325942"/>
    <w:rsid w:val="003265F8"/>
    <w:rsid w:val="00326AA2"/>
    <w:rsid w:val="00327281"/>
    <w:rsid w:val="003275A1"/>
    <w:rsid w:val="00327A42"/>
    <w:rsid w:val="00330EBD"/>
    <w:rsid w:val="00331863"/>
    <w:rsid w:val="003319CF"/>
    <w:rsid w:val="00331C0A"/>
    <w:rsid w:val="00332130"/>
    <w:rsid w:val="00332A36"/>
    <w:rsid w:val="00333299"/>
    <w:rsid w:val="0033411A"/>
    <w:rsid w:val="00334496"/>
    <w:rsid w:val="003345C3"/>
    <w:rsid w:val="003348F5"/>
    <w:rsid w:val="00334962"/>
    <w:rsid w:val="00334CC9"/>
    <w:rsid w:val="003350A2"/>
    <w:rsid w:val="0033515C"/>
    <w:rsid w:val="0033534C"/>
    <w:rsid w:val="003353B7"/>
    <w:rsid w:val="00335E61"/>
    <w:rsid w:val="003364C2"/>
    <w:rsid w:val="00336850"/>
    <w:rsid w:val="00336900"/>
    <w:rsid w:val="0033698A"/>
    <w:rsid w:val="00337C98"/>
    <w:rsid w:val="00337CB8"/>
    <w:rsid w:val="00337F45"/>
    <w:rsid w:val="0034008E"/>
    <w:rsid w:val="0034018C"/>
    <w:rsid w:val="00340F5B"/>
    <w:rsid w:val="00341A1C"/>
    <w:rsid w:val="00341BD0"/>
    <w:rsid w:val="0034224F"/>
    <w:rsid w:val="00342F24"/>
    <w:rsid w:val="00343542"/>
    <w:rsid w:val="003437CB"/>
    <w:rsid w:val="003446EB"/>
    <w:rsid w:val="0034483D"/>
    <w:rsid w:val="0034487F"/>
    <w:rsid w:val="003453C7"/>
    <w:rsid w:val="003460EE"/>
    <w:rsid w:val="003463AC"/>
    <w:rsid w:val="003466A8"/>
    <w:rsid w:val="00346799"/>
    <w:rsid w:val="0034691C"/>
    <w:rsid w:val="00347176"/>
    <w:rsid w:val="0034767E"/>
    <w:rsid w:val="00347C3C"/>
    <w:rsid w:val="00350840"/>
    <w:rsid w:val="0035115E"/>
    <w:rsid w:val="003511B6"/>
    <w:rsid w:val="00351510"/>
    <w:rsid w:val="00351905"/>
    <w:rsid w:val="00351CB9"/>
    <w:rsid w:val="0035267E"/>
    <w:rsid w:val="00352725"/>
    <w:rsid w:val="00352992"/>
    <w:rsid w:val="00352D43"/>
    <w:rsid w:val="00353142"/>
    <w:rsid w:val="003532FC"/>
    <w:rsid w:val="00353D09"/>
    <w:rsid w:val="00353F6A"/>
    <w:rsid w:val="00354C45"/>
    <w:rsid w:val="0035509B"/>
    <w:rsid w:val="003556C1"/>
    <w:rsid w:val="00355B39"/>
    <w:rsid w:val="003564C5"/>
    <w:rsid w:val="0035665C"/>
    <w:rsid w:val="00356896"/>
    <w:rsid w:val="00357000"/>
    <w:rsid w:val="003575F3"/>
    <w:rsid w:val="003576FB"/>
    <w:rsid w:val="0035782E"/>
    <w:rsid w:val="00357E0C"/>
    <w:rsid w:val="00357E1C"/>
    <w:rsid w:val="003605AE"/>
    <w:rsid w:val="00361561"/>
    <w:rsid w:val="00361920"/>
    <w:rsid w:val="0036195F"/>
    <w:rsid w:val="00361B6A"/>
    <w:rsid w:val="0036229C"/>
    <w:rsid w:val="003625EA"/>
    <w:rsid w:val="003626DF"/>
    <w:rsid w:val="00362720"/>
    <w:rsid w:val="00362B20"/>
    <w:rsid w:val="0036309D"/>
    <w:rsid w:val="00363889"/>
    <w:rsid w:val="00364DEA"/>
    <w:rsid w:val="00365183"/>
    <w:rsid w:val="00365597"/>
    <w:rsid w:val="00365B93"/>
    <w:rsid w:val="00365C0A"/>
    <w:rsid w:val="00365D05"/>
    <w:rsid w:val="003662A9"/>
    <w:rsid w:val="00366D38"/>
    <w:rsid w:val="00367481"/>
    <w:rsid w:val="003675DE"/>
    <w:rsid w:val="003678D0"/>
    <w:rsid w:val="003700C7"/>
    <w:rsid w:val="003704AF"/>
    <w:rsid w:val="00370A5D"/>
    <w:rsid w:val="00370C88"/>
    <w:rsid w:val="00370D52"/>
    <w:rsid w:val="00370E6E"/>
    <w:rsid w:val="00370E9F"/>
    <w:rsid w:val="00371325"/>
    <w:rsid w:val="00371374"/>
    <w:rsid w:val="003718F2"/>
    <w:rsid w:val="00371C92"/>
    <w:rsid w:val="00371D9D"/>
    <w:rsid w:val="00371DD2"/>
    <w:rsid w:val="00371F07"/>
    <w:rsid w:val="00371FA0"/>
    <w:rsid w:val="00371FC4"/>
    <w:rsid w:val="00372C8F"/>
    <w:rsid w:val="00372F7B"/>
    <w:rsid w:val="003730B3"/>
    <w:rsid w:val="00373A3D"/>
    <w:rsid w:val="00373F4B"/>
    <w:rsid w:val="0037402C"/>
    <w:rsid w:val="0037472F"/>
    <w:rsid w:val="00374B48"/>
    <w:rsid w:val="00374BCB"/>
    <w:rsid w:val="00374D7E"/>
    <w:rsid w:val="00375293"/>
    <w:rsid w:val="003755B1"/>
    <w:rsid w:val="00375AB1"/>
    <w:rsid w:val="00375E44"/>
    <w:rsid w:val="003763E3"/>
    <w:rsid w:val="0037703C"/>
    <w:rsid w:val="003772AF"/>
    <w:rsid w:val="00377D82"/>
    <w:rsid w:val="00380204"/>
    <w:rsid w:val="00380284"/>
    <w:rsid w:val="00381433"/>
    <w:rsid w:val="003814FF"/>
    <w:rsid w:val="00381675"/>
    <w:rsid w:val="0038175E"/>
    <w:rsid w:val="00381AA2"/>
    <w:rsid w:val="00381B7F"/>
    <w:rsid w:val="00381E5D"/>
    <w:rsid w:val="00382213"/>
    <w:rsid w:val="00382339"/>
    <w:rsid w:val="0038327E"/>
    <w:rsid w:val="00383393"/>
    <w:rsid w:val="00383F4C"/>
    <w:rsid w:val="00383F8A"/>
    <w:rsid w:val="00383FCD"/>
    <w:rsid w:val="0038557B"/>
    <w:rsid w:val="003855D5"/>
    <w:rsid w:val="0038614F"/>
    <w:rsid w:val="0038626F"/>
    <w:rsid w:val="00386984"/>
    <w:rsid w:val="003869C2"/>
    <w:rsid w:val="003869DC"/>
    <w:rsid w:val="00386A78"/>
    <w:rsid w:val="00386B80"/>
    <w:rsid w:val="00386EAC"/>
    <w:rsid w:val="00386F6C"/>
    <w:rsid w:val="00391344"/>
    <w:rsid w:val="00391FD0"/>
    <w:rsid w:val="0039279C"/>
    <w:rsid w:val="00392B6E"/>
    <w:rsid w:val="00392F76"/>
    <w:rsid w:val="003933FD"/>
    <w:rsid w:val="00393AD2"/>
    <w:rsid w:val="00393BA1"/>
    <w:rsid w:val="00393FA9"/>
    <w:rsid w:val="0039417B"/>
    <w:rsid w:val="00394B1C"/>
    <w:rsid w:val="00394B7B"/>
    <w:rsid w:val="00395A1F"/>
    <w:rsid w:val="00395B47"/>
    <w:rsid w:val="003962F2"/>
    <w:rsid w:val="0039699B"/>
    <w:rsid w:val="00396A28"/>
    <w:rsid w:val="00396AE2"/>
    <w:rsid w:val="00396DE2"/>
    <w:rsid w:val="0039763F"/>
    <w:rsid w:val="00397FA5"/>
    <w:rsid w:val="003A0610"/>
    <w:rsid w:val="003A0986"/>
    <w:rsid w:val="003A0B62"/>
    <w:rsid w:val="003A0E4F"/>
    <w:rsid w:val="003A133D"/>
    <w:rsid w:val="003A19D5"/>
    <w:rsid w:val="003A2134"/>
    <w:rsid w:val="003A2538"/>
    <w:rsid w:val="003A2AE5"/>
    <w:rsid w:val="003A30D8"/>
    <w:rsid w:val="003A322D"/>
    <w:rsid w:val="003A3CEE"/>
    <w:rsid w:val="003A3FA0"/>
    <w:rsid w:val="003A4FEB"/>
    <w:rsid w:val="003A51CE"/>
    <w:rsid w:val="003A5AF2"/>
    <w:rsid w:val="003A5D04"/>
    <w:rsid w:val="003A5DC7"/>
    <w:rsid w:val="003A69CA"/>
    <w:rsid w:val="003A6BC3"/>
    <w:rsid w:val="003A75EB"/>
    <w:rsid w:val="003A7838"/>
    <w:rsid w:val="003A7E33"/>
    <w:rsid w:val="003B0582"/>
    <w:rsid w:val="003B0877"/>
    <w:rsid w:val="003B129A"/>
    <w:rsid w:val="003B192E"/>
    <w:rsid w:val="003B2159"/>
    <w:rsid w:val="003B2AB3"/>
    <w:rsid w:val="003B2D8F"/>
    <w:rsid w:val="003B319B"/>
    <w:rsid w:val="003B3D60"/>
    <w:rsid w:val="003B488E"/>
    <w:rsid w:val="003B48BF"/>
    <w:rsid w:val="003B4C84"/>
    <w:rsid w:val="003B550C"/>
    <w:rsid w:val="003B5B61"/>
    <w:rsid w:val="003B60A1"/>
    <w:rsid w:val="003B62C4"/>
    <w:rsid w:val="003B63B4"/>
    <w:rsid w:val="003B6501"/>
    <w:rsid w:val="003B652E"/>
    <w:rsid w:val="003B6941"/>
    <w:rsid w:val="003B7080"/>
    <w:rsid w:val="003B72E6"/>
    <w:rsid w:val="003B7925"/>
    <w:rsid w:val="003B7C4A"/>
    <w:rsid w:val="003C0026"/>
    <w:rsid w:val="003C075B"/>
    <w:rsid w:val="003C08B7"/>
    <w:rsid w:val="003C0B99"/>
    <w:rsid w:val="003C1445"/>
    <w:rsid w:val="003C1619"/>
    <w:rsid w:val="003C242D"/>
    <w:rsid w:val="003C2CBE"/>
    <w:rsid w:val="003C2D38"/>
    <w:rsid w:val="003C3FDA"/>
    <w:rsid w:val="003C53C4"/>
    <w:rsid w:val="003C5640"/>
    <w:rsid w:val="003C569F"/>
    <w:rsid w:val="003C5E5A"/>
    <w:rsid w:val="003C6502"/>
    <w:rsid w:val="003C6D25"/>
    <w:rsid w:val="003C6EDE"/>
    <w:rsid w:val="003C73FB"/>
    <w:rsid w:val="003C7487"/>
    <w:rsid w:val="003C7A07"/>
    <w:rsid w:val="003C7C14"/>
    <w:rsid w:val="003C7D78"/>
    <w:rsid w:val="003D021C"/>
    <w:rsid w:val="003D0350"/>
    <w:rsid w:val="003D039E"/>
    <w:rsid w:val="003D10D7"/>
    <w:rsid w:val="003D1229"/>
    <w:rsid w:val="003D17B3"/>
    <w:rsid w:val="003D1911"/>
    <w:rsid w:val="003D1F99"/>
    <w:rsid w:val="003D2608"/>
    <w:rsid w:val="003D31F6"/>
    <w:rsid w:val="003D33F2"/>
    <w:rsid w:val="003D3CBF"/>
    <w:rsid w:val="003D3CFE"/>
    <w:rsid w:val="003D3E47"/>
    <w:rsid w:val="003D4184"/>
    <w:rsid w:val="003D4307"/>
    <w:rsid w:val="003D462C"/>
    <w:rsid w:val="003D4647"/>
    <w:rsid w:val="003D471D"/>
    <w:rsid w:val="003D5717"/>
    <w:rsid w:val="003D57E4"/>
    <w:rsid w:val="003D5FD8"/>
    <w:rsid w:val="003D6000"/>
    <w:rsid w:val="003D63F3"/>
    <w:rsid w:val="003D6645"/>
    <w:rsid w:val="003D75EA"/>
    <w:rsid w:val="003E03B8"/>
    <w:rsid w:val="003E043B"/>
    <w:rsid w:val="003E0D4E"/>
    <w:rsid w:val="003E1639"/>
    <w:rsid w:val="003E1B2F"/>
    <w:rsid w:val="003E1DAD"/>
    <w:rsid w:val="003E1E20"/>
    <w:rsid w:val="003E2736"/>
    <w:rsid w:val="003E2CA6"/>
    <w:rsid w:val="003E3497"/>
    <w:rsid w:val="003E3620"/>
    <w:rsid w:val="003E3E39"/>
    <w:rsid w:val="003E5239"/>
    <w:rsid w:val="003E5293"/>
    <w:rsid w:val="003E54FB"/>
    <w:rsid w:val="003E5BBE"/>
    <w:rsid w:val="003E5C24"/>
    <w:rsid w:val="003E6003"/>
    <w:rsid w:val="003E62E2"/>
    <w:rsid w:val="003E6520"/>
    <w:rsid w:val="003E67C6"/>
    <w:rsid w:val="003E68F2"/>
    <w:rsid w:val="003E70CE"/>
    <w:rsid w:val="003F0015"/>
    <w:rsid w:val="003F02D5"/>
    <w:rsid w:val="003F068E"/>
    <w:rsid w:val="003F119D"/>
    <w:rsid w:val="003F12D7"/>
    <w:rsid w:val="003F1400"/>
    <w:rsid w:val="003F17C4"/>
    <w:rsid w:val="003F2341"/>
    <w:rsid w:val="003F23FD"/>
    <w:rsid w:val="003F321D"/>
    <w:rsid w:val="003F38D0"/>
    <w:rsid w:val="003F38ED"/>
    <w:rsid w:val="003F3BAB"/>
    <w:rsid w:val="003F3CF4"/>
    <w:rsid w:val="003F4035"/>
    <w:rsid w:val="003F42FB"/>
    <w:rsid w:val="003F4603"/>
    <w:rsid w:val="003F46C8"/>
    <w:rsid w:val="003F4D43"/>
    <w:rsid w:val="003F6178"/>
    <w:rsid w:val="003F67B5"/>
    <w:rsid w:val="003F7285"/>
    <w:rsid w:val="003F735E"/>
    <w:rsid w:val="003F793F"/>
    <w:rsid w:val="003F7B39"/>
    <w:rsid w:val="0040064D"/>
    <w:rsid w:val="004009C4"/>
    <w:rsid w:val="00400D30"/>
    <w:rsid w:val="00400E4A"/>
    <w:rsid w:val="00400F45"/>
    <w:rsid w:val="00401335"/>
    <w:rsid w:val="004016C3"/>
    <w:rsid w:val="004017D3"/>
    <w:rsid w:val="00401CF8"/>
    <w:rsid w:val="0040230A"/>
    <w:rsid w:val="004023E9"/>
    <w:rsid w:val="00402443"/>
    <w:rsid w:val="00402A51"/>
    <w:rsid w:val="00402B7F"/>
    <w:rsid w:val="00402D6F"/>
    <w:rsid w:val="00403CBA"/>
    <w:rsid w:val="004044B4"/>
    <w:rsid w:val="004047D9"/>
    <w:rsid w:val="00404852"/>
    <w:rsid w:val="00404A28"/>
    <w:rsid w:val="00405425"/>
    <w:rsid w:val="004056A6"/>
    <w:rsid w:val="00405D92"/>
    <w:rsid w:val="00405D96"/>
    <w:rsid w:val="00406352"/>
    <w:rsid w:val="004078A5"/>
    <w:rsid w:val="00407DF5"/>
    <w:rsid w:val="00407E55"/>
    <w:rsid w:val="00407F4E"/>
    <w:rsid w:val="00410030"/>
    <w:rsid w:val="004107FB"/>
    <w:rsid w:val="00410907"/>
    <w:rsid w:val="00410B38"/>
    <w:rsid w:val="004117AA"/>
    <w:rsid w:val="00411B8C"/>
    <w:rsid w:val="0041205B"/>
    <w:rsid w:val="00412090"/>
    <w:rsid w:val="004126AB"/>
    <w:rsid w:val="00412993"/>
    <w:rsid w:val="00412CC0"/>
    <w:rsid w:val="004131E7"/>
    <w:rsid w:val="004132B5"/>
    <w:rsid w:val="00413468"/>
    <w:rsid w:val="00413FA4"/>
    <w:rsid w:val="00414151"/>
    <w:rsid w:val="00414A1B"/>
    <w:rsid w:val="00415559"/>
    <w:rsid w:val="0041578D"/>
    <w:rsid w:val="004157D6"/>
    <w:rsid w:val="004158B7"/>
    <w:rsid w:val="0041603D"/>
    <w:rsid w:val="0041737A"/>
    <w:rsid w:val="0041791C"/>
    <w:rsid w:val="004179DB"/>
    <w:rsid w:val="00417E31"/>
    <w:rsid w:val="00420191"/>
    <w:rsid w:val="00420320"/>
    <w:rsid w:val="00420351"/>
    <w:rsid w:val="00421109"/>
    <w:rsid w:val="004212CF"/>
    <w:rsid w:val="00421356"/>
    <w:rsid w:val="00421478"/>
    <w:rsid w:val="004215AB"/>
    <w:rsid w:val="0042216C"/>
    <w:rsid w:val="004227EC"/>
    <w:rsid w:val="00422BDC"/>
    <w:rsid w:val="004231B9"/>
    <w:rsid w:val="004231BB"/>
    <w:rsid w:val="00423255"/>
    <w:rsid w:val="00423666"/>
    <w:rsid w:val="00423938"/>
    <w:rsid w:val="00423A1D"/>
    <w:rsid w:val="00423B2F"/>
    <w:rsid w:val="00423C2E"/>
    <w:rsid w:val="004242CA"/>
    <w:rsid w:val="004244F0"/>
    <w:rsid w:val="004245A9"/>
    <w:rsid w:val="00424C2D"/>
    <w:rsid w:val="0042522F"/>
    <w:rsid w:val="00425852"/>
    <w:rsid w:val="004258D8"/>
    <w:rsid w:val="00425C02"/>
    <w:rsid w:val="004266B9"/>
    <w:rsid w:val="00426FF6"/>
    <w:rsid w:val="004277BD"/>
    <w:rsid w:val="00427964"/>
    <w:rsid w:val="00427998"/>
    <w:rsid w:val="00430420"/>
    <w:rsid w:val="004307C5"/>
    <w:rsid w:val="00430CA3"/>
    <w:rsid w:val="004314F1"/>
    <w:rsid w:val="004314FB"/>
    <w:rsid w:val="00431CA5"/>
    <w:rsid w:val="00431D67"/>
    <w:rsid w:val="00431FE7"/>
    <w:rsid w:val="00432A69"/>
    <w:rsid w:val="00434711"/>
    <w:rsid w:val="00434A20"/>
    <w:rsid w:val="00434F8E"/>
    <w:rsid w:val="004350A5"/>
    <w:rsid w:val="00435CB3"/>
    <w:rsid w:val="00435D24"/>
    <w:rsid w:val="00436183"/>
    <w:rsid w:val="00436DC1"/>
    <w:rsid w:val="0043742F"/>
    <w:rsid w:val="00437EA5"/>
    <w:rsid w:val="00437EAF"/>
    <w:rsid w:val="00440800"/>
    <w:rsid w:val="00440959"/>
    <w:rsid w:val="00440D4B"/>
    <w:rsid w:val="0044129B"/>
    <w:rsid w:val="0044145A"/>
    <w:rsid w:val="00441730"/>
    <w:rsid w:val="00441A22"/>
    <w:rsid w:val="00441EEF"/>
    <w:rsid w:val="00441F66"/>
    <w:rsid w:val="0044217D"/>
    <w:rsid w:val="00442809"/>
    <w:rsid w:val="0044296F"/>
    <w:rsid w:val="00442B0E"/>
    <w:rsid w:val="00442FF8"/>
    <w:rsid w:val="004433A7"/>
    <w:rsid w:val="00444D28"/>
    <w:rsid w:val="00444F3F"/>
    <w:rsid w:val="00444FBA"/>
    <w:rsid w:val="0044509B"/>
    <w:rsid w:val="004451B2"/>
    <w:rsid w:val="004453BA"/>
    <w:rsid w:val="00445540"/>
    <w:rsid w:val="00445BB8"/>
    <w:rsid w:val="00445EC7"/>
    <w:rsid w:val="00445F28"/>
    <w:rsid w:val="00447323"/>
    <w:rsid w:val="0044776E"/>
    <w:rsid w:val="0045059A"/>
    <w:rsid w:val="00450680"/>
    <w:rsid w:val="00450C04"/>
    <w:rsid w:val="0045173F"/>
    <w:rsid w:val="0045223B"/>
    <w:rsid w:val="00452964"/>
    <w:rsid w:val="0045389A"/>
    <w:rsid w:val="00453C4F"/>
    <w:rsid w:val="0045491B"/>
    <w:rsid w:val="00454DFA"/>
    <w:rsid w:val="0045500C"/>
    <w:rsid w:val="004550E2"/>
    <w:rsid w:val="00455E6E"/>
    <w:rsid w:val="00455F6C"/>
    <w:rsid w:val="004568BF"/>
    <w:rsid w:val="00456C94"/>
    <w:rsid w:val="00457183"/>
    <w:rsid w:val="0045771B"/>
    <w:rsid w:val="00457793"/>
    <w:rsid w:val="00460BCB"/>
    <w:rsid w:val="00460EC4"/>
    <w:rsid w:val="00461009"/>
    <w:rsid w:val="004613DB"/>
    <w:rsid w:val="004615B7"/>
    <w:rsid w:val="00461661"/>
    <w:rsid w:val="00461720"/>
    <w:rsid w:val="00461829"/>
    <w:rsid w:val="004634D7"/>
    <w:rsid w:val="00463D25"/>
    <w:rsid w:val="0046427A"/>
    <w:rsid w:val="0046467E"/>
    <w:rsid w:val="00464E12"/>
    <w:rsid w:val="00465183"/>
    <w:rsid w:val="004659BB"/>
    <w:rsid w:val="00465A8D"/>
    <w:rsid w:val="00465FA1"/>
    <w:rsid w:val="00465FF1"/>
    <w:rsid w:val="004660B9"/>
    <w:rsid w:val="00466ED1"/>
    <w:rsid w:val="004670B6"/>
    <w:rsid w:val="0046726A"/>
    <w:rsid w:val="0046735D"/>
    <w:rsid w:val="0047014B"/>
    <w:rsid w:val="004704B5"/>
    <w:rsid w:val="004706EA"/>
    <w:rsid w:val="00470838"/>
    <w:rsid w:val="00470B73"/>
    <w:rsid w:val="00471701"/>
    <w:rsid w:val="0047186B"/>
    <w:rsid w:val="0047206A"/>
    <w:rsid w:val="00472924"/>
    <w:rsid w:val="00473099"/>
    <w:rsid w:val="00473518"/>
    <w:rsid w:val="004736DE"/>
    <w:rsid w:val="00474240"/>
    <w:rsid w:val="0047493C"/>
    <w:rsid w:val="00474A6E"/>
    <w:rsid w:val="00474DDC"/>
    <w:rsid w:val="004765B0"/>
    <w:rsid w:val="00476CC7"/>
    <w:rsid w:val="0047766B"/>
    <w:rsid w:val="004778E6"/>
    <w:rsid w:val="0048031E"/>
    <w:rsid w:val="0048048E"/>
    <w:rsid w:val="004817F0"/>
    <w:rsid w:val="004818BD"/>
    <w:rsid w:val="00481C71"/>
    <w:rsid w:val="00482402"/>
    <w:rsid w:val="00482FC7"/>
    <w:rsid w:val="004838D4"/>
    <w:rsid w:val="00483A78"/>
    <w:rsid w:val="00483BC2"/>
    <w:rsid w:val="00483E03"/>
    <w:rsid w:val="004840F2"/>
    <w:rsid w:val="0048464C"/>
    <w:rsid w:val="00484A3F"/>
    <w:rsid w:val="00484BAC"/>
    <w:rsid w:val="00484BB7"/>
    <w:rsid w:val="0048554B"/>
    <w:rsid w:val="00485ADD"/>
    <w:rsid w:val="00485E6E"/>
    <w:rsid w:val="00485EA2"/>
    <w:rsid w:val="0048624C"/>
    <w:rsid w:val="004865C2"/>
    <w:rsid w:val="00486F82"/>
    <w:rsid w:val="004871C2"/>
    <w:rsid w:val="004871E7"/>
    <w:rsid w:val="0048745D"/>
    <w:rsid w:val="004877F8"/>
    <w:rsid w:val="00487E70"/>
    <w:rsid w:val="004903C2"/>
    <w:rsid w:val="004917C6"/>
    <w:rsid w:val="00491B16"/>
    <w:rsid w:val="00491E0C"/>
    <w:rsid w:val="00491F28"/>
    <w:rsid w:val="00491F82"/>
    <w:rsid w:val="004920C9"/>
    <w:rsid w:val="00492403"/>
    <w:rsid w:val="00492CC8"/>
    <w:rsid w:val="00492FAD"/>
    <w:rsid w:val="00493283"/>
    <w:rsid w:val="0049374D"/>
    <w:rsid w:val="004939A0"/>
    <w:rsid w:val="00493B0C"/>
    <w:rsid w:val="00493F80"/>
    <w:rsid w:val="00494D81"/>
    <w:rsid w:val="004956D1"/>
    <w:rsid w:val="0049578B"/>
    <w:rsid w:val="004958EF"/>
    <w:rsid w:val="00495D3C"/>
    <w:rsid w:val="00496D96"/>
    <w:rsid w:val="00497209"/>
    <w:rsid w:val="004974EF"/>
    <w:rsid w:val="004976CB"/>
    <w:rsid w:val="004A058F"/>
    <w:rsid w:val="004A0794"/>
    <w:rsid w:val="004A0E4D"/>
    <w:rsid w:val="004A1D7E"/>
    <w:rsid w:val="004A1E12"/>
    <w:rsid w:val="004A2DCC"/>
    <w:rsid w:val="004A3402"/>
    <w:rsid w:val="004A34DF"/>
    <w:rsid w:val="004A37DB"/>
    <w:rsid w:val="004A3B1F"/>
    <w:rsid w:val="004A3E5D"/>
    <w:rsid w:val="004A43CC"/>
    <w:rsid w:val="004A448E"/>
    <w:rsid w:val="004A4E73"/>
    <w:rsid w:val="004A585B"/>
    <w:rsid w:val="004A6561"/>
    <w:rsid w:val="004A69D7"/>
    <w:rsid w:val="004A6D3E"/>
    <w:rsid w:val="004A6F86"/>
    <w:rsid w:val="004A7662"/>
    <w:rsid w:val="004A7698"/>
    <w:rsid w:val="004A7A77"/>
    <w:rsid w:val="004A7B38"/>
    <w:rsid w:val="004B0298"/>
    <w:rsid w:val="004B0812"/>
    <w:rsid w:val="004B098B"/>
    <w:rsid w:val="004B0B70"/>
    <w:rsid w:val="004B0EEA"/>
    <w:rsid w:val="004B1053"/>
    <w:rsid w:val="004B21CE"/>
    <w:rsid w:val="004B2498"/>
    <w:rsid w:val="004B3460"/>
    <w:rsid w:val="004B4506"/>
    <w:rsid w:val="004B47BE"/>
    <w:rsid w:val="004B4D08"/>
    <w:rsid w:val="004B4E9D"/>
    <w:rsid w:val="004B500A"/>
    <w:rsid w:val="004B594A"/>
    <w:rsid w:val="004B59C8"/>
    <w:rsid w:val="004B628B"/>
    <w:rsid w:val="004B6905"/>
    <w:rsid w:val="004B699C"/>
    <w:rsid w:val="004B6DD3"/>
    <w:rsid w:val="004B76C5"/>
    <w:rsid w:val="004C0113"/>
    <w:rsid w:val="004C0178"/>
    <w:rsid w:val="004C01BD"/>
    <w:rsid w:val="004C065F"/>
    <w:rsid w:val="004C07A2"/>
    <w:rsid w:val="004C0D98"/>
    <w:rsid w:val="004C0FD0"/>
    <w:rsid w:val="004C2495"/>
    <w:rsid w:val="004C250A"/>
    <w:rsid w:val="004C273E"/>
    <w:rsid w:val="004C29F1"/>
    <w:rsid w:val="004C2A3D"/>
    <w:rsid w:val="004C2C1D"/>
    <w:rsid w:val="004C2E53"/>
    <w:rsid w:val="004C32BF"/>
    <w:rsid w:val="004C3737"/>
    <w:rsid w:val="004C4471"/>
    <w:rsid w:val="004C450A"/>
    <w:rsid w:val="004C4583"/>
    <w:rsid w:val="004C4C0F"/>
    <w:rsid w:val="004C4E1C"/>
    <w:rsid w:val="004C4EC4"/>
    <w:rsid w:val="004C51CD"/>
    <w:rsid w:val="004C5C3B"/>
    <w:rsid w:val="004C67A4"/>
    <w:rsid w:val="004C6B8A"/>
    <w:rsid w:val="004C6F49"/>
    <w:rsid w:val="004C726D"/>
    <w:rsid w:val="004C7825"/>
    <w:rsid w:val="004D023A"/>
    <w:rsid w:val="004D0431"/>
    <w:rsid w:val="004D054A"/>
    <w:rsid w:val="004D07A9"/>
    <w:rsid w:val="004D07F2"/>
    <w:rsid w:val="004D0E8F"/>
    <w:rsid w:val="004D1F3D"/>
    <w:rsid w:val="004D2520"/>
    <w:rsid w:val="004D27CC"/>
    <w:rsid w:val="004D2EC3"/>
    <w:rsid w:val="004D352F"/>
    <w:rsid w:val="004D396D"/>
    <w:rsid w:val="004D3A8B"/>
    <w:rsid w:val="004D3B24"/>
    <w:rsid w:val="004D3E83"/>
    <w:rsid w:val="004D4658"/>
    <w:rsid w:val="004D4CBC"/>
    <w:rsid w:val="004D5134"/>
    <w:rsid w:val="004D51CC"/>
    <w:rsid w:val="004D59AC"/>
    <w:rsid w:val="004D5C38"/>
    <w:rsid w:val="004D61E8"/>
    <w:rsid w:val="004D6536"/>
    <w:rsid w:val="004D691C"/>
    <w:rsid w:val="004D6A92"/>
    <w:rsid w:val="004D7539"/>
    <w:rsid w:val="004D7727"/>
    <w:rsid w:val="004D78E9"/>
    <w:rsid w:val="004D7A3A"/>
    <w:rsid w:val="004D7E94"/>
    <w:rsid w:val="004E0513"/>
    <w:rsid w:val="004E0F69"/>
    <w:rsid w:val="004E13AA"/>
    <w:rsid w:val="004E1A3E"/>
    <w:rsid w:val="004E1A82"/>
    <w:rsid w:val="004E1DC1"/>
    <w:rsid w:val="004E27C4"/>
    <w:rsid w:val="004E2DAC"/>
    <w:rsid w:val="004E2E70"/>
    <w:rsid w:val="004E382C"/>
    <w:rsid w:val="004E3A78"/>
    <w:rsid w:val="004E3FC3"/>
    <w:rsid w:val="004E4051"/>
    <w:rsid w:val="004E46CC"/>
    <w:rsid w:val="004E49D4"/>
    <w:rsid w:val="004E4EB2"/>
    <w:rsid w:val="004E4F71"/>
    <w:rsid w:val="004E50B4"/>
    <w:rsid w:val="004E5159"/>
    <w:rsid w:val="004E5537"/>
    <w:rsid w:val="004E568A"/>
    <w:rsid w:val="004E57E1"/>
    <w:rsid w:val="004E58D9"/>
    <w:rsid w:val="004E6051"/>
    <w:rsid w:val="004E60B9"/>
    <w:rsid w:val="004E644C"/>
    <w:rsid w:val="004E65A9"/>
    <w:rsid w:val="004E68E0"/>
    <w:rsid w:val="004E69F7"/>
    <w:rsid w:val="004E6F68"/>
    <w:rsid w:val="004E7BD3"/>
    <w:rsid w:val="004E7C59"/>
    <w:rsid w:val="004F08D1"/>
    <w:rsid w:val="004F13D7"/>
    <w:rsid w:val="004F15BD"/>
    <w:rsid w:val="004F178C"/>
    <w:rsid w:val="004F1955"/>
    <w:rsid w:val="004F20C2"/>
    <w:rsid w:val="004F2A52"/>
    <w:rsid w:val="004F2DF4"/>
    <w:rsid w:val="004F31A7"/>
    <w:rsid w:val="004F370C"/>
    <w:rsid w:val="004F3A9B"/>
    <w:rsid w:val="004F3ADE"/>
    <w:rsid w:val="004F488F"/>
    <w:rsid w:val="004F4A19"/>
    <w:rsid w:val="004F535F"/>
    <w:rsid w:val="004F5AB0"/>
    <w:rsid w:val="004F624F"/>
    <w:rsid w:val="004F69FC"/>
    <w:rsid w:val="004F6A88"/>
    <w:rsid w:val="004F7035"/>
    <w:rsid w:val="004F7210"/>
    <w:rsid w:val="004F7A18"/>
    <w:rsid w:val="004F7C7E"/>
    <w:rsid w:val="004F7ECE"/>
    <w:rsid w:val="0050012C"/>
    <w:rsid w:val="00500FF0"/>
    <w:rsid w:val="005016C1"/>
    <w:rsid w:val="0050182A"/>
    <w:rsid w:val="00501861"/>
    <w:rsid w:val="00501BE7"/>
    <w:rsid w:val="00501D41"/>
    <w:rsid w:val="005026B7"/>
    <w:rsid w:val="005029E0"/>
    <w:rsid w:val="00502BED"/>
    <w:rsid w:val="00503084"/>
    <w:rsid w:val="00503278"/>
    <w:rsid w:val="005039A7"/>
    <w:rsid w:val="00503FD6"/>
    <w:rsid w:val="005045B4"/>
    <w:rsid w:val="005047C9"/>
    <w:rsid w:val="0050487D"/>
    <w:rsid w:val="00504BDB"/>
    <w:rsid w:val="005059CF"/>
    <w:rsid w:val="0050622E"/>
    <w:rsid w:val="005066F8"/>
    <w:rsid w:val="00506F54"/>
    <w:rsid w:val="00507D6E"/>
    <w:rsid w:val="00510781"/>
    <w:rsid w:val="005107E9"/>
    <w:rsid w:val="00510928"/>
    <w:rsid w:val="00510EEF"/>
    <w:rsid w:val="0051167B"/>
    <w:rsid w:val="005116BA"/>
    <w:rsid w:val="00511C2C"/>
    <w:rsid w:val="00512726"/>
    <w:rsid w:val="00513067"/>
    <w:rsid w:val="005133C8"/>
    <w:rsid w:val="005137F8"/>
    <w:rsid w:val="005138D5"/>
    <w:rsid w:val="00513CD4"/>
    <w:rsid w:val="00514062"/>
    <w:rsid w:val="0051423B"/>
    <w:rsid w:val="00514E11"/>
    <w:rsid w:val="005152F9"/>
    <w:rsid w:val="00515AA1"/>
    <w:rsid w:val="00515C76"/>
    <w:rsid w:val="00515DE6"/>
    <w:rsid w:val="00516A9C"/>
    <w:rsid w:val="00517DCC"/>
    <w:rsid w:val="00517E8F"/>
    <w:rsid w:val="005200CB"/>
    <w:rsid w:val="00520F9D"/>
    <w:rsid w:val="005223D0"/>
    <w:rsid w:val="0052250F"/>
    <w:rsid w:val="0052352E"/>
    <w:rsid w:val="00525097"/>
    <w:rsid w:val="00525539"/>
    <w:rsid w:val="005257E7"/>
    <w:rsid w:val="00526344"/>
    <w:rsid w:val="00526370"/>
    <w:rsid w:val="0052671F"/>
    <w:rsid w:val="0052713E"/>
    <w:rsid w:val="00527C6A"/>
    <w:rsid w:val="00530114"/>
    <w:rsid w:val="00530593"/>
    <w:rsid w:val="00530757"/>
    <w:rsid w:val="005317E8"/>
    <w:rsid w:val="00531B54"/>
    <w:rsid w:val="00532AC9"/>
    <w:rsid w:val="005331F2"/>
    <w:rsid w:val="00533299"/>
    <w:rsid w:val="005335E5"/>
    <w:rsid w:val="00533854"/>
    <w:rsid w:val="005340F6"/>
    <w:rsid w:val="0053481A"/>
    <w:rsid w:val="00534C12"/>
    <w:rsid w:val="005352A6"/>
    <w:rsid w:val="00535866"/>
    <w:rsid w:val="00535BDC"/>
    <w:rsid w:val="00535E04"/>
    <w:rsid w:val="0053627A"/>
    <w:rsid w:val="005367D4"/>
    <w:rsid w:val="005367E9"/>
    <w:rsid w:val="00536D96"/>
    <w:rsid w:val="0053746D"/>
    <w:rsid w:val="00537594"/>
    <w:rsid w:val="00537D09"/>
    <w:rsid w:val="00540764"/>
    <w:rsid w:val="005410D6"/>
    <w:rsid w:val="00541CA0"/>
    <w:rsid w:val="005423C0"/>
    <w:rsid w:val="00542E3B"/>
    <w:rsid w:val="0054330F"/>
    <w:rsid w:val="00543BD1"/>
    <w:rsid w:val="00543BF8"/>
    <w:rsid w:val="00544D10"/>
    <w:rsid w:val="0054572C"/>
    <w:rsid w:val="00545832"/>
    <w:rsid w:val="00545D77"/>
    <w:rsid w:val="00546145"/>
    <w:rsid w:val="0054614E"/>
    <w:rsid w:val="00546277"/>
    <w:rsid w:val="005467E2"/>
    <w:rsid w:val="005468ED"/>
    <w:rsid w:val="00547FF2"/>
    <w:rsid w:val="005507FC"/>
    <w:rsid w:val="00551135"/>
    <w:rsid w:val="005516CF"/>
    <w:rsid w:val="00551A11"/>
    <w:rsid w:val="00551F65"/>
    <w:rsid w:val="00552918"/>
    <w:rsid w:val="00552B1F"/>
    <w:rsid w:val="005533A4"/>
    <w:rsid w:val="0055377A"/>
    <w:rsid w:val="00553BE0"/>
    <w:rsid w:val="00553D52"/>
    <w:rsid w:val="00554392"/>
    <w:rsid w:val="005543D2"/>
    <w:rsid w:val="0055470F"/>
    <w:rsid w:val="00554A34"/>
    <w:rsid w:val="00554CC9"/>
    <w:rsid w:val="0055540A"/>
    <w:rsid w:val="00555CB3"/>
    <w:rsid w:val="00555D21"/>
    <w:rsid w:val="00555FCD"/>
    <w:rsid w:val="0055650D"/>
    <w:rsid w:val="00556ABB"/>
    <w:rsid w:val="0055703F"/>
    <w:rsid w:val="005577F0"/>
    <w:rsid w:val="005600C4"/>
    <w:rsid w:val="00560CEF"/>
    <w:rsid w:val="0056136C"/>
    <w:rsid w:val="00561C81"/>
    <w:rsid w:val="0056285F"/>
    <w:rsid w:val="00562CD1"/>
    <w:rsid w:val="00562EEE"/>
    <w:rsid w:val="00563207"/>
    <w:rsid w:val="00563857"/>
    <w:rsid w:val="005654C4"/>
    <w:rsid w:val="00565781"/>
    <w:rsid w:val="00565A87"/>
    <w:rsid w:val="00565BA2"/>
    <w:rsid w:val="00565D8D"/>
    <w:rsid w:val="00566436"/>
    <w:rsid w:val="00566AA0"/>
    <w:rsid w:val="00567187"/>
    <w:rsid w:val="0057079C"/>
    <w:rsid w:val="005710CD"/>
    <w:rsid w:val="00571E62"/>
    <w:rsid w:val="00572ECB"/>
    <w:rsid w:val="00572FA5"/>
    <w:rsid w:val="00573A1E"/>
    <w:rsid w:val="00573D5A"/>
    <w:rsid w:val="005747C6"/>
    <w:rsid w:val="00574E16"/>
    <w:rsid w:val="00575034"/>
    <w:rsid w:val="0057583B"/>
    <w:rsid w:val="00575DE0"/>
    <w:rsid w:val="00576509"/>
    <w:rsid w:val="0058005B"/>
    <w:rsid w:val="005801BB"/>
    <w:rsid w:val="005807DA"/>
    <w:rsid w:val="00580B27"/>
    <w:rsid w:val="00580CBB"/>
    <w:rsid w:val="00580F51"/>
    <w:rsid w:val="005810EC"/>
    <w:rsid w:val="005823E5"/>
    <w:rsid w:val="00582B8E"/>
    <w:rsid w:val="005838A7"/>
    <w:rsid w:val="005838DC"/>
    <w:rsid w:val="00583B5C"/>
    <w:rsid w:val="00583F28"/>
    <w:rsid w:val="00584C84"/>
    <w:rsid w:val="00584CB4"/>
    <w:rsid w:val="005850AC"/>
    <w:rsid w:val="005853B3"/>
    <w:rsid w:val="00585446"/>
    <w:rsid w:val="00585E56"/>
    <w:rsid w:val="00586056"/>
    <w:rsid w:val="00586995"/>
    <w:rsid w:val="00586E16"/>
    <w:rsid w:val="005877AB"/>
    <w:rsid w:val="005902BD"/>
    <w:rsid w:val="005905DD"/>
    <w:rsid w:val="0059131B"/>
    <w:rsid w:val="005919AD"/>
    <w:rsid w:val="00592925"/>
    <w:rsid w:val="005931FF"/>
    <w:rsid w:val="0059357B"/>
    <w:rsid w:val="00593BA9"/>
    <w:rsid w:val="00594629"/>
    <w:rsid w:val="00594DA6"/>
    <w:rsid w:val="00594FE1"/>
    <w:rsid w:val="00595B97"/>
    <w:rsid w:val="005961E0"/>
    <w:rsid w:val="005964DE"/>
    <w:rsid w:val="005965F3"/>
    <w:rsid w:val="00596D2B"/>
    <w:rsid w:val="00596FC5"/>
    <w:rsid w:val="005972C0"/>
    <w:rsid w:val="00597334"/>
    <w:rsid w:val="00597C60"/>
    <w:rsid w:val="005A002D"/>
    <w:rsid w:val="005A050B"/>
    <w:rsid w:val="005A085F"/>
    <w:rsid w:val="005A0E2D"/>
    <w:rsid w:val="005A0EDA"/>
    <w:rsid w:val="005A11C0"/>
    <w:rsid w:val="005A129B"/>
    <w:rsid w:val="005A1399"/>
    <w:rsid w:val="005A1469"/>
    <w:rsid w:val="005A1992"/>
    <w:rsid w:val="005A1B6D"/>
    <w:rsid w:val="005A1B86"/>
    <w:rsid w:val="005A1D02"/>
    <w:rsid w:val="005A1FF2"/>
    <w:rsid w:val="005A2561"/>
    <w:rsid w:val="005A2E1D"/>
    <w:rsid w:val="005A3047"/>
    <w:rsid w:val="005A3BE6"/>
    <w:rsid w:val="005A478C"/>
    <w:rsid w:val="005A4FF2"/>
    <w:rsid w:val="005A526D"/>
    <w:rsid w:val="005A53C8"/>
    <w:rsid w:val="005A55E5"/>
    <w:rsid w:val="005A56E1"/>
    <w:rsid w:val="005A68FF"/>
    <w:rsid w:val="005A6B7C"/>
    <w:rsid w:val="005A6C20"/>
    <w:rsid w:val="005A7214"/>
    <w:rsid w:val="005A73E5"/>
    <w:rsid w:val="005A7718"/>
    <w:rsid w:val="005A77EE"/>
    <w:rsid w:val="005A7C44"/>
    <w:rsid w:val="005B064A"/>
    <w:rsid w:val="005B131D"/>
    <w:rsid w:val="005B1694"/>
    <w:rsid w:val="005B1696"/>
    <w:rsid w:val="005B1B19"/>
    <w:rsid w:val="005B2931"/>
    <w:rsid w:val="005B2E98"/>
    <w:rsid w:val="005B3619"/>
    <w:rsid w:val="005B4E81"/>
    <w:rsid w:val="005B50AF"/>
    <w:rsid w:val="005B594E"/>
    <w:rsid w:val="005B6518"/>
    <w:rsid w:val="005B6872"/>
    <w:rsid w:val="005B6CED"/>
    <w:rsid w:val="005B7807"/>
    <w:rsid w:val="005B7D5E"/>
    <w:rsid w:val="005C06D3"/>
    <w:rsid w:val="005C1317"/>
    <w:rsid w:val="005C2104"/>
    <w:rsid w:val="005C28DD"/>
    <w:rsid w:val="005C37D1"/>
    <w:rsid w:val="005C3E97"/>
    <w:rsid w:val="005C44B6"/>
    <w:rsid w:val="005C4701"/>
    <w:rsid w:val="005C47C1"/>
    <w:rsid w:val="005C49E6"/>
    <w:rsid w:val="005C4BD1"/>
    <w:rsid w:val="005C4E42"/>
    <w:rsid w:val="005C51EA"/>
    <w:rsid w:val="005C542C"/>
    <w:rsid w:val="005C551D"/>
    <w:rsid w:val="005C559E"/>
    <w:rsid w:val="005C58BC"/>
    <w:rsid w:val="005C6187"/>
    <w:rsid w:val="005C664C"/>
    <w:rsid w:val="005C6970"/>
    <w:rsid w:val="005C6A8F"/>
    <w:rsid w:val="005C6E2A"/>
    <w:rsid w:val="005C784F"/>
    <w:rsid w:val="005D0560"/>
    <w:rsid w:val="005D06E6"/>
    <w:rsid w:val="005D0EA5"/>
    <w:rsid w:val="005D160B"/>
    <w:rsid w:val="005D17F5"/>
    <w:rsid w:val="005D2498"/>
    <w:rsid w:val="005D2E4E"/>
    <w:rsid w:val="005D3141"/>
    <w:rsid w:val="005D3591"/>
    <w:rsid w:val="005D47A7"/>
    <w:rsid w:val="005D4829"/>
    <w:rsid w:val="005D4A52"/>
    <w:rsid w:val="005D4C7E"/>
    <w:rsid w:val="005D4E51"/>
    <w:rsid w:val="005D53A2"/>
    <w:rsid w:val="005D5426"/>
    <w:rsid w:val="005D54AC"/>
    <w:rsid w:val="005D552B"/>
    <w:rsid w:val="005D5C4F"/>
    <w:rsid w:val="005D6372"/>
    <w:rsid w:val="005D64F4"/>
    <w:rsid w:val="005D771D"/>
    <w:rsid w:val="005D7804"/>
    <w:rsid w:val="005D7931"/>
    <w:rsid w:val="005D7A81"/>
    <w:rsid w:val="005E0655"/>
    <w:rsid w:val="005E0AC8"/>
    <w:rsid w:val="005E0B90"/>
    <w:rsid w:val="005E1D47"/>
    <w:rsid w:val="005E1F60"/>
    <w:rsid w:val="005E20A5"/>
    <w:rsid w:val="005E27AF"/>
    <w:rsid w:val="005E2955"/>
    <w:rsid w:val="005E297E"/>
    <w:rsid w:val="005E2E4B"/>
    <w:rsid w:val="005E3D64"/>
    <w:rsid w:val="005E3F97"/>
    <w:rsid w:val="005E3FBF"/>
    <w:rsid w:val="005E46A2"/>
    <w:rsid w:val="005E486D"/>
    <w:rsid w:val="005E4B73"/>
    <w:rsid w:val="005E4D07"/>
    <w:rsid w:val="005E53CE"/>
    <w:rsid w:val="005E53D4"/>
    <w:rsid w:val="005E5FCD"/>
    <w:rsid w:val="005E6023"/>
    <w:rsid w:val="005E6160"/>
    <w:rsid w:val="005E61B3"/>
    <w:rsid w:val="005E72CC"/>
    <w:rsid w:val="005E7E0D"/>
    <w:rsid w:val="005F0418"/>
    <w:rsid w:val="005F0755"/>
    <w:rsid w:val="005F09EC"/>
    <w:rsid w:val="005F0C87"/>
    <w:rsid w:val="005F1229"/>
    <w:rsid w:val="005F142A"/>
    <w:rsid w:val="005F1516"/>
    <w:rsid w:val="005F1928"/>
    <w:rsid w:val="005F1B79"/>
    <w:rsid w:val="005F2A4C"/>
    <w:rsid w:val="005F32A0"/>
    <w:rsid w:val="005F3CE0"/>
    <w:rsid w:val="005F4642"/>
    <w:rsid w:val="005F4945"/>
    <w:rsid w:val="005F4DAA"/>
    <w:rsid w:val="005F4EDD"/>
    <w:rsid w:val="005F51D9"/>
    <w:rsid w:val="005F5219"/>
    <w:rsid w:val="005F5CEE"/>
    <w:rsid w:val="005F5F9B"/>
    <w:rsid w:val="005F6085"/>
    <w:rsid w:val="005F629A"/>
    <w:rsid w:val="005F66A6"/>
    <w:rsid w:val="005F6B27"/>
    <w:rsid w:val="005F6B2D"/>
    <w:rsid w:val="005F7167"/>
    <w:rsid w:val="00600051"/>
    <w:rsid w:val="00600416"/>
    <w:rsid w:val="00600987"/>
    <w:rsid w:val="00601045"/>
    <w:rsid w:val="00601108"/>
    <w:rsid w:val="006011E4"/>
    <w:rsid w:val="00601F64"/>
    <w:rsid w:val="006020C6"/>
    <w:rsid w:val="00602624"/>
    <w:rsid w:val="00602B98"/>
    <w:rsid w:val="00602D81"/>
    <w:rsid w:val="00602FB6"/>
    <w:rsid w:val="00602FCC"/>
    <w:rsid w:val="006031D0"/>
    <w:rsid w:val="006031FD"/>
    <w:rsid w:val="00603234"/>
    <w:rsid w:val="0060326C"/>
    <w:rsid w:val="00603913"/>
    <w:rsid w:val="00603BE8"/>
    <w:rsid w:val="0060405D"/>
    <w:rsid w:val="00604B36"/>
    <w:rsid w:val="00604DC8"/>
    <w:rsid w:val="00605051"/>
    <w:rsid w:val="00605234"/>
    <w:rsid w:val="00605B29"/>
    <w:rsid w:val="006060C8"/>
    <w:rsid w:val="00606930"/>
    <w:rsid w:val="00606A1A"/>
    <w:rsid w:val="00607251"/>
    <w:rsid w:val="006072E1"/>
    <w:rsid w:val="00610088"/>
    <w:rsid w:val="00611065"/>
    <w:rsid w:val="006117E6"/>
    <w:rsid w:val="00611E30"/>
    <w:rsid w:val="00612193"/>
    <w:rsid w:val="00612257"/>
    <w:rsid w:val="00612327"/>
    <w:rsid w:val="00612459"/>
    <w:rsid w:val="00612475"/>
    <w:rsid w:val="00612A67"/>
    <w:rsid w:val="00612E2B"/>
    <w:rsid w:val="006137B1"/>
    <w:rsid w:val="00613A77"/>
    <w:rsid w:val="00613B04"/>
    <w:rsid w:val="00613B5E"/>
    <w:rsid w:val="00613C02"/>
    <w:rsid w:val="006143D8"/>
    <w:rsid w:val="00614928"/>
    <w:rsid w:val="00614A59"/>
    <w:rsid w:val="00614D0B"/>
    <w:rsid w:val="00614F18"/>
    <w:rsid w:val="00615282"/>
    <w:rsid w:val="00615357"/>
    <w:rsid w:val="006156C0"/>
    <w:rsid w:val="006163B4"/>
    <w:rsid w:val="0061666A"/>
    <w:rsid w:val="006167E9"/>
    <w:rsid w:val="00616D0F"/>
    <w:rsid w:val="00617C71"/>
    <w:rsid w:val="00617E4B"/>
    <w:rsid w:val="006204A4"/>
    <w:rsid w:val="006206EA"/>
    <w:rsid w:val="006207E6"/>
    <w:rsid w:val="0062085C"/>
    <w:rsid w:val="006208AE"/>
    <w:rsid w:val="00620911"/>
    <w:rsid w:val="00621261"/>
    <w:rsid w:val="0062146E"/>
    <w:rsid w:val="00621702"/>
    <w:rsid w:val="00621B36"/>
    <w:rsid w:val="00621F6E"/>
    <w:rsid w:val="00622F98"/>
    <w:rsid w:val="0062482A"/>
    <w:rsid w:val="00624C93"/>
    <w:rsid w:val="00624FA0"/>
    <w:rsid w:val="0062523A"/>
    <w:rsid w:val="006257D8"/>
    <w:rsid w:val="00625B3C"/>
    <w:rsid w:val="00625E04"/>
    <w:rsid w:val="00626A50"/>
    <w:rsid w:val="00627C2B"/>
    <w:rsid w:val="00627E19"/>
    <w:rsid w:val="00627F32"/>
    <w:rsid w:val="006301E7"/>
    <w:rsid w:val="00630270"/>
    <w:rsid w:val="006305E1"/>
    <w:rsid w:val="006306D0"/>
    <w:rsid w:val="006308C1"/>
    <w:rsid w:val="0063092C"/>
    <w:rsid w:val="00630EDF"/>
    <w:rsid w:val="00630FEA"/>
    <w:rsid w:val="0063138A"/>
    <w:rsid w:val="00631790"/>
    <w:rsid w:val="006322B9"/>
    <w:rsid w:val="006328EF"/>
    <w:rsid w:val="00632A6E"/>
    <w:rsid w:val="00632F73"/>
    <w:rsid w:val="0063383E"/>
    <w:rsid w:val="00633DF5"/>
    <w:rsid w:val="00634269"/>
    <w:rsid w:val="0063478D"/>
    <w:rsid w:val="00635439"/>
    <w:rsid w:val="0063568E"/>
    <w:rsid w:val="00635EE2"/>
    <w:rsid w:val="0063670F"/>
    <w:rsid w:val="00637D20"/>
    <w:rsid w:val="00637F80"/>
    <w:rsid w:val="00640472"/>
    <w:rsid w:val="00640EA7"/>
    <w:rsid w:val="00641A67"/>
    <w:rsid w:val="00642089"/>
    <w:rsid w:val="00642640"/>
    <w:rsid w:val="0064300D"/>
    <w:rsid w:val="00643837"/>
    <w:rsid w:val="006439A1"/>
    <w:rsid w:val="00643B9B"/>
    <w:rsid w:val="00643C64"/>
    <w:rsid w:val="00643CBC"/>
    <w:rsid w:val="00643D60"/>
    <w:rsid w:val="00643EBD"/>
    <w:rsid w:val="00644910"/>
    <w:rsid w:val="00644A55"/>
    <w:rsid w:val="00644C34"/>
    <w:rsid w:val="00644EEF"/>
    <w:rsid w:val="00646A7B"/>
    <w:rsid w:val="00646F7D"/>
    <w:rsid w:val="00647282"/>
    <w:rsid w:val="00647660"/>
    <w:rsid w:val="0064788E"/>
    <w:rsid w:val="00647963"/>
    <w:rsid w:val="00647A75"/>
    <w:rsid w:val="00647D99"/>
    <w:rsid w:val="00647E7B"/>
    <w:rsid w:val="00650152"/>
    <w:rsid w:val="006502B7"/>
    <w:rsid w:val="0065033E"/>
    <w:rsid w:val="00651836"/>
    <w:rsid w:val="0065256A"/>
    <w:rsid w:val="00652583"/>
    <w:rsid w:val="00652973"/>
    <w:rsid w:val="00652993"/>
    <w:rsid w:val="006529B9"/>
    <w:rsid w:val="006533C4"/>
    <w:rsid w:val="0065423F"/>
    <w:rsid w:val="00656DDC"/>
    <w:rsid w:val="00657524"/>
    <w:rsid w:val="00657B06"/>
    <w:rsid w:val="006603B9"/>
    <w:rsid w:val="0066047C"/>
    <w:rsid w:val="0066049C"/>
    <w:rsid w:val="00660813"/>
    <w:rsid w:val="00660B0A"/>
    <w:rsid w:val="00660C22"/>
    <w:rsid w:val="00660DBF"/>
    <w:rsid w:val="00661A43"/>
    <w:rsid w:val="00661B19"/>
    <w:rsid w:val="00661BD0"/>
    <w:rsid w:val="00661D1B"/>
    <w:rsid w:val="00662111"/>
    <w:rsid w:val="006621CE"/>
    <w:rsid w:val="006624BE"/>
    <w:rsid w:val="006625AA"/>
    <w:rsid w:val="00662611"/>
    <w:rsid w:val="00662DBC"/>
    <w:rsid w:val="00662FCE"/>
    <w:rsid w:val="006630C5"/>
    <w:rsid w:val="0066367B"/>
    <w:rsid w:val="00663C76"/>
    <w:rsid w:val="00663FCE"/>
    <w:rsid w:val="0066401E"/>
    <w:rsid w:val="00664A1D"/>
    <w:rsid w:val="00664ED3"/>
    <w:rsid w:val="00665809"/>
    <w:rsid w:val="00665928"/>
    <w:rsid w:val="00666208"/>
    <w:rsid w:val="0066624E"/>
    <w:rsid w:val="0066760B"/>
    <w:rsid w:val="00667B2C"/>
    <w:rsid w:val="00667F43"/>
    <w:rsid w:val="006704AD"/>
    <w:rsid w:val="00670D1A"/>
    <w:rsid w:val="00670EF8"/>
    <w:rsid w:val="00670F7B"/>
    <w:rsid w:val="006711A7"/>
    <w:rsid w:val="0067170D"/>
    <w:rsid w:val="0067173D"/>
    <w:rsid w:val="00671A93"/>
    <w:rsid w:val="00671DFF"/>
    <w:rsid w:val="00672104"/>
    <w:rsid w:val="00672F96"/>
    <w:rsid w:val="00673069"/>
    <w:rsid w:val="006738C8"/>
    <w:rsid w:val="006739C5"/>
    <w:rsid w:val="00673C2A"/>
    <w:rsid w:val="00674208"/>
    <w:rsid w:val="006742BF"/>
    <w:rsid w:val="00674CCC"/>
    <w:rsid w:val="006751BB"/>
    <w:rsid w:val="0067662B"/>
    <w:rsid w:val="006766F0"/>
    <w:rsid w:val="006778A3"/>
    <w:rsid w:val="00681162"/>
    <w:rsid w:val="00681771"/>
    <w:rsid w:val="006817E3"/>
    <w:rsid w:val="00682016"/>
    <w:rsid w:val="00682415"/>
    <w:rsid w:val="006825BD"/>
    <w:rsid w:val="0068270F"/>
    <w:rsid w:val="00682919"/>
    <w:rsid w:val="006834B0"/>
    <w:rsid w:val="006835D9"/>
    <w:rsid w:val="00683C71"/>
    <w:rsid w:val="00684077"/>
    <w:rsid w:val="006841FA"/>
    <w:rsid w:val="00684329"/>
    <w:rsid w:val="00684C4B"/>
    <w:rsid w:val="00684DBE"/>
    <w:rsid w:val="006855D9"/>
    <w:rsid w:val="00685E95"/>
    <w:rsid w:val="00685F77"/>
    <w:rsid w:val="006862A9"/>
    <w:rsid w:val="006863FD"/>
    <w:rsid w:val="00686544"/>
    <w:rsid w:val="00686B3A"/>
    <w:rsid w:val="00686D30"/>
    <w:rsid w:val="006871B8"/>
    <w:rsid w:val="00687A92"/>
    <w:rsid w:val="00687B96"/>
    <w:rsid w:val="0069079B"/>
    <w:rsid w:val="00691135"/>
    <w:rsid w:val="0069165C"/>
    <w:rsid w:val="00691872"/>
    <w:rsid w:val="00691B74"/>
    <w:rsid w:val="00691C90"/>
    <w:rsid w:val="00691CD7"/>
    <w:rsid w:val="00692204"/>
    <w:rsid w:val="00692630"/>
    <w:rsid w:val="006927F2"/>
    <w:rsid w:val="00692A05"/>
    <w:rsid w:val="00692A17"/>
    <w:rsid w:val="00692E12"/>
    <w:rsid w:val="0069309E"/>
    <w:rsid w:val="006937C1"/>
    <w:rsid w:val="00693C6E"/>
    <w:rsid w:val="00694C83"/>
    <w:rsid w:val="006959A7"/>
    <w:rsid w:val="00695FEC"/>
    <w:rsid w:val="0069608A"/>
    <w:rsid w:val="006962A7"/>
    <w:rsid w:val="006962D0"/>
    <w:rsid w:val="00696C78"/>
    <w:rsid w:val="006972AF"/>
    <w:rsid w:val="006972D0"/>
    <w:rsid w:val="006977D1"/>
    <w:rsid w:val="00697995"/>
    <w:rsid w:val="006A0E37"/>
    <w:rsid w:val="006A164F"/>
    <w:rsid w:val="006A1E6E"/>
    <w:rsid w:val="006A2004"/>
    <w:rsid w:val="006A2FE1"/>
    <w:rsid w:val="006A30BC"/>
    <w:rsid w:val="006A3172"/>
    <w:rsid w:val="006A38E2"/>
    <w:rsid w:val="006A3D46"/>
    <w:rsid w:val="006A428A"/>
    <w:rsid w:val="006A4347"/>
    <w:rsid w:val="006A4514"/>
    <w:rsid w:val="006A486D"/>
    <w:rsid w:val="006A4A9C"/>
    <w:rsid w:val="006A5783"/>
    <w:rsid w:val="006A5AC5"/>
    <w:rsid w:val="006A66C2"/>
    <w:rsid w:val="006A6B9E"/>
    <w:rsid w:val="006A74B8"/>
    <w:rsid w:val="006A7ED4"/>
    <w:rsid w:val="006B0212"/>
    <w:rsid w:val="006B0ADD"/>
    <w:rsid w:val="006B0B6C"/>
    <w:rsid w:val="006B0E6F"/>
    <w:rsid w:val="006B1199"/>
    <w:rsid w:val="006B122B"/>
    <w:rsid w:val="006B14E5"/>
    <w:rsid w:val="006B1567"/>
    <w:rsid w:val="006B1A9B"/>
    <w:rsid w:val="006B2305"/>
    <w:rsid w:val="006B26CD"/>
    <w:rsid w:val="006B2CFF"/>
    <w:rsid w:val="006B3030"/>
    <w:rsid w:val="006B3260"/>
    <w:rsid w:val="006B36F1"/>
    <w:rsid w:val="006B3824"/>
    <w:rsid w:val="006B38AB"/>
    <w:rsid w:val="006B3BEC"/>
    <w:rsid w:val="006B40E7"/>
    <w:rsid w:val="006B4184"/>
    <w:rsid w:val="006B448E"/>
    <w:rsid w:val="006B4842"/>
    <w:rsid w:val="006B53D6"/>
    <w:rsid w:val="006B6580"/>
    <w:rsid w:val="006B75BB"/>
    <w:rsid w:val="006B7ADC"/>
    <w:rsid w:val="006B7EE2"/>
    <w:rsid w:val="006C062B"/>
    <w:rsid w:val="006C0E98"/>
    <w:rsid w:val="006C10CC"/>
    <w:rsid w:val="006C1589"/>
    <w:rsid w:val="006C23D6"/>
    <w:rsid w:val="006C24D6"/>
    <w:rsid w:val="006C332E"/>
    <w:rsid w:val="006C33BD"/>
    <w:rsid w:val="006C3700"/>
    <w:rsid w:val="006C3E27"/>
    <w:rsid w:val="006C49EF"/>
    <w:rsid w:val="006C4C42"/>
    <w:rsid w:val="006C57AE"/>
    <w:rsid w:val="006C5831"/>
    <w:rsid w:val="006C5BA3"/>
    <w:rsid w:val="006C5F9D"/>
    <w:rsid w:val="006C633F"/>
    <w:rsid w:val="006C675F"/>
    <w:rsid w:val="006C6FA7"/>
    <w:rsid w:val="006C70A0"/>
    <w:rsid w:val="006C71D1"/>
    <w:rsid w:val="006C76E6"/>
    <w:rsid w:val="006C7D50"/>
    <w:rsid w:val="006D00CB"/>
    <w:rsid w:val="006D0B64"/>
    <w:rsid w:val="006D1623"/>
    <w:rsid w:val="006D19E9"/>
    <w:rsid w:val="006D1D05"/>
    <w:rsid w:val="006D267A"/>
    <w:rsid w:val="006D26B8"/>
    <w:rsid w:val="006D2A90"/>
    <w:rsid w:val="006D2B06"/>
    <w:rsid w:val="006D2C67"/>
    <w:rsid w:val="006D2D4F"/>
    <w:rsid w:val="006D2DF3"/>
    <w:rsid w:val="006D30BA"/>
    <w:rsid w:val="006D3681"/>
    <w:rsid w:val="006D4626"/>
    <w:rsid w:val="006D4F25"/>
    <w:rsid w:val="006D4F52"/>
    <w:rsid w:val="006D504A"/>
    <w:rsid w:val="006D68A4"/>
    <w:rsid w:val="006D6A40"/>
    <w:rsid w:val="006D6A5D"/>
    <w:rsid w:val="006D6AB6"/>
    <w:rsid w:val="006D7001"/>
    <w:rsid w:val="006D71B7"/>
    <w:rsid w:val="006D7758"/>
    <w:rsid w:val="006D7BC5"/>
    <w:rsid w:val="006D7E64"/>
    <w:rsid w:val="006E0025"/>
    <w:rsid w:val="006E020C"/>
    <w:rsid w:val="006E066F"/>
    <w:rsid w:val="006E08A0"/>
    <w:rsid w:val="006E0ED1"/>
    <w:rsid w:val="006E1564"/>
    <w:rsid w:val="006E1AB0"/>
    <w:rsid w:val="006E1B77"/>
    <w:rsid w:val="006E1C62"/>
    <w:rsid w:val="006E1C96"/>
    <w:rsid w:val="006E1E8F"/>
    <w:rsid w:val="006E2339"/>
    <w:rsid w:val="006E2658"/>
    <w:rsid w:val="006E2A56"/>
    <w:rsid w:val="006E2A85"/>
    <w:rsid w:val="006E2A8D"/>
    <w:rsid w:val="006E2C19"/>
    <w:rsid w:val="006E2CC9"/>
    <w:rsid w:val="006E2DD6"/>
    <w:rsid w:val="006E3831"/>
    <w:rsid w:val="006E38FF"/>
    <w:rsid w:val="006E3A68"/>
    <w:rsid w:val="006E40EB"/>
    <w:rsid w:val="006E4A30"/>
    <w:rsid w:val="006E4CAF"/>
    <w:rsid w:val="006E5005"/>
    <w:rsid w:val="006E516C"/>
    <w:rsid w:val="006E539F"/>
    <w:rsid w:val="006E549D"/>
    <w:rsid w:val="006E5980"/>
    <w:rsid w:val="006E60B4"/>
    <w:rsid w:val="006E6851"/>
    <w:rsid w:val="006E6A41"/>
    <w:rsid w:val="006E722D"/>
    <w:rsid w:val="006E7BF0"/>
    <w:rsid w:val="006E7D60"/>
    <w:rsid w:val="006E7E9A"/>
    <w:rsid w:val="006F0668"/>
    <w:rsid w:val="006F0AE1"/>
    <w:rsid w:val="006F0B73"/>
    <w:rsid w:val="006F1CDF"/>
    <w:rsid w:val="006F1DB6"/>
    <w:rsid w:val="006F248A"/>
    <w:rsid w:val="006F2494"/>
    <w:rsid w:val="006F2728"/>
    <w:rsid w:val="006F28BF"/>
    <w:rsid w:val="006F31E0"/>
    <w:rsid w:val="006F36C1"/>
    <w:rsid w:val="006F37E6"/>
    <w:rsid w:val="006F3A2F"/>
    <w:rsid w:val="006F4103"/>
    <w:rsid w:val="006F505B"/>
    <w:rsid w:val="006F5175"/>
    <w:rsid w:val="006F528E"/>
    <w:rsid w:val="006F5BC6"/>
    <w:rsid w:val="006F5D75"/>
    <w:rsid w:val="006F5DA9"/>
    <w:rsid w:val="006F675A"/>
    <w:rsid w:val="006F684E"/>
    <w:rsid w:val="006F68CB"/>
    <w:rsid w:val="006F690A"/>
    <w:rsid w:val="006F7B35"/>
    <w:rsid w:val="007001E5"/>
    <w:rsid w:val="007006D1"/>
    <w:rsid w:val="007008B6"/>
    <w:rsid w:val="00701316"/>
    <w:rsid w:val="0070241C"/>
    <w:rsid w:val="0070312D"/>
    <w:rsid w:val="00703BE5"/>
    <w:rsid w:val="00704337"/>
    <w:rsid w:val="0070451D"/>
    <w:rsid w:val="007045BE"/>
    <w:rsid w:val="00704F4F"/>
    <w:rsid w:val="00704FF6"/>
    <w:rsid w:val="00705372"/>
    <w:rsid w:val="00705955"/>
    <w:rsid w:val="00706396"/>
    <w:rsid w:val="007068A8"/>
    <w:rsid w:val="00706F7F"/>
    <w:rsid w:val="00707511"/>
    <w:rsid w:val="0070789D"/>
    <w:rsid w:val="00707A26"/>
    <w:rsid w:val="00707E0D"/>
    <w:rsid w:val="0071035E"/>
    <w:rsid w:val="0071085C"/>
    <w:rsid w:val="00710B31"/>
    <w:rsid w:val="00711E4E"/>
    <w:rsid w:val="007120F6"/>
    <w:rsid w:val="007124C6"/>
    <w:rsid w:val="0071278E"/>
    <w:rsid w:val="0071291F"/>
    <w:rsid w:val="007129AB"/>
    <w:rsid w:val="00712B6B"/>
    <w:rsid w:val="00712D91"/>
    <w:rsid w:val="0071311E"/>
    <w:rsid w:val="00713C85"/>
    <w:rsid w:val="00714407"/>
    <w:rsid w:val="00714434"/>
    <w:rsid w:val="00714614"/>
    <w:rsid w:val="00714B82"/>
    <w:rsid w:val="00715249"/>
    <w:rsid w:val="00715AB9"/>
    <w:rsid w:val="007166E7"/>
    <w:rsid w:val="00716715"/>
    <w:rsid w:val="0071679D"/>
    <w:rsid w:val="00716C3D"/>
    <w:rsid w:val="00716EC4"/>
    <w:rsid w:val="007170FB"/>
    <w:rsid w:val="00717392"/>
    <w:rsid w:val="007201B6"/>
    <w:rsid w:val="0072036C"/>
    <w:rsid w:val="007209F6"/>
    <w:rsid w:val="00720AA9"/>
    <w:rsid w:val="00720C2D"/>
    <w:rsid w:val="007210C6"/>
    <w:rsid w:val="00721273"/>
    <w:rsid w:val="007212E1"/>
    <w:rsid w:val="00721C42"/>
    <w:rsid w:val="0072266C"/>
    <w:rsid w:val="00722A87"/>
    <w:rsid w:val="0072318B"/>
    <w:rsid w:val="00723252"/>
    <w:rsid w:val="00723568"/>
    <w:rsid w:val="00723639"/>
    <w:rsid w:val="00723DE9"/>
    <w:rsid w:val="00724B5A"/>
    <w:rsid w:val="007250DC"/>
    <w:rsid w:val="00726614"/>
    <w:rsid w:val="00726C6D"/>
    <w:rsid w:val="00726E9D"/>
    <w:rsid w:val="00727375"/>
    <w:rsid w:val="00730A8F"/>
    <w:rsid w:val="00730D23"/>
    <w:rsid w:val="00730F35"/>
    <w:rsid w:val="00730FDD"/>
    <w:rsid w:val="007311AD"/>
    <w:rsid w:val="0073152F"/>
    <w:rsid w:val="00731616"/>
    <w:rsid w:val="0073227F"/>
    <w:rsid w:val="00732387"/>
    <w:rsid w:val="00732B9B"/>
    <w:rsid w:val="00732CF9"/>
    <w:rsid w:val="00732D19"/>
    <w:rsid w:val="00732E06"/>
    <w:rsid w:val="00732F32"/>
    <w:rsid w:val="0073340A"/>
    <w:rsid w:val="00733522"/>
    <w:rsid w:val="00734130"/>
    <w:rsid w:val="0073474C"/>
    <w:rsid w:val="007348E6"/>
    <w:rsid w:val="00734903"/>
    <w:rsid w:val="00734CA9"/>
    <w:rsid w:val="007351BF"/>
    <w:rsid w:val="00735231"/>
    <w:rsid w:val="0073537A"/>
    <w:rsid w:val="00735CB0"/>
    <w:rsid w:val="0073602D"/>
    <w:rsid w:val="00736050"/>
    <w:rsid w:val="00736BB1"/>
    <w:rsid w:val="00736E5F"/>
    <w:rsid w:val="00737013"/>
    <w:rsid w:val="007371B3"/>
    <w:rsid w:val="00737738"/>
    <w:rsid w:val="00737B64"/>
    <w:rsid w:val="00740442"/>
    <w:rsid w:val="00740621"/>
    <w:rsid w:val="0074108C"/>
    <w:rsid w:val="007412F4"/>
    <w:rsid w:val="00741680"/>
    <w:rsid w:val="00741A60"/>
    <w:rsid w:val="00741B7D"/>
    <w:rsid w:val="00741CD7"/>
    <w:rsid w:val="00742F1F"/>
    <w:rsid w:val="00743035"/>
    <w:rsid w:val="0074313C"/>
    <w:rsid w:val="00743189"/>
    <w:rsid w:val="00743BFC"/>
    <w:rsid w:val="00744B3B"/>
    <w:rsid w:val="00744EFA"/>
    <w:rsid w:val="007453FA"/>
    <w:rsid w:val="0074556B"/>
    <w:rsid w:val="007456A7"/>
    <w:rsid w:val="00745AD7"/>
    <w:rsid w:val="00745FAA"/>
    <w:rsid w:val="00746013"/>
    <w:rsid w:val="007471CA"/>
    <w:rsid w:val="0074739F"/>
    <w:rsid w:val="0074768A"/>
    <w:rsid w:val="00747EF1"/>
    <w:rsid w:val="00747F71"/>
    <w:rsid w:val="007500D2"/>
    <w:rsid w:val="007503A8"/>
    <w:rsid w:val="0075067B"/>
    <w:rsid w:val="0075095B"/>
    <w:rsid w:val="00750F7F"/>
    <w:rsid w:val="007512D4"/>
    <w:rsid w:val="00751C86"/>
    <w:rsid w:val="00751EE9"/>
    <w:rsid w:val="00752166"/>
    <w:rsid w:val="007530C1"/>
    <w:rsid w:val="00753131"/>
    <w:rsid w:val="00753783"/>
    <w:rsid w:val="00753978"/>
    <w:rsid w:val="00753AE1"/>
    <w:rsid w:val="00753C2A"/>
    <w:rsid w:val="007545A4"/>
    <w:rsid w:val="00754829"/>
    <w:rsid w:val="00754B7E"/>
    <w:rsid w:val="00754C34"/>
    <w:rsid w:val="00754C99"/>
    <w:rsid w:val="0075507C"/>
    <w:rsid w:val="00755204"/>
    <w:rsid w:val="00755CB2"/>
    <w:rsid w:val="00755F4C"/>
    <w:rsid w:val="00756471"/>
    <w:rsid w:val="00756965"/>
    <w:rsid w:val="00756AD0"/>
    <w:rsid w:val="00756BED"/>
    <w:rsid w:val="00756E48"/>
    <w:rsid w:val="0075703B"/>
    <w:rsid w:val="00757EE4"/>
    <w:rsid w:val="0076114C"/>
    <w:rsid w:val="007614CA"/>
    <w:rsid w:val="00761DD7"/>
    <w:rsid w:val="007620D6"/>
    <w:rsid w:val="00762C77"/>
    <w:rsid w:val="0076337C"/>
    <w:rsid w:val="0076369F"/>
    <w:rsid w:val="00763DA0"/>
    <w:rsid w:val="00764082"/>
    <w:rsid w:val="00764280"/>
    <w:rsid w:val="00764698"/>
    <w:rsid w:val="00764A71"/>
    <w:rsid w:val="00764A82"/>
    <w:rsid w:val="00765407"/>
    <w:rsid w:val="0076557A"/>
    <w:rsid w:val="00766D90"/>
    <w:rsid w:val="00766FC0"/>
    <w:rsid w:val="00767042"/>
    <w:rsid w:val="00767423"/>
    <w:rsid w:val="007679A6"/>
    <w:rsid w:val="00767D2F"/>
    <w:rsid w:val="00767EA7"/>
    <w:rsid w:val="00770899"/>
    <w:rsid w:val="00770A27"/>
    <w:rsid w:val="007715E5"/>
    <w:rsid w:val="00772313"/>
    <w:rsid w:val="0077377D"/>
    <w:rsid w:val="0077386D"/>
    <w:rsid w:val="00773ECD"/>
    <w:rsid w:val="00774203"/>
    <w:rsid w:val="0077422F"/>
    <w:rsid w:val="00774425"/>
    <w:rsid w:val="007746A4"/>
    <w:rsid w:val="00774BC6"/>
    <w:rsid w:val="00774CAC"/>
    <w:rsid w:val="00774F62"/>
    <w:rsid w:val="007750BC"/>
    <w:rsid w:val="007756B5"/>
    <w:rsid w:val="007758B5"/>
    <w:rsid w:val="00775FB4"/>
    <w:rsid w:val="0077613A"/>
    <w:rsid w:val="00776508"/>
    <w:rsid w:val="0077655C"/>
    <w:rsid w:val="0077686E"/>
    <w:rsid w:val="0077699A"/>
    <w:rsid w:val="00776DB4"/>
    <w:rsid w:val="00776F62"/>
    <w:rsid w:val="00777844"/>
    <w:rsid w:val="00777B4E"/>
    <w:rsid w:val="00777F2C"/>
    <w:rsid w:val="0078063B"/>
    <w:rsid w:val="00780835"/>
    <w:rsid w:val="00780A96"/>
    <w:rsid w:val="00780E36"/>
    <w:rsid w:val="007811BA"/>
    <w:rsid w:val="00781395"/>
    <w:rsid w:val="00781442"/>
    <w:rsid w:val="007816A9"/>
    <w:rsid w:val="007817E7"/>
    <w:rsid w:val="00782576"/>
    <w:rsid w:val="007825C1"/>
    <w:rsid w:val="00782693"/>
    <w:rsid w:val="0078281A"/>
    <w:rsid w:val="00782A01"/>
    <w:rsid w:val="00782D67"/>
    <w:rsid w:val="00782EFC"/>
    <w:rsid w:val="00782FB1"/>
    <w:rsid w:val="007832BF"/>
    <w:rsid w:val="007836A8"/>
    <w:rsid w:val="00783F80"/>
    <w:rsid w:val="007842B8"/>
    <w:rsid w:val="0078437F"/>
    <w:rsid w:val="00784B64"/>
    <w:rsid w:val="00784E48"/>
    <w:rsid w:val="00785D0A"/>
    <w:rsid w:val="00785F20"/>
    <w:rsid w:val="00786020"/>
    <w:rsid w:val="007868D2"/>
    <w:rsid w:val="00786A74"/>
    <w:rsid w:val="00786DF3"/>
    <w:rsid w:val="0078764E"/>
    <w:rsid w:val="00790362"/>
    <w:rsid w:val="00790727"/>
    <w:rsid w:val="00791B96"/>
    <w:rsid w:val="00792689"/>
    <w:rsid w:val="00792CDB"/>
    <w:rsid w:val="00792F73"/>
    <w:rsid w:val="00793149"/>
    <w:rsid w:val="007934B8"/>
    <w:rsid w:val="00793C55"/>
    <w:rsid w:val="0079445E"/>
    <w:rsid w:val="00794579"/>
    <w:rsid w:val="0079485B"/>
    <w:rsid w:val="00794941"/>
    <w:rsid w:val="00794A69"/>
    <w:rsid w:val="007954CF"/>
    <w:rsid w:val="007955A3"/>
    <w:rsid w:val="00795B57"/>
    <w:rsid w:val="007961E9"/>
    <w:rsid w:val="00797776"/>
    <w:rsid w:val="007977D4"/>
    <w:rsid w:val="007A023B"/>
    <w:rsid w:val="007A054A"/>
    <w:rsid w:val="007A0AEA"/>
    <w:rsid w:val="007A135A"/>
    <w:rsid w:val="007A13FD"/>
    <w:rsid w:val="007A1543"/>
    <w:rsid w:val="007A1BC8"/>
    <w:rsid w:val="007A202B"/>
    <w:rsid w:val="007A206B"/>
    <w:rsid w:val="007A2A86"/>
    <w:rsid w:val="007A2C01"/>
    <w:rsid w:val="007A2C9D"/>
    <w:rsid w:val="007A2D27"/>
    <w:rsid w:val="007A3089"/>
    <w:rsid w:val="007A357E"/>
    <w:rsid w:val="007A3AEB"/>
    <w:rsid w:val="007A3DF7"/>
    <w:rsid w:val="007A46BB"/>
    <w:rsid w:val="007A4A8F"/>
    <w:rsid w:val="007A4B1D"/>
    <w:rsid w:val="007A4EAB"/>
    <w:rsid w:val="007A4F36"/>
    <w:rsid w:val="007A508F"/>
    <w:rsid w:val="007A523B"/>
    <w:rsid w:val="007A5598"/>
    <w:rsid w:val="007A584C"/>
    <w:rsid w:val="007A59E8"/>
    <w:rsid w:val="007A5B5D"/>
    <w:rsid w:val="007A72E1"/>
    <w:rsid w:val="007A794A"/>
    <w:rsid w:val="007A7C15"/>
    <w:rsid w:val="007B00AC"/>
    <w:rsid w:val="007B01CD"/>
    <w:rsid w:val="007B0640"/>
    <w:rsid w:val="007B0830"/>
    <w:rsid w:val="007B0BC8"/>
    <w:rsid w:val="007B2302"/>
    <w:rsid w:val="007B2370"/>
    <w:rsid w:val="007B2523"/>
    <w:rsid w:val="007B2731"/>
    <w:rsid w:val="007B2C9E"/>
    <w:rsid w:val="007B365C"/>
    <w:rsid w:val="007B36F6"/>
    <w:rsid w:val="007B3B60"/>
    <w:rsid w:val="007B4D08"/>
    <w:rsid w:val="007B511E"/>
    <w:rsid w:val="007B545B"/>
    <w:rsid w:val="007B5693"/>
    <w:rsid w:val="007B595B"/>
    <w:rsid w:val="007B5C00"/>
    <w:rsid w:val="007B6032"/>
    <w:rsid w:val="007B649D"/>
    <w:rsid w:val="007B66B7"/>
    <w:rsid w:val="007B68A1"/>
    <w:rsid w:val="007B694B"/>
    <w:rsid w:val="007B7171"/>
    <w:rsid w:val="007B7604"/>
    <w:rsid w:val="007B7629"/>
    <w:rsid w:val="007B7DAF"/>
    <w:rsid w:val="007B7E91"/>
    <w:rsid w:val="007C06CD"/>
    <w:rsid w:val="007C0B2C"/>
    <w:rsid w:val="007C0F83"/>
    <w:rsid w:val="007C11A8"/>
    <w:rsid w:val="007C1565"/>
    <w:rsid w:val="007C1B2B"/>
    <w:rsid w:val="007C1D0D"/>
    <w:rsid w:val="007C23AC"/>
    <w:rsid w:val="007C27B9"/>
    <w:rsid w:val="007C4176"/>
    <w:rsid w:val="007C44EE"/>
    <w:rsid w:val="007C4939"/>
    <w:rsid w:val="007C4D30"/>
    <w:rsid w:val="007C565A"/>
    <w:rsid w:val="007C5E58"/>
    <w:rsid w:val="007C6C84"/>
    <w:rsid w:val="007C6D96"/>
    <w:rsid w:val="007C6DDC"/>
    <w:rsid w:val="007C78FA"/>
    <w:rsid w:val="007C7B64"/>
    <w:rsid w:val="007C7FA3"/>
    <w:rsid w:val="007D03F2"/>
    <w:rsid w:val="007D04BB"/>
    <w:rsid w:val="007D051B"/>
    <w:rsid w:val="007D06A4"/>
    <w:rsid w:val="007D0E87"/>
    <w:rsid w:val="007D0F36"/>
    <w:rsid w:val="007D11DA"/>
    <w:rsid w:val="007D143B"/>
    <w:rsid w:val="007D14C2"/>
    <w:rsid w:val="007D1579"/>
    <w:rsid w:val="007D190C"/>
    <w:rsid w:val="007D2119"/>
    <w:rsid w:val="007D22AE"/>
    <w:rsid w:val="007D2794"/>
    <w:rsid w:val="007D299E"/>
    <w:rsid w:val="007D2B2F"/>
    <w:rsid w:val="007D2CE9"/>
    <w:rsid w:val="007D313B"/>
    <w:rsid w:val="007D3197"/>
    <w:rsid w:val="007D391D"/>
    <w:rsid w:val="007D411E"/>
    <w:rsid w:val="007D4849"/>
    <w:rsid w:val="007D4AAC"/>
    <w:rsid w:val="007D4F7D"/>
    <w:rsid w:val="007D5743"/>
    <w:rsid w:val="007D5DBA"/>
    <w:rsid w:val="007D63B3"/>
    <w:rsid w:val="007D6AB1"/>
    <w:rsid w:val="007D761D"/>
    <w:rsid w:val="007D7AFB"/>
    <w:rsid w:val="007E0441"/>
    <w:rsid w:val="007E0910"/>
    <w:rsid w:val="007E0CED"/>
    <w:rsid w:val="007E0FE1"/>
    <w:rsid w:val="007E1454"/>
    <w:rsid w:val="007E2505"/>
    <w:rsid w:val="007E260D"/>
    <w:rsid w:val="007E28A4"/>
    <w:rsid w:val="007E38E1"/>
    <w:rsid w:val="007E3C9F"/>
    <w:rsid w:val="007E3F8F"/>
    <w:rsid w:val="007E4334"/>
    <w:rsid w:val="007E43B7"/>
    <w:rsid w:val="007E4CCB"/>
    <w:rsid w:val="007E4D8F"/>
    <w:rsid w:val="007E4DC7"/>
    <w:rsid w:val="007E4DCA"/>
    <w:rsid w:val="007E545A"/>
    <w:rsid w:val="007E5549"/>
    <w:rsid w:val="007E572A"/>
    <w:rsid w:val="007E5898"/>
    <w:rsid w:val="007E5FFC"/>
    <w:rsid w:val="007E600F"/>
    <w:rsid w:val="007E6BAA"/>
    <w:rsid w:val="007E756A"/>
    <w:rsid w:val="007E772A"/>
    <w:rsid w:val="007E77B0"/>
    <w:rsid w:val="007E79DD"/>
    <w:rsid w:val="007E7B84"/>
    <w:rsid w:val="007F01D6"/>
    <w:rsid w:val="007F055B"/>
    <w:rsid w:val="007F0906"/>
    <w:rsid w:val="007F0FBE"/>
    <w:rsid w:val="007F1141"/>
    <w:rsid w:val="007F1684"/>
    <w:rsid w:val="007F21DB"/>
    <w:rsid w:val="007F2558"/>
    <w:rsid w:val="007F31ED"/>
    <w:rsid w:val="007F38B5"/>
    <w:rsid w:val="007F395F"/>
    <w:rsid w:val="007F3BD6"/>
    <w:rsid w:val="007F3F95"/>
    <w:rsid w:val="007F403A"/>
    <w:rsid w:val="007F4849"/>
    <w:rsid w:val="007F4C13"/>
    <w:rsid w:val="007F5320"/>
    <w:rsid w:val="007F5A42"/>
    <w:rsid w:val="007F5ADD"/>
    <w:rsid w:val="007F5B3F"/>
    <w:rsid w:val="007F5C1B"/>
    <w:rsid w:val="007F6183"/>
    <w:rsid w:val="007F638B"/>
    <w:rsid w:val="007F6691"/>
    <w:rsid w:val="007F66B8"/>
    <w:rsid w:val="007F6A6F"/>
    <w:rsid w:val="007F6AF1"/>
    <w:rsid w:val="007F6D4A"/>
    <w:rsid w:val="007F7012"/>
    <w:rsid w:val="007F73A2"/>
    <w:rsid w:val="007F7A3A"/>
    <w:rsid w:val="00800356"/>
    <w:rsid w:val="00800758"/>
    <w:rsid w:val="0080077B"/>
    <w:rsid w:val="00800A63"/>
    <w:rsid w:val="0080113B"/>
    <w:rsid w:val="00801BDF"/>
    <w:rsid w:val="00802372"/>
    <w:rsid w:val="008026E1"/>
    <w:rsid w:val="00802C58"/>
    <w:rsid w:val="008035F2"/>
    <w:rsid w:val="00803C2E"/>
    <w:rsid w:val="008049CA"/>
    <w:rsid w:val="00804AA9"/>
    <w:rsid w:val="00805617"/>
    <w:rsid w:val="0080620C"/>
    <w:rsid w:val="008063C6"/>
    <w:rsid w:val="008065EE"/>
    <w:rsid w:val="00806A50"/>
    <w:rsid w:val="00806C43"/>
    <w:rsid w:val="00807C34"/>
    <w:rsid w:val="008101BB"/>
    <w:rsid w:val="00810771"/>
    <w:rsid w:val="00810845"/>
    <w:rsid w:val="00810D20"/>
    <w:rsid w:val="00811B3C"/>
    <w:rsid w:val="00811CC5"/>
    <w:rsid w:val="0081282E"/>
    <w:rsid w:val="008128F8"/>
    <w:rsid w:val="00812DFB"/>
    <w:rsid w:val="00813107"/>
    <w:rsid w:val="00813184"/>
    <w:rsid w:val="00813191"/>
    <w:rsid w:val="008133B3"/>
    <w:rsid w:val="008134F6"/>
    <w:rsid w:val="0081353D"/>
    <w:rsid w:val="00813865"/>
    <w:rsid w:val="00813FDB"/>
    <w:rsid w:val="008142BB"/>
    <w:rsid w:val="00814AA2"/>
    <w:rsid w:val="00814D42"/>
    <w:rsid w:val="0081502B"/>
    <w:rsid w:val="008150C6"/>
    <w:rsid w:val="008150E2"/>
    <w:rsid w:val="0081546B"/>
    <w:rsid w:val="00816675"/>
    <w:rsid w:val="00816A25"/>
    <w:rsid w:val="00816B80"/>
    <w:rsid w:val="0081722E"/>
    <w:rsid w:val="00817951"/>
    <w:rsid w:val="0082019B"/>
    <w:rsid w:val="008201C8"/>
    <w:rsid w:val="0082021F"/>
    <w:rsid w:val="008209DB"/>
    <w:rsid w:val="00820E67"/>
    <w:rsid w:val="00820FF2"/>
    <w:rsid w:val="00821032"/>
    <w:rsid w:val="00821377"/>
    <w:rsid w:val="00821502"/>
    <w:rsid w:val="00821961"/>
    <w:rsid w:val="008219DB"/>
    <w:rsid w:val="00821BB3"/>
    <w:rsid w:val="00821DA4"/>
    <w:rsid w:val="00822006"/>
    <w:rsid w:val="008222D3"/>
    <w:rsid w:val="008228CA"/>
    <w:rsid w:val="00822C38"/>
    <w:rsid w:val="00822EA7"/>
    <w:rsid w:val="00823682"/>
    <w:rsid w:val="00823AB7"/>
    <w:rsid w:val="008246D7"/>
    <w:rsid w:val="00824BBD"/>
    <w:rsid w:val="0082507C"/>
    <w:rsid w:val="008254CF"/>
    <w:rsid w:val="00825843"/>
    <w:rsid w:val="008261E9"/>
    <w:rsid w:val="0082683A"/>
    <w:rsid w:val="008268FC"/>
    <w:rsid w:val="0082708D"/>
    <w:rsid w:val="00827091"/>
    <w:rsid w:val="008270F1"/>
    <w:rsid w:val="008270F9"/>
    <w:rsid w:val="0082721A"/>
    <w:rsid w:val="008272CC"/>
    <w:rsid w:val="00827E3B"/>
    <w:rsid w:val="008300D5"/>
    <w:rsid w:val="00830444"/>
    <w:rsid w:val="00830520"/>
    <w:rsid w:val="0083052F"/>
    <w:rsid w:val="008309A3"/>
    <w:rsid w:val="00830BE9"/>
    <w:rsid w:val="00830E4E"/>
    <w:rsid w:val="008312B6"/>
    <w:rsid w:val="00831941"/>
    <w:rsid w:val="008323A7"/>
    <w:rsid w:val="00832779"/>
    <w:rsid w:val="00832AF8"/>
    <w:rsid w:val="00832B9C"/>
    <w:rsid w:val="00832D61"/>
    <w:rsid w:val="00833124"/>
    <w:rsid w:val="00833B36"/>
    <w:rsid w:val="00834117"/>
    <w:rsid w:val="0083430B"/>
    <w:rsid w:val="00834E9F"/>
    <w:rsid w:val="008356C7"/>
    <w:rsid w:val="00835730"/>
    <w:rsid w:val="00835B17"/>
    <w:rsid w:val="00835DF9"/>
    <w:rsid w:val="0083673B"/>
    <w:rsid w:val="00836E10"/>
    <w:rsid w:val="008370A6"/>
    <w:rsid w:val="0083792A"/>
    <w:rsid w:val="00837A88"/>
    <w:rsid w:val="0084018C"/>
    <w:rsid w:val="0084073A"/>
    <w:rsid w:val="00840923"/>
    <w:rsid w:val="00840A53"/>
    <w:rsid w:val="00840EB4"/>
    <w:rsid w:val="008417A4"/>
    <w:rsid w:val="00841848"/>
    <w:rsid w:val="00841AD4"/>
    <w:rsid w:val="0084254E"/>
    <w:rsid w:val="00842CFD"/>
    <w:rsid w:val="00843062"/>
    <w:rsid w:val="008435BB"/>
    <w:rsid w:val="0084430F"/>
    <w:rsid w:val="00844497"/>
    <w:rsid w:val="0084454D"/>
    <w:rsid w:val="00844588"/>
    <w:rsid w:val="008445AD"/>
    <w:rsid w:val="00844F8E"/>
    <w:rsid w:val="008454ED"/>
    <w:rsid w:val="00845C1C"/>
    <w:rsid w:val="00845D4D"/>
    <w:rsid w:val="00846833"/>
    <w:rsid w:val="00846C83"/>
    <w:rsid w:val="00846EA4"/>
    <w:rsid w:val="00846EDB"/>
    <w:rsid w:val="0084735A"/>
    <w:rsid w:val="008476D0"/>
    <w:rsid w:val="00847C93"/>
    <w:rsid w:val="00847D90"/>
    <w:rsid w:val="00847DB9"/>
    <w:rsid w:val="00850483"/>
    <w:rsid w:val="00850593"/>
    <w:rsid w:val="0085075A"/>
    <w:rsid w:val="008507B0"/>
    <w:rsid w:val="00850A55"/>
    <w:rsid w:val="00850F74"/>
    <w:rsid w:val="0085107A"/>
    <w:rsid w:val="0085166B"/>
    <w:rsid w:val="00851D18"/>
    <w:rsid w:val="00852097"/>
    <w:rsid w:val="00852154"/>
    <w:rsid w:val="008521EF"/>
    <w:rsid w:val="0085290F"/>
    <w:rsid w:val="00852D13"/>
    <w:rsid w:val="00852E5C"/>
    <w:rsid w:val="008533A5"/>
    <w:rsid w:val="0085396A"/>
    <w:rsid w:val="0085461B"/>
    <w:rsid w:val="00854791"/>
    <w:rsid w:val="00854E8A"/>
    <w:rsid w:val="00855318"/>
    <w:rsid w:val="00855694"/>
    <w:rsid w:val="008556F8"/>
    <w:rsid w:val="008559D1"/>
    <w:rsid w:val="00855CE6"/>
    <w:rsid w:val="00855D6C"/>
    <w:rsid w:val="00857689"/>
    <w:rsid w:val="00857B9B"/>
    <w:rsid w:val="00860C55"/>
    <w:rsid w:val="00861527"/>
    <w:rsid w:val="008619F6"/>
    <w:rsid w:val="00861BD7"/>
    <w:rsid w:val="00861F35"/>
    <w:rsid w:val="00862511"/>
    <w:rsid w:val="00862C1F"/>
    <w:rsid w:val="00862D4B"/>
    <w:rsid w:val="00863227"/>
    <w:rsid w:val="0086376E"/>
    <w:rsid w:val="00863B35"/>
    <w:rsid w:val="00863CC5"/>
    <w:rsid w:val="0086425E"/>
    <w:rsid w:val="008644B3"/>
    <w:rsid w:val="00866B1A"/>
    <w:rsid w:val="00866E20"/>
    <w:rsid w:val="00867017"/>
    <w:rsid w:val="0086702A"/>
    <w:rsid w:val="008671C1"/>
    <w:rsid w:val="0086737A"/>
    <w:rsid w:val="00867496"/>
    <w:rsid w:val="008675AF"/>
    <w:rsid w:val="008700F6"/>
    <w:rsid w:val="00870D08"/>
    <w:rsid w:val="0087135C"/>
    <w:rsid w:val="00871E43"/>
    <w:rsid w:val="00871E62"/>
    <w:rsid w:val="008724F3"/>
    <w:rsid w:val="00872558"/>
    <w:rsid w:val="00872621"/>
    <w:rsid w:val="00872FE8"/>
    <w:rsid w:val="0087317A"/>
    <w:rsid w:val="00873214"/>
    <w:rsid w:val="00873539"/>
    <w:rsid w:val="00873762"/>
    <w:rsid w:val="008737A8"/>
    <w:rsid w:val="00873F14"/>
    <w:rsid w:val="00873F54"/>
    <w:rsid w:val="00874813"/>
    <w:rsid w:val="00875882"/>
    <w:rsid w:val="008763FD"/>
    <w:rsid w:val="008769D0"/>
    <w:rsid w:val="00876C12"/>
    <w:rsid w:val="0087711F"/>
    <w:rsid w:val="008772D7"/>
    <w:rsid w:val="008774A6"/>
    <w:rsid w:val="008803A6"/>
    <w:rsid w:val="00880596"/>
    <w:rsid w:val="008805E6"/>
    <w:rsid w:val="008807E2"/>
    <w:rsid w:val="00880DD5"/>
    <w:rsid w:val="008810A9"/>
    <w:rsid w:val="00881248"/>
    <w:rsid w:val="0088188C"/>
    <w:rsid w:val="00882081"/>
    <w:rsid w:val="0088373B"/>
    <w:rsid w:val="00883937"/>
    <w:rsid w:val="00883A0F"/>
    <w:rsid w:val="00883CB9"/>
    <w:rsid w:val="00883CCE"/>
    <w:rsid w:val="0088424A"/>
    <w:rsid w:val="00884743"/>
    <w:rsid w:val="008847A4"/>
    <w:rsid w:val="0088482F"/>
    <w:rsid w:val="00884D1D"/>
    <w:rsid w:val="00885B32"/>
    <w:rsid w:val="00885F55"/>
    <w:rsid w:val="00886500"/>
    <w:rsid w:val="00887038"/>
    <w:rsid w:val="00887050"/>
    <w:rsid w:val="008878E3"/>
    <w:rsid w:val="0088792B"/>
    <w:rsid w:val="00890AE3"/>
    <w:rsid w:val="00890FF8"/>
    <w:rsid w:val="008911D0"/>
    <w:rsid w:val="00891406"/>
    <w:rsid w:val="008915BC"/>
    <w:rsid w:val="008915EA"/>
    <w:rsid w:val="008922B8"/>
    <w:rsid w:val="008926AA"/>
    <w:rsid w:val="00892FD2"/>
    <w:rsid w:val="008934F0"/>
    <w:rsid w:val="008934FD"/>
    <w:rsid w:val="008936E9"/>
    <w:rsid w:val="00893702"/>
    <w:rsid w:val="00893989"/>
    <w:rsid w:val="0089481F"/>
    <w:rsid w:val="008949EB"/>
    <w:rsid w:val="00895A11"/>
    <w:rsid w:val="00895A20"/>
    <w:rsid w:val="008964E4"/>
    <w:rsid w:val="00896614"/>
    <w:rsid w:val="008969E4"/>
    <w:rsid w:val="00897195"/>
    <w:rsid w:val="008A0145"/>
    <w:rsid w:val="008A059D"/>
    <w:rsid w:val="008A0784"/>
    <w:rsid w:val="008A086C"/>
    <w:rsid w:val="008A0E31"/>
    <w:rsid w:val="008A0F61"/>
    <w:rsid w:val="008A10DF"/>
    <w:rsid w:val="008A14D2"/>
    <w:rsid w:val="008A17CC"/>
    <w:rsid w:val="008A1B38"/>
    <w:rsid w:val="008A1CC4"/>
    <w:rsid w:val="008A1F19"/>
    <w:rsid w:val="008A2161"/>
    <w:rsid w:val="008A27A1"/>
    <w:rsid w:val="008A28DC"/>
    <w:rsid w:val="008A2F6F"/>
    <w:rsid w:val="008A346C"/>
    <w:rsid w:val="008A3531"/>
    <w:rsid w:val="008A37AA"/>
    <w:rsid w:val="008A38E5"/>
    <w:rsid w:val="008A3916"/>
    <w:rsid w:val="008A3C75"/>
    <w:rsid w:val="008A3CA5"/>
    <w:rsid w:val="008A43C4"/>
    <w:rsid w:val="008A4854"/>
    <w:rsid w:val="008A4BC2"/>
    <w:rsid w:val="008A4CAC"/>
    <w:rsid w:val="008A4D7B"/>
    <w:rsid w:val="008A5779"/>
    <w:rsid w:val="008A590E"/>
    <w:rsid w:val="008A5ABC"/>
    <w:rsid w:val="008A6691"/>
    <w:rsid w:val="008A67A8"/>
    <w:rsid w:val="008A75B6"/>
    <w:rsid w:val="008A7887"/>
    <w:rsid w:val="008A79A1"/>
    <w:rsid w:val="008B03F3"/>
    <w:rsid w:val="008B0DBB"/>
    <w:rsid w:val="008B10FE"/>
    <w:rsid w:val="008B1319"/>
    <w:rsid w:val="008B14A1"/>
    <w:rsid w:val="008B1637"/>
    <w:rsid w:val="008B1864"/>
    <w:rsid w:val="008B1AC9"/>
    <w:rsid w:val="008B1D6D"/>
    <w:rsid w:val="008B1D9D"/>
    <w:rsid w:val="008B20BD"/>
    <w:rsid w:val="008B246B"/>
    <w:rsid w:val="008B2892"/>
    <w:rsid w:val="008B433C"/>
    <w:rsid w:val="008B446A"/>
    <w:rsid w:val="008B4478"/>
    <w:rsid w:val="008B45E2"/>
    <w:rsid w:val="008B4C3D"/>
    <w:rsid w:val="008B4E39"/>
    <w:rsid w:val="008B4F76"/>
    <w:rsid w:val="008B64F4"/>
    <w:rsid w:val="008B6949"/>
    <w:rsid w:val="008B6F0C"/>
    <w:rsid w:val="008B72AE"/>
    <w:rsid w:val="008C040E"/>
    <w:rsid w:val="008C1318"/>
    <w:rsid w:val="008C15BF"/>
    <w:rsid w:val="008C15F8"/>
    <w:rsid w:val="008C19BD"/>
    <w:rsid w:val="008C1C37"/>
    <w:rsid w:val="008C3142"/>
    <w:rsid w:val="008C3BE9"/>
    <w:rsid w:val="008C421D"/>
    <w:rsid w:val="008C46C7"/>
    <w:rsid w:val="008C4C91"/>
    <w:rsid w:val="008C5409"/>
    <w:rsid w:val="008C5423"/>
    <w:rsid w:val="008C58FD"/>
    <w:rsid w:val="008C5F57"/>
    <w:rsid w:val="008C5FCC"/>
    <w:rsid w:val="008C6059"/>
    <w:rsid w:val="008C61C7"/>
    <w:rsid w:val="008C6642"/>
    <w:rsid w:val="008C68A7"/>
    <w:rsid w:val="008C68F2"/>
    <w:rsid w:val="008C7AC8"/>
    <w:rsid w:val="008C7C73"/>
    <w:rsid w:val="008D0572"/>
    <w:rsid w:val="008D0B52"/>
    <w:rsid w:val="008D0ED0"/>
    <w:rsid w:val="008D11E0"/>
    <w:rsid w:val="008D14E0"/>
    <w:rsid w:val="008D15BD"/>
    <w:rsid w:val="008D216B"/>
    <w:rsid w:val="008D24F1"/>
    <w:rsid w:val="008D25F1"/>
    <w:rsid w:val="008D30A2"/>
    <w:rsid w:val="008D372E"/>
    <w:rsid w:val="008D4663"/>
    <w:rsid w:val="008D4923"/>
    <w:rsid w:val="008D4E7E"/>
    <w:rsid w:val="008D59A2"/>
    <w:rsid w:val="008D5E48"/>
    <w:rsid w:val="008D5F8B"/>
    <w:rsid w:val="008D5FAD"/>
    <w:rsid w:val="008D6114"/>
    <w:rsid w:val="008D6327"/>
    <w:rsid w:val="008D6F6F"/>
    <w:rsid w:val="008D7B7C"/>
    <w:rsid w:val="008E00C6"/>
    <w:rsid w:val="008E0303"/>
    <w:rsid w:val="008E04D3"/>
    <w:rsid w:val="008E080E"/>
    <w:rsid w:val="008E0FAB"/>
    <w:rsid w:val="008E1EF6"/>
    <w:rsid w:val="008E1F49"/>
    <w:rsid w:val="008E2002"/>
    <w:rsid w:val="008E24BF"/>
    <w:rsid w:val="008E2D5D"/>
    <w:rsid w:val="008E34C7"/>
    <w:rsid w:val="008E3929"/>
    <w:rsid w:val="008E3DAF"/>
    <w:rsid w:val="008E4069"/>
    <w:rsid w:val="008E46CB"/>
    <w:rsid w:val="008E5C42"/>
    <w:rsid w:val="008E5E79"/>
    <w:rsid w:val="008E6011"/>
    <w:rsid w:val="008E62FE"/>
    <w:rsid w:val="008E6D62"/>
    <w:rsid w:val="008E787D"/>
    <w:rsid w:val="008F0556"/>
    <w:rsid w:val="008F0F40"/>
    <w:rsid w:val="008F13B9"/>
    <w:rsid w:val="008F1ECC"/>
    <w:rsid w:val="008F2BD0"/>
    <w:rsid w:val="008F2CFE"/>
    <w:rsid w:val="008F2EA3"/>
    <w:rsid w:val="008F346E"/>
    <w:rsid w:val="008F34EC"/>
    <w:rsid w:val="008F3A38"/>
    <w:rsid w:val="008F4CC5"/>
    <w:rsid w:val="008F5305"/>
    <w:rsid w:val="008F5A33"/>
    <w:rsid w:val="008F5F4D"/>
    <w:rsid w:val="008F6233"/>
    <w:rsid w:val="008F64B2"/>
    <w:rsid w:val="008F64F0"/>
    <w:rsid w:val="008F65A6"/>
    <w:rsid w:val="008F667D"/>
    <w:rsid w:val="008F6DB7"/>
    <w:rsid w:val="008F6DE0"/>
    <w:rsid w:val="008F7798"/>
    <w:rsid w:val="008F7811"/>
    <w:rsid w:val="008F7F0E"/>
    <w:rsid w:val="009004A3"/>
    <w:rsid w:val="0090052A"/>
    <w:rsid w:val="00900FC7"/>
    <w:rsid w:val="00901263"/>
    <w:rsid w:val="0090159D"/>
    <w:rsid w:val="009015B6"/>
    <w:rsid w:val="009019EF"/>
    <w:rsid w:val="00901CA1"/>
    <w:rsid w:val="00901CB5"/>
    <w:rsid w:val="00902054"/>
    <w:rsid w:val="00902512"/>
    <w:rsid w:val="00902CDA"/>
    <w:rsid w:val="00902EB8"/>
    <w:rsid w:val="0090314D"/>
    <w:rsid w:val="009037C5"/>
    <w:rsid w:val="009037E6"/>
    <w:rsid w:val="00903875"/>
    <w:rsid w:val="00903902"/>
    <w:rsid w:val="00903F6E"/>
    <w:rsid w:val="009042CF"/>
    <w:rsid w:val="00904947"/>
    <w:rsid w:val="00904BE6"/>
    <w:rsid w:val="009051A8"/>
    <w:rsid w:val="00905F46"/>
    <w:rsid w:val="009060D7"/>
    <w:rsid w:val="0090648F"/>
    <w:rsid w:val="0090696A"/>
    <w:rsid w:val="00907491"/>
    <w:rsid w:val="00907572"/>
    <w:rsid w:val="009075C3"/>
    <w:rsid w:val="009079C2"/>
    <w:rsid w:val="00910792"/>
    <w:rsid w:val="00910852"/>
    <w:rsid w:val="00910D2A"/>
    <w:rsid w:val="0091117B"/>
    <w:rsid w:val="00911182"/>
    <w:rsid w:val="00911358"/>
    <w:rsid w:val="0091198F"/>
    <w:rsid w:val="00911C27"/>
    <w:rsid w:val="00911DB4"/>
    <w:rsid w:val="009120C4"/>
    <w:rsid w:val="00912530"/>
    <w:rsid w:val="00912545"/>
    <w:rsid w:val="009125DB"/>
    <w:rsid w:val="0091377B"/>
    <w:rsid w:val="00914941"/>
    <w:rsid w:val="00915543"/>
    <w:rsid w:val="00915613"/>
    <w:rsid w:val="00915680"/>
    <w:rsid w:val="00915898"/>
    <w:rsid w:val="009159C8"/>
    <w:rsid w:val="00915A7A"/>
    <w:rsid w:val="00915E45"/>
    <w:rsid w:val="00916328"/>
    <w:rsid w:val="00916D1A"/>
    <w:rsid w:val="00916F34"/>
    <w:rsid w:val="00916F75"/>
    <w:rsid w:val="00917049"/>
    <w:rsid w:val="0091708F"/>
    <w:rsid w:val="009172A9"/>
    <w:rsid w:val="0091777B"/>
    <w:rsid w:val="0091780C"/>
    <w:rsid w:val="00917BC1"/>
    <w:rsid w:val="00917C74"/>
    <w:rsid w:val="009202DC"/>
    <w:rsid w:val="0092039F"/>
    <w:rsid w:val="009204B6"/>
    <w:rsid w:val="00920C9C"/>
    <w:rsid w:val="0092128E"/>
    <w:rsid w:val="009215C5"/>
    <w:rsid w:val="0092189F"/>
    <w:rsid w:val="00922996"/>
    <w:rsid w:val="00922A95"/>
    <w:rsid w:val="00922CD2"/>
    <w:rsid w:val="0092342C"/>
    <w:rsid w:val="00923442"/>
    <w:rsid w:val="00923866"/>
    <w:rsid w:val="009238AF"/>
    <w:rsid w:val="0092393E"/>
    <w:rsid w:val="00923A46"/>
    <w:rsid w:val="00923B98"/>
    <w:rsid w:val="00923BF2"/>
    <w:rsid w:val="0092459D"/>
    <w:rsid w:val="0092465B"/>
    <w:rsid w:val="00924C1A"/>
    <w:rsid w:val="00925879"/>
    <w:rsid w:val="00925F55"/>
    <w:rsid w:val="009261EA"/>
    <w:rsid w:val="00926767"/>
    <w:rsid w:val="00926954"/>
    <w:rsid w:val="0092696D"/>
    <w:rsid w:val="00926D04"/>
    <w:rsid w:val="00926FD4"/>
    <w:rsid w:val="009272B3"/>
    <w:rsid w:val="00927582"/>
    <w:rsid w:val="009278C2"/>
    <w:rsid w:val="009279A9"/>
    <w:rsid w:val="00927B8E"/>
    <w:rsid w:val="009302EA"/>
    <w:rsid w:val="00930379"/>
    <w:rsid w:val="009309E4"/>
    <w:rsid w:val="00931152"/>
    <w:rsid w:val="00931230"/>
    <w:rsid w:val="009321C7"/>
    <w:rsid w:val="00932521"/>
    <w:rsid w:val="009325C9"/>
    <w:rsid w:val="00932A06"/>
    <w:rsid w:val="00932B1E"/>
    <w:rsid w:val="00932E97"/>
    <w:rsid w:val="009338D7"/>
    <w:rsid w:val="00933C0B"/>
    <w:rsid w:val="009342A3"/>
    <w:rsid w:val="00934366"/>
    <w:rsid w:val="00934F68"/>
    <w:rsid w:val="009359BB"/>
    <w:rsid w:val="00935C2A"/>
    <w:rsid w:val="00935DE9"/>
    <w:rsid w:val="00936CB3"/>
    <w:rsid w:val="00936D8D"/>
    <w:rsid w:val="00937DC5"/>
    <w:rsid w:val="00937F0F"/>
    <w:rsid w:val="009406DF"/>
    <w:rsid w:val="00941A71"/>
    <w:rsid w:val="00941D19"/>
    <w:rsid w:val="00942998"/>
    <w:rsid w:val="00942D3D"/>
    <w:rsid w:val="00943352"/>
    <w:rsid w:val="0094336C"/>
    <w:rsid w:val="00943F16"/>
    <w:rsid w:val="00944055"/>
    <w:rsid w:val="009440C8"/>
    <w:rsid w:val="009444F1"/>
    <w:rsid w:val="00944684"/>
    <w:rsid w:val="009447EB"/>
    <w:rsid w:val="00945115"/>
    <w:rsid w:val="00945120"/>
    <w:rsid w:val="009452F0"/>
    <w:rsid w:val="00945326"/>
    <w:rsid w:val="00945543"/>
    <w:rsid w:val="00946138"/>
    <w:rsid w:val="00946175"/>
    <w:rsid w:val="009465A0"/>
    <w:rsid w:val="009466FD"/>
    <w:rsid w:val="009468CD"/>
    <w:rsid w:val="00947321"/>
    <w:rsid w:val="00947A2A"/>
    <w:rsid w:val="00947A88"/>
    <w:rsid w:val="0095093F"/>
    <w:rsid w:val="00950BC6"/>
    <w:rsid w:val="00950C32"/>
    <w:rsid w:val="00950C68"/>
    <w:rsid w:val="0095149B"/>
    <w:rsid w:val="00951728"/>
    <w:rsid w:val="0095211F"/>
    <w:rsid w:val="00952273"/>
    <w:rsid w:val="0095298B"/>
    <w:rsid w:val="00952D70"/>
    <w:rsid w:val="00953016"/>
    <w:rsid w:val="009532D8"/>
    <w:rsid w:val="00953F4B"/>
    <w:rsid w:val="00953FC2"/>
    <w:rsid w:val="00954230"/>
    <w:rsid w:val="00954EB1"/>
    <w:rsid w:val="00955404"/>
    <w:rsid w:val="0095575B"/>
    <w:rsid w:val="00955D3F"/>
    <w:rsid w:val="0095627D"/>
    <w:rsid w:val="00956347"/>
    <w:rsid w:val="00956480"/>
    <w:rsid w:val="0095690B"/>
    <w:rsid w:val="00956B1C"/>
    <w:rsid w:val="00956C39"/>
    <w:rsid w:val="00956D20"/>
    <w:rsid w:val="00957570"/>
    <w:rsid w:val="009579EB"/>
    <w:rsid w:val="00957A86"/>
    <w:rsid w:val="00957BC0"/>
    <w:rsid w:val="00960117"/>
    <w:rsid w:val="0096025E"/>
    <w:rsid w:val="009605E2"/>
    <w:rsid w:val="00960746"/>
    <w:rsid w:val="00960865"/>
    <w:rsid w:val="0096098C"/>
    <w:rsid w:val="00961C47"/>
    <w:rsid w:val="00962053"/>
    <w:rsid w:val="00962F6A"/>
    <w:rsid w:val="0096310D"/>
    <w:rsid w:val="00963FC2"/>
    <w:rsid w:val="00964A08"/>
    <w:rsid w:val="00964C4B"/>
    <w:rsid w:val="009656FC"/>
    <w:rsid w:val="00965EE5"/>
    <w:rsid w:val="009662C2"/>
    <w:rsid w:val="009664CF"/>
    <w:rsid w:val="0096661E"/>
    <w:rsid w:val="0096689D"/>
    <w:rsid w:val="009669C3"/>
    <w:rsid w:val="009669C8"/>
    <w:rsid w:val="00966F90"/>
    <w:rsid w:val="00967281"/>
    <w:rsid w:val="009674EE"/>
    <w:rsid w:val="00970D50"/>
    <w:rsid w:val="00970DF2"/>
    <w:rsid w:val="00971235"/>
    <w:rsid w:val="00971F6D"/>
    <w:rsid w:val="00971FC4"/>
    <w:rsid w:val="0097264B"/>
    <w:rsid w:val="00972E22"/>
    <w:rsid w:val="00973073"/>
    <w:rsid w:val="00973265"/>
    <w:rsid w:val="00973276"/>
    <w:rsid w:val="009736EB"/>
    <w:rsid w:val="00973715"/>
    <w:rsid w:val="0097391F"/>
    <w:rsid w:val="00973B15"/>
    <w:rsid w:val="00974449"/>
    <w:rsid w:val="009744F1"/>
    <w:rsid w:val="00974559"/>
    <w:rsid w:val="00975105"/>
    <w:rsid w:val="009757ED"/>
    <w:rsid w:val="00975A03"/>
    <w:rsid w:val="00975EEA"/>
    <w:rsid w:val="00976368"/>
    <w:rsid w:val="009773A3"/>
    <w:rsid w:val="00977CE4"/>
    <w:rsid w:val="009801ED"/>
    <w:rsid w:val="00980342"/>
    <w:rsid w:val="009803B1"/>
    <w:rsid w:val="00980ECD"/>
    <w:rsid w:val="00981592"/>
    <w:rsid w:val="00981B5F"/>
    <w:rsid w:val="0098200B"/>
    <w:rsid w:val="009823A5"/>
    <w:rsid w:val="0098337F"/>
    <w:rsid w:val="0098372F"/>
    <w:rsid w:val="00983B79"/>
    <w:rsid w:val="00984030"/>
    <w:rsid w:val="009842D0"/>
    <w:rsid w:val="00984776"/>
    <w:rsid w:val="00985113"/>
    <w:rsid w:val="009852CE"/>
    <w:rsid w:val="009857EA"/>
    <w:rsid w:val="0098581A"/>
    <w:rsid w:val="00985A3B"/>
    <w:rsid w:val="00986626"/>
    <w:rsid w:val="00986743"/>
    <w:rsid w:val="009875D5"/>
    <w:rsid w:val="00990156"/>
    <w:rsid w:val="00990160"/>
    <w:rsid w:val="009907C1"/>
    <w:rsid w:val="0099081C"/>
    <w:rsid w:val="00991C6B"/>
    <w:rsid w:val="00991C9A"/>
    <w:rsid w:val="00992683"/>
    <w:rsid w:val="00992EDE"/>
    <w:rsid w:val="00993DB4"/>
    <w:rsid w:val="0099435F"/>
    <w:rsid w:val="009946BE"/>
    <w:rsid w:val="00994CA8"/>
    <w:rsid w:val="00994ECF"/>
    <w:rsid w:val="00994F14"/>
    <w:rsid w:val="00995239"/>
    <w:rsid w:val="00995501"/>
    <w:rsid w:val="00995CBA"/>
    <w:rsid w:val="00995FDA"/>
    <w:rsid w:val="00996275"/>
    <w:rsid w:val="00996753"/>
    <w:rsid w:val="00996780"/>
    <w:rsid w:val="00996D2E"/>
    <w:rsid w:val="00996F7E"/>
    <w:rsid w:val="00997777"/>
    <w:rsid w:val="00997BBA"/>
    <w:rsid w:val="00997EB6"/>
    <w:rsid w:val="00997FA6"/>
    <w:rsid w:val="009A0F8A"/>
    <w:rsid w:val="009A1462"/>
    <w:rsid w:val="009A1CC8"/>
    <w:rsid w:val="009A2513"/>
    <w:rsid w:val="009A328A"/>
    <w:rsid w:val="009A3491"/>
    <w:rsid w:val="009A36A3"/>
    <w:rsid w:val="009A3DED"/>
    <w:rsid w:val="009A40B9"/>
    <w:rsid w:val="009A450C"/>
    <w:rsid w:val="009A4C9A"/>
    <w:rsid w:val="009A501D"/>
    <w:rsid w:val="009A511D"/>
    <w:rsid w:val="009A513C"/>
    <w:rsid w:val="009A67DC"/>
    <w:rsid w:val="009A742F"/>
    <w:rsid w:val="009A74A4"/>
    <w:rsid w:val="009A74C8"/>
    <w:rsid w:val="009A7849"/>
    <w:rsid w:val="009A7AB2"/>
    <w:rsid w:val="009A7B81"/>
    <w:rsid w:val="009A7C3B"/>
    <w:rsid w:val="009B06CF"/>
    <w:rsid w:val="009B1984"/>
    <w:rsid w:val="009B1F4A"/>
    <w:rsid w:val="009B217A"/>
    <w:rsid w:val="009B21D6"/>
    <w:rsid w:val="009B250B"/>
    <w:rsid w:val="009B27BB"/>
    <w:rsid w:val="009B2859"/>
    <w:rsid w:val="009B315A"/>
    <w:rsid w:val="009B353C"/>
    <w:rsid w:val="009B3920"/>
    <w:rsid w:val="009B3A15"/>
    <w:rsid w:val="009B3A86"/>
    <w:rsid w:val="009B41DF"/>
    <w:rsid w:val="009B4328"/>
    <w:rsid w:val="009B4730"/>
    <w:rsid w:val="009B506A"/>
    <w:rsid w:val="009B50D6"/>
    <w:rsid w:val="009B5180"/>
    <w:rsid w:val="009B520A"/>
    <w:rsid w:val="009B5767"/>
    <w:rsid w:val="009B594F"/>
    <w:rsid w:val="009B59F3"/>
    <w:rsid w:val="009B6A06"/>
    <w:rsid w:val="009B6A77"/>
    <w:rsid w:val="009B6E22"/>
    <w:rsid w:val="009C0051"/>
    <w:rsid w:val="009C040E"/>
    <w:rsid w:val="009C0AF8"/>
    <w:rsid w:val="009C0B2B"/>
    <w:rsid w:val="009C1A65"/>
    <w:rsid w:val="009C1EED"/>
    <w:rsid w:val="009C2139"/>
    <w:rsid w:val="009C21AD"/>
    <w:rsid w:val="009C2569"/>
    <w:rsid w:val="009C266C"/>
    <w:rsid w:val="009C2DCB"/>
    <w:rsid w:val="009C2F50"/>
    <w:rsid w:val="009C30F0"/>
    <w:rsid w:val="009C42EA"/>
    <w:rsid w:val="009C48B2"/>
    <w:rsid w:val="009C4A37"/>
    <w:rsid w:val="009C5202"/>
    <w:rsid w:val="009C5280"/>
    <w:rsid w:val="009C59D1"/>
    <w:rsid w:val="009C5BF5"/>
    <w:rsid w:val="009C640F"/>
    <w:rsid w:val="009C652C"/>
    <w:rsid w:val="009C6B5E"/>
    <w:rsid w:val="009C6E6D"/>
    <w:rsid w:val="009C7200"/>
    <w:rsid w:val="009C7433"/>
    <w:rsid w:val="009C7A27"/>
    <w:rsid w:val="009C7DBB"/>
    <w:rsid w:val="009D0161"/>
    <w:rsid w:val="009D02D7"/>
    <w:rsid w:val="009D0374"/>
    <w:rsid w:val="009D0AAE"/>
    <w:rsid w:val="009D1104"/>
    <w:rsid w:val="009D18B7"/>
    <w:rsid w:val="009D1B97"/>
    <w:rsid w:val="009D1E2B"/>
    <w:rsid w:val="009D203B"/>
    <w:rsid w:val="009D2615"/>
    <w:rsid w:val="009D2C13"/>
    <w:rsid w:val="009D2D2A"/>
    <w:rsid w:val="009D303E"/>
    <w:rsid w:val="009D3804"/>
    <w:rsid w:val="009D3821"/>
    <w:rsid w:val="009D3A48"/>
    <w:rsid w:val="009D3D05"/>
    <w:rsid w:val="009D4614"/>
    <w:rsid w:val="009D4B33"/>
    <w:rsid w:val="009D4C09"/>
    <w:rsid w:val="009D4D3B"/>
    <w:rsid w:val="009D4F0F"/>
    <w:rsid w:val="009D4F27"/>
    <w:rsid w:val="009D5165"/>
    <w:rsid w:val="009D557E"/>
    <w:rsid w:val="009D604A"/>
    <w:rsid w:val="009D60AF"/>
    <w:rsid w:val="009D62A2"/>
    <w:rsid w:val="009D642F"/>
    <w:rsid w:val="009D649B"/>
    <w:rsid w:val="009D67D3"/>
    <w:rsid w:val="009D71FF"/>
    <w:rsid w:val="009D7511"/>
    <w:rsid w:val="009D7886"/>
    <w:rsid w:val="009D7AAA"/>
    <w:rsid w:val="009E14FE"/>
    <w:rsid w:val="009E1F0D"/>
    <w:rsid w:val="009E26E3"/>
    <w:rsid w:val="009E2A0C"/>
    <w:rsid w:val="009E2CC9"/>
    <w:rsid w:val="009E344A"/>
    <w:rsid w:val="009E39AC"/>
    <w:rsid w:val="009E3DA4"/>
    <w:rsid w:val="009E41C0"/>
    <w:rsid w:val="009E44A7"/>
    <w:rsid w:val="009E4887"/>
    <w:rsid w:val="009E5258"/>
    <w:rsid w:val="009E578F"/>
    <w:rsid w:val="009E59F3"/>
    <w:rsid w:val="009E5AA4"/>
    <w:rsid w:val="009E5FB8"/>
    <w:rsid w:val="009E632C"/>
    <w:rsid w:val="009E638E"/>
    <w:rsid w:val="009E6532"/>
    <w:rsid w:val="009E6764"/>
    <w:rsid w:val="009E683E"/>
    <w:rsid w:val="009E7290"/>
    <w:rsid w:val="009E7761"/>
    <w:rsid w:val="009E79D5"/>
    <w:rsid w:val="009E7BF2"/>
    <w:rsid w:val="009F092B"/>
    <w:rsid w:val="009F1316"/>
    <w:rsid w:val="009F1D21"/>
    <w:rsid w:val="009F205D"/>
    <w:rsid w:val="009F2070"/>
    <w:rsid w:val="009F2266"/>
    <w:rsid w:val="009F26EA"/>
    <w:rsid w:val="009F2A85"/>
    <w:rsid w:val="009F2CED"/>
    <w:rsid w:val="009F3663"/>
    <w:rsid w:val="009F39B3"/>
    <w:rsid w:val="009F3A9C"/>
    <w:rsid w:val="009F3AB1"/>
    <w:rsid w:val="009F3C78"/>
    <w:rsid w:val="009F3DA8"/>
    <w:rsid w:val="009F3EBF"/>
    <w:rsid w:val="009F434A"/>
    <w:rsid w:val="009F4647"/>
    <w:rsid w:val="009F4CB3"/>
    <w:rsid w:val="009F52A3"/>
    <w:rsid w:val="009F5644"/>
    <w:rsid w:val="009F6519"/>
    <w:rsid w:val="009F6829"/>
    <w:rsid w:val="009F6EE5"/>
    <w:rsid w:val="009F7F0A"/>
    <w:rsid w:val="00A00294"/>
    <w:rsid w:val="00A0058F"/>
    <w:rsid w:val="00A012C8"/>
    <w:rsid w:val="00A016FE"/>
    <w:rsid w:val="00A01930"/>
    <w:rsid w:val="00A01C69"/>
    <w:rsid w:val="00A01D9A"/>
    <w:rsid w:val="00A0251F"/>
    <w:rsid w:val="00A02EC7"/>
    <w:rsid w:val="00A03119"/>
    <w:rsid w:val="00A03BDF"/>
    <w:rsid w:val="00A04113"/>
    <w:rsid w:val="00A044A1"/>
    <w:rsid w:val="00A048DF"/>
    <w:rsid w:val="00A048FB"/>
    <w:rsid w:val="00A05240"/>
    <w:rsid w:val="00A055AA"/>
    <w:rsid w:val="00A05744"/>
    <w:rsid w:val="00A05C19"/>
    <w:rsid w:val="00A05DCB"/>
    <w:rsid w:val="00A05E78"/>
    <w:rsid w:val="00A0602E"/>
    <w:rsid w:val="00A0673D"/>
    <w:rsid w:val="00A0695B"/>
    <w:rsid w:val="00A06D8C"/>
    <w:rsid w:val="00A06DBC"/>
    <w:rsid w:val="00A06F08"/>
    <w:rsid w:val="00A072B8"/>
    <w:rsid w:val="00A07531"/>
    <w:rsid w:val="00A0773E"/>
    <w:rsid w:val="00A0779E"/>
    <w:rsid w:val="00A07867"/>
    <w:rsid w:val="00A07A12"/>
    <w:rsid w:val="00A07E33"/>
    <w:rsid w:val="00A10278"/>
    <w:rsid w:val="00A10457"/>
    <w:rsid w:val="00A11978"/>
    <w:rsid w:val="00A12357"/>
    <w:rsid w:val="00A128D6"/>
    <w:rsid w:val="00A12A1D"/>
    <w:rsid w:val="00A13107"/>
    <w:rsid w:val="00A13330"/>
    <w:rsid w:val="00A1366A"/>
    <w:rsid w:val="00A1445B"/>
    <w:rsid w:val="00A144BD"/>
    <w:rsid w:val="00A14ED0"/>
    <w:rsid w:val="00A15292"/>
    <w:rsid w:val="00A1687D"/>
    <w:rsid w:val="00A16965"/>
    <w:rsid w:val="00A16E4B"/>
    <w:rsid w:val="00A16EF8"/>
    <w:rsid w:val="00A17147"/>
    <w:rsid w:val="00A17781"/>
    <w:rsid w:val="00A1780B"/>
    <w:rsid w:val="00A2008D"/>
    <w:rsid w:val="00A21A5A"/>
    <w:rsid w:val="00A21BCC"/>
    <w:rsid w:val="00A22204"/>
    <w:rsid w:val="00A2222A"/>
    <w:rsid w:val="00A233CF"/>
    <w:rsid w:val="00A234D4"/>
    <w:rsid w:val="00A238BE"/>
    <w:rsid w:val="00A23F42"/>
    <w:rsid w:val="00A243E8"/>
    <w:rsid w:val="00A24966"/>
    <w:rsid w:val="00A249F4"/>
    <w:rsid w:val="00A24B10"/>
    <w:rsid w:val="00A25994"/>
    <w:rsid w:val="00A25CC7"/>
    <w:rsid w:val="00A26492"/>
    <w:rsid w:val="00A265DA"/>
    <w:rsid w:val="00A273D4"/>
    <w:rsid w:val="00A2740B"/>
    <w:rsid w:val="00A276D6"/>
    <w:rsid w:val="00A278A2"/>
    <w:rsid w:val="00A3097F"/>
    <w:rsid w:val="00A311BB"/>
    <w:rsid w:val="00A31391"/>
    <w:rsid w:val="00A31F5A"/>
    <w:rsid w:val="00A32604"/>
    <w:rsid w:val="00A32765"/>
    <w:rsid w:val="00A32E9B"/>
    <w:rsid w:val="00A33285"/>
    <w:rsid w:val="00A33359"/>
    <w:rsid w:val="00A339A6"/>
    <w:rsid w:val="00A33C74"/>
    <w:rsid w:val="00A33DE8"/>
    <w:rsid w:val="00A34FB3"/>
    <w:rsid w:val="00A35915"/>
    <w:rsid w:val="00A35A89"/>
    <w:rsid w:val="00A35B74"/>
    <w:rsid w:val="00A3646E"/>
    <w:rsid w:val="00A36E05"/>
    <w:rsid w:val="00A3705B"/>
    <w:rsid w:val="00A375A9"/>
    <w:rsid w:val="00A376BC"/>
    <w:rsid w:val="00A37CBF"/>
    <w:rsid w:val="00A37FC1"/>
    <w:rsid w:val="00A40267"/>
    <w:rsid w:val="00A4048A"/>
    <w:rsid w:val="00A4048E"/>
    <w:rsid w:val="00A40831"/>
    <w:rsid w:val="00A40AA6"/>
    <w:rsid w:val="00A4174C"/>
    <w:rsid w:val="00A41D40"/>
    <w:rsid w:val="00A4204B"/>
    <w:rsid w:val="00A42137"/>
    <w:rsid w:val="00A42298"/>
    <w:rsid w:val="00A42354"/>
    <w:rsid w:val="00A42C26"/>
    <w:rsid w:val="00A441F8"/>
    <w:rsid w:val="00A4465F"/>
    <w:rsid w:val="00A44C6D"/>
    <w:rsid w:val="00A44E58"/>
    <w:rsid w:val="00A455C6"/>
    <w:rsid w:val="00A45CB2"/>
    <w:rsid w:val="00A45DE3"/>
    <w:rsid w:val="00A46322"/>
    <w:rsid w:val="00A46800"/>
    <w:rsid w:val="00A46887"/>
    <w:rsid w:val="00A46A67"/>
    <w:rsid w:val="00A46EED"/>
    <w:rsid w:val="00A46F1C"/>
    <w:rsid w:val="00A471C8"/>
    <w:rsid w:val="00A47C5F"/>
    <w:rsid w:val="00A47C8A"/>
    <w:rsid w:val="00A50697"/>
    <w:rsid w:val="00A50DB9"/>
    <w:rsid w:val="00A5145A"/>
    <w:rsid w:val="00A514D5"/>
    <w:rsid w:val="00A517AD"/>
    <w:rsid w:val="00A51E0F"/>
    <w:rsid w:val="00A52051"/>
    <w:rsid w:val="00A52108"/>
    <w:rsid w:val="00A5229D"/>
    <w:rsid w:val="00A5265F"/>
    <w:rsid w:val="00A52D92"/>
    <w:rsid w:val="00A52E41"/>
    <w:rsid w:val="00A53219"/>
    <w:rsid w:val="00A534C3"/>
    <w:rsid w:val="00A54259"/>
    <w:rsid w:val="00A543A8"/>
    <w:rsid w:val="00A54F16"/>
    <w:rsid w:val="00A54FB6"/>
    <w:rsid w:val="00A5540E"/>
    <w:rsid w:val="00A55875"/>
    <w:rsid w:val="00A55A90"/>
    <w:rsid w:val="00A55C9D"/>
    <w:rsid w:val="00A5623A"/>
    <w:rsid w:val="00A56392"/>
    <w:rsid w:val="00A56447"/>
    <w:rsid w:val="00A567E6"/>
    <w:rsid w:val="00A568BE"/>
    <w:rsid w:val="00A56FDE"/>
    <w:rsid w:val="00A5748E"/>
    <w:rsid w:val="00A57720"/>
    <w:rsid w:val="00A5775E"/>
    <w:rsid w:val="00A57A0B"/>
    <w:rsid w:val="00A57DE7"/>
    <w:rsid w:val="00A6015F"/>
    <w:rsid w:val="00A6076B"/>
    <w:rsid w:val="00A609A9"/>
    <w:rsid w:val="00A62290"/>
    <w:rsid w:val="00A62565"/>
    <w:rsid w:val="00A625C7"/>
    <w:rsid w:val="00A62A6B"/>
    <w:rsid w:val="00A63873"/>
    <w:rsid w:val="00A63ABC"/>
    <w:rsid w:val="00A64AA8"/>
    <w:rsid w:val="00A64D97"/>
    <w:rsid w:val="00A65B2D"/>
    <w:rsid w:val="00A6617B"/>
    <w:rsid w:val="00A66192"/>
    <w:rsid w:val="00A665B1"/>
    <w:rsid w:val="00A66D41"/>
    <w:rsid w:val="00A66DF6"/>
    <w:rsid w:val="00A67223"/>
    <w:rsid w:val="00A67EA9"/>
    <w:rsid w:val="00A701C8"/>
    <w:rsid w:val="00A7028E"/>
    <w:rsid w:val="00A71953"/>
    <w:rsid w:val="00A71A3D"/>
    <w:rsid w:val="00A72159"/>
    <w:rsid w:val="00A722D3"/>
    <w:rsid w:val="00A724B2"/>
    <w:rsid w:val="00A72C60"/>
    <w:rsid w:val="00A730CC"/>
    <w:rsid w:val="00A7318F"/>
    <w:rsid w:val="00A73324"/>
    <w:rsid w:val="00A73503"/>
    <w:rsid w:val="00A73684"/>
    <w:rsid w:val="00A73FC4"/>
    <w:rsid w:val="00A7465B"/>
    <w:rsid w:val="00A7490C"/>
    <w:rsid w:val="00A749EE"/>
    <w:rsid w:val="00A75691"/>
    <w:rsid w:val="00A758BD"/>
    <w:rsid w:val="00A7622E"/>
    <w:rsid w:val="00A76A94"/>
    <w:rsid w:val="00A76D4A"/>
    <w:rsid w:val="00A76DEF"/>
    <w:rsid w:val="00A7763B"/>
    <w:rsid w:val="00A77AE4"/>
    <w:rsid w:val="00A77C70"/>
    <w:rsid w:val="00A77C80"/>
    <w:rsid w:val="00A805D4"/>
    <w:rsid w:val="00A81A0C"/>
    <w:rsid w:val="00A81A80"/>
    <w:rsid w:val="00A81ED6"/>
    <w:rsid w:val="00A82622"/>
    <w:rsid w:val="00A82C9C"/>
    <w:rsid w:val="00A832BF"/>
    <w:rsid w:val="00A84163"/>
    <w:rsid w:val="00A848E4"/>
    <w:rsid w:val="00A84FAB"/>
    <w:rsid w:val="00A8508C"/>
    <w:rsid w:val="00A858DC"/>
    <w:rsid w:val="00A86182"/>
    <w:rsid w:val="00A86C37"/>
    <w:rsid w:val="00A86ED7"/>
    <w:rsid w:val="00A873B2"/>
    <w:rsid w:val="00A903C6"/>
    <w:rsid w:val="00A905C4"/>
    <w:rsid w:val="00A90D2D"/>
    <w:rsid w:val="00A90D3E"/>
    <w:rsid w:val="00A91511"/>
    <w:rsid w:val="00A91565"/>
    <w:rsid w:val="00A917E6"/>
    <w:rsid w:val="00A91A0F"/>
    <w:rsid w:val="00A91BD6"/>
    <w:rsid w:val="00A92B2C"/>
    <w:rsid w:val="00A93BAC"/>
    <w:rsid w:val="00A93C48"/>
    <w:rsid w:val="00A946A5"/>
    <w:rsid w:val="00A94D86"/>
    <w:rsid w:val="00A950AC"/>
    <w:rsid w:val="00A9561B"/>
    <w:rsid w:val="00A95795"/>
    <w:rsid w:val="00A95C89"/>
    <w:rsid w:val="00A96635"/>
    <w:rsid w:val="00A968B5"/>
    <w:rsid w:val="00A969CC"/>
    <w:rsid w:val="00A96A8A"/>
    <w:rsid w:val="00A96EB1"/>
    <w:rsid w:val="00A971C3"/>
    <w:rsid w:val="00AA00C1"/>
    <w:rsid w:val="00AA0498"/>
    <w:rsid w:val="00AA1234"/>
    <w:rsid w:val="00AA150C"/>
    <w:rsid w:val="00AA189C"/>
    <w:rsid w:val="00AA1E60"/>
    <w:rsid w:val="00AA237D"/>
    <w:rsid w:val="00AA2600"/>
    <w:rsid w:val="00AA2F3D"/>
    <w:rsid w:val="00AA311A"/>
    <w:rsid w:val="00AA3CDD"/>
    <w:rsid w:val="00AA3FEC"/>
    <w:rsid w:val="00AA425A"/>
    <w:rsid w:val="00AA439E"/>
    <w:rsid w:val="00AA43B5"/>
    <w:rsid w:val="00AA4501"/>
    <w:rsid w:val="00AA45EE"/>
    <w:rsid w:val="00AA4A8C"/>
    <w:rsid w:val="00AA4D1B"/>
    <w:rsid w:val="00AA5085"/>
    <w:rsid w:val="00AA61E3"/>
    <w:rsid w:val="00AA6485"/>
    <w:rsid w:val="00AA66EA"/>
    <w:rsid w:val="00AA6E8D"/>
    <w:rsid w:val="00AA72CF"/>
    <w:rsid w:val="00AA7655"/>
    <w:rsid w:val="00AA7E32"/>
    <w:rsid w:val="00AB085E"/>
    <w:rsid w:val="00AB0942"/>
    <w:rsid w:val="00AB0F93"/>
    <w:rsid w:val="00AB279D"/>
    <w:rsid w:val="00AB2EDA"/>
    <w:rsid w:val="00AB369F"/>
    <w:rsid w:val="00AB39FA"/>
    <w:rsid w:val="00AB3D9B"/>
    <w:rsid w:val="00AB3E7C"/>
    <w:rsid w:val="00AB4599"/>
    <w:rsid w:val="00AB4853"/>
    <w:rsid w:val="00AB486E"/>
    <w:rsid w:val="00AB4EF2"/>
    <w:rsid w:val="00AB523E"/>
    <w:rsid w:val="00AB5507"/>
    <w:rsid w:val="00AB5FDF"/>
    <w:rsid w:val="00AB6C79"/>
    <w:rsid w:val="00AB7343"/>
    <w:rsid w:val="00AB7828"/>
    <w:rsid w:val="00AB7D5A"/>
    <w:rsid w:val="00AB7D97"/>
    <w:rsid w:val="00AC00B6"/>
    <w:rsid w:val="00AC01F3"/>
    <w:rsid w:val="00AC0341"/>
    <w:rsid w:val="00AC0934"/>
    <w:rsid w:val="00AC0951"/>
    <w:rsid w:val="00AC0AF1"/>
    <w:rsid w:val="00AC0E1E"/>
    <w:rsid w:val="00AC2896"/>
    <w:rsid w:val="00AC2D71"/>
    <w:rsid w:val="00AC3CF7"/>
    <w:rsid w:val="00AC3CFA"/>
    <w:rsid w:val="00AC526F"/>
    <w:rsid w:val="00AC5476"/>
    <w:rsid w:val="00AC6021"/>
    <w:rsid w:val="00AC6735"/>
    <w:rsid w:val="00AC6962"/>
    <w:rsid w:val="00AC7072"/>
    <w:rsid w:val="00AC7329"/>
    <w:rsid w:val="00AC73D0"/>
    <w:rsid w:val="00AC742E"/>
    <w:rsid w:val="00AC7798"/>
    <w:rsid w:val="00AC7860"/>
    <w:rsid w:val="00AC7B29"/>
    <w:rsid w:val="00AD0AF7"/>
    <w:rsid w:val="00AD0DCD"/>
    <w:rsid w:val="00AD151D"/>
    <w:rsid w:val="00AD2A88"/>
    <w:rsid w:val="00AD2D5B"/>
    <w:rsid w:val="00AD3078"/>
    <w:rsid w:val="00AD3DC4"/>
    <w:rsid w:val="00AD4069"/>
    <w:rsid w:val="00AD4109"/>
    <w:rsid w:val="00AD4EFD"/>
    <w:rsid w:val="00AD54FC"/>
    <w:rsid w:val="00AD55C7"/>
    <w:rsid w:val="00AD5B9C"/>
    <w:rsid w:val="00AD5C83"/>
    <w:rsid w:val="00AD5D16"/>
    <w:rsid w:val="00AD670E"/>
    <w:rsid w:val="00AD6C00"/>
    <w:rsid w:val="00AD6D68"/>
    <w:rsid w:val="00AD6E75"/>
    <w:rsid w:val="00AD79DF"/>
    <w:rsid w:val="00AD7A48"/>
    <w:rsid w:val="00AE0105"/>
    <w:rsid w:val="00AE0DF6"/>
    <w:rsid w:val="00AE0EF3"/>
    <w:rsid w:val="00AE1D1A"/>
    <w:rsid w:val="00AE2D83"/>
    <w:rsid w:val="00AE3281"/>
    <w:rsid w:val="00AE3424"/>
    <w:rsid w:val="00AE35AF"/>
    <w:rsid w:val="00AE3628"/>
    <w:rsid w:val="00AE3ABC"/>
    <w:rsid w:val="00AE4812"/>
    <w:rsid w:val="00AE4B70"/>
    <w:rsid w:val="00AE4EFC"/>
    <w:rsid w:val="00AE4FE5"/>
    <w:rsid w:val="00AE50EB"/>
    <w:rsid w:val="00AE544A"/>
    <w:rsid w:val="00AE59D3"/>
    <w:rsid w:val="00AE5B39"/>
    <w:rsid w:val="00AE5B84"/>
    <w:rsid w:val="00AE5FA2"/>
    <w:rsid w:val="00AE6217"/>
    <w:rsid w:val="00AE645A"/>
    <w:rsid w:val="00AE6ABF"/>
    <w:rsid w:val="00AE6C80"/>
    <w:rsid w:val="00AE7B10"/>
    <w:rsid w:val="00AF0ACE"/>
    <w:rsid w:val="00AF16CE"/>
    <w:rsid w:val="00AF18B8"/>
    <w:rsid w:val="00AF1B67"/>
    <w:rsid w:val="00AF20BF"/>
    <w:rsid w:val="00AF2193"/>
    <w:rsid w:val="00AF2712"/>
    <w:rsid w:val="00AF2DF2"/>
    <w:rsid w:val="00AF2E4A"/>
    <w:rsid w:val="00AF2E7C"/>
    <w:rsid w:val="00AF354E"/>
    <w:rsid w:val="00AF3C1F"/>
    <w:rsid w:val="00AF3D55"/>
    <w:rsid w:val="00AF3E69"/>
    <w:rsid w:val="00AF467C"/>
    <w:rsid w:val="00AF4738"/>
    <w:rsid w:val="00AF492B"/>
    <w:rsid w:val="00AF4BC3"/>
    <w:rsid w:val="00AF5353"/>
    <w:rsid w:val="00AF53BF"/>
    <w:rsid w:val="00AF5EF3"/>
    <w:rsid w:val="00AF62DB"/>
    <w:rsid w:val="00AF62E8"/>
    <w:rsid w:val="00AF65B5"/>
    <w:rsid w:val="00AF6794"/>
    <w:rsid w:val="00AF69E6"/>
    <w:rsid w:val="00AF6AFE"/>
    <w:rsid w:val="00AF738D"/>
    <w:rsid w:val="00AF78D4"/>
    <w:rsid w:val="00AF7912"/>
    <w:rsid w:val="00AF7CE8"/>
    <w:rsid w:val="00B001E0"/>
    <w:rsid w:val="00B001E3"/>
    <w:rsid w:val="00B00251"/>
    <w:rsid w:val="00B006FF"/>
    <w:rsid w:val="00B01325"/>
    <w:rsid w:val="00B014FC"/>
    <w:rsid w:val="00B01E25"/>
    <w:rsid w:val="00B01F7C"/>
    <w:rsid w:val="00B025F6"/>
    <w:rsid w:val="00B02DC2"/>
    <w:rsid w:val="00B030DC"/>
    <w:rsid w:val="00B03D23"/>
    <w:rsid w:val="00B049E4"/>
    <w:rsid w:val="00B055DF"/>
    <w:rsid w:val="00B055E5"/>
    <w:rsid w:val="00B056D1"/>
    <w:rsid w:val="00B05850"/>
    <w:rsid w:val="00B05C11"/>
    <w:rsid w:val="00B061F7"/>
    <w:rsid w:val="00B066C4"/>
    <w:rsid w:val="00B069EF"/>
    <w:rsid w:val="00B06C3B"/>
    <w:rsid w:val="00B06CA8"/>
    <w:rsid w:val="00B0706A"/>
    <w:rsid w:val="00B07847"/>
    <w:rsid w:val="00B10749"/>
    <w:rsid w:val="00B109C5"/>
    <w:rsid w:val="00B11402"/>
    <w:rsid w:val="00B116FD"/>
    <w:rsid w:val="00B11776"/>
    <w:rsid w:val="00B118E8"/>
    <w:rsid w:val="00B11900"/>
    <w:rsid w:val="00B11912"/>
    <w:rsid w:val="00B11A27"/>
    <w:rsid w:val="00B11B5B"/>
    <w:rsid w:val="00B13129"/>
    <w:rsid w:val="00B138B7"/>
    <w:rsid w:val="00B139DF"/>
    <w:rsid w:val="00B143DF"/>
    <w:rsid w:val="00B14599"/>
    <w:rsid w:val="00B148E4"/>
    <w:rsid w:val="00B14F08"/>
    <w:rsid w:val="00B1524F"/>
    <w:rsid w:val="00B15CC3"/>
    <w:rsid w:val="00B1634C"/>
    <w:rsid w:val="00B16417"/>
    <w:rsid w:val="00B1669D"/>
    <w:rsid w:val="00B1698A"/>
    <w:rsid w:val="00B16DB6"/>
    <w:rsid w:val="00B170F3"/>
    <w:rsid w:val="00B20A5A"/>
    <w:rsid w:val="00B211F6"/>
    <w:rsid w:val="00B2180E"/>
    <w:rsid w:val="00B21839"/>
    <w:rsid w:val="00B225FF"/>
    <w:rsid w:val="00B2274C"/>
    <w:rsid w:val="00B22E05"/>
    <w:rsid w:val="00B23365"/>
    <w:rsid w:val="00B241F7"/>
    <w:rsid w:val="00B24236"/>
    <w:rsid w:val="00B2435A"/>
    <w:rsid w:val="00B24633"/>
    <w:rsid w:val="00B25553"/>
    <w:rsid w:val="00B2558A"/>
    <w:rsid w:val="00B25CCE"/>
    <w:rsid w:val="00B266B3"/>
    <w:rsid w:val="00B26CBA"/>
    <w:rsid w:val="00B27580"/>
    <w:rsid w:val="00B276A9"/>
    <w:rsid w:val="00B276B3"/>
    <w:rsid w:val="00B3107F"/>
    <w:rsid w:val="00B312DC"/>
    <w:rsid w:val="00B319D9"/>
    <w:rsid w:val="00B31C4D"/>
    <w:rsid w:val="00B31E25"/>
    <w:rsid w:val="00B31E74"/>
    <w:rsid w:val="00B31F54"/>
    <w:rsid w:val="00B32610"/>
    <w:rsid w:val="00B334F6"/>
    <w:rsid w:val="00B3382F"/>
    <w:rsid w:val="00B33833"/>
    <w:rsid w:val="00B33B34"/>
    <w:rsid w:val="00B33C17"/>
    <w:rsid w:val="00B33CA1"/>
    <w:rsid w:val="00B33E78"/>
    <w:rsid w:val="00B34365"/>
    <w:rsid w:val="00B347DD"/>
    <w:rsid w:val="00B34A1F"/>
    <w:rsid w:val="00B34DD8"/>
    <w:rsid w:val="00B35788"/>
    <w:rsid w:val="00B360B8"/>
    <w:rsid w:val="00B3613F"/>
    <w:rsid w:val="00B362AD"/>
    <w:rsid w:val="00B3659D"/>
    <w:rsid w:val="00B366DC"/>
    <w:rsid w:val="00B366EE"/>
    <w:rsid w:val="00B367B9"/>
    <w:rsid w:val="00B367C0"/>
    <w:rsid w:val="00B36F3C"/>
    <w:rsid w:val="00B3727E"/>
    <w:rsid w:val="00B37403"/>
    <w:rsid w:val="00B37D1F"/>
    <w:rsid w:val="00B37D7E"/>
    <w:rsid w:val="00B403F9"/>
    <w:rsid w:val="00B40527"/>
    <w:rsid w:val="00B41A3E"/>
    <w:rsid w:val="00B41C00"/>
    <w:rsid w:val="00B41FE5"/>
    <w:rsid w:val="00B42098"/>
    <w:rsid w:val="00B4274F"/>
    <w:rsid w:val="00B42C38"/>
    <w:rsid w:val="00B43698"/>
    <w:rsid w:val="00B436ED"/>
    <w:rsid w:val="00B438E1"/>
    <w:rsid w:val="00B43EB5"/>
    <w:rsid w:val="00B4435C"/>
    <w:rsid w:val="00B444F0"/>
    <w:rsid w:val="00B445E3"/>
    <w:rsid w:val="00B44966"/>
    <w:rsid w:val="00B44ABF"/>
    <w:rsid w:val="00B44B7E"/>
    <w:rsid w:val="00B453E6"/>
    <w:rsid w:val="00B4548C"/>
    <w:rsid w:val="00B45D40"/>
    <w:rsid w:val="00B46281"/>
    <w:rsid w:val="00B4641E"/>
    <w:rsid w:val="00B465A7"/>
    <w:rsid w:val="00B46F3F"/>
    <w:rsid w:val="00B47178"/>
    <w:rsid w:val="00B47330"/>
    <w:rsid w:val="00B47C99"/>
    <w:rsid w:val="00B47F27"/>
    <w:rsid w:val="00B50AC4"/>
    <w:rsid w:val="00B51EDD"/>
    <w:rsid w:val="00B5207A"/>
    <w:rsid w:val="00B52145"/>
    <w:rsid w:val="00B523A2"/>
    <w:rsid w:val="00B52611"/>
    <w:rsid w:val="00B52918"/>
    <w:rsid w:val="00B52A03"/>
    <w:rsid w:val="00B54C52"/>
    <w:rsid w:val="00B5545C"/>
    <w:rsid w:val="00B55808"/>
    <w:rsid w:val="00B567E7"/>
    <w:rsid w:val="00B56A81"/>
    <w:rsid w:val="00B56BBF"/>
    <w:rsid w:val="00B570D6"/>
    <w:rsid w:val="00B578A0"/>
    <w:rsid w:val="00B57E99"/>
    <w:rsid w:val="00B6010A"/>
    <w:rsid w:val="00B603E7"/>
    <w:rsid w:val="00B60927"/>
    <w:rsid w:val="00B60A0A"/>
    <w:rsid w:val="00B618EA"/>
    <w:rsid w:val="00B61FC2"/>
    <w:rsid w:val="00B623CA"/>
    <w:rsid w:val="00B628D9"/>
    <w:rsid w:val="00B6291B"/>
    <w:rsid w:val="00B62FF0"/>
    <w:rsid w:val="00B636D6"/>
    <w:rsid w:val="00B63925"/>
    <w:rsid w:val="00B63B04"/>
    <w:rsid w:val="00B63D48"/>
    <w:rsid w:val="00B63FBA"/>
    <w:rsid w:val="00B6404A"/>
    <w:rsid w:val="00B641D2"/>
    <w:rsid w:val="00B64283"/>
    <w:rsid w:val="00B646F9"/>
    <w:rsid w:val="00B64952"/>
    <w:rsid w:val="00B64AA1"/>
    <w:rsid w:val="00B64BCC"/>
    <w:rsid w:val="00B64C01"/>
    <w:rsid w:val="00B65AF5"/>
    <w:rsid w:val="00B65BBD"/>
    <w:rsid w:val="00B65F92"/>
    <w:rsid w:val="00B66988"/>
    <w:rsid w:val="00B66DC2"/>
    <w:rsid w:val="00B67FE6"/>
    <w:rsid w:val="00B70168"/>
    <w:rsid w:val="00B71494"/>
    <w:rsid w:val="00B71C3B"/>
    <w:rsid w:val="00B71D9F"/>
    <w:rsid w:val="00B71E8D"/>
    <w:rsid w:val="00B72027"/>
    <w:rsid w:val="00B72453"/>
    <w:rsid w:val="00B726A1"/>
    <w:rsid w:val="00B72864"/>
    <w:rsid w:val="00B72BEE"/>
    <w:rsid w:val="00B738CF"/>
    <w:rsid w:val="00B73904"/>
    <w:rsid w:val="00B74314"/>
    <w:rsid w:val="00B746DE"/>
    <w:rsid w:val="00B74748"/>
    <w:rsid w:val="00B74801"/>
    <w:rsid w:val="00B74A3D"/>
    <w:rsid w:val="00B74A88"/>
    <w:rsid w:val="00B74B1A"/>
    <w:rsid w:val="00B74E98"/>
    <w:rsid w:val="00B75675"/>
    <w:rsid w:val="00B759BD"/>
    <w:rsid w:val="00B75E0E"/>
    <w:rsid w:val="00B75EDC"/>
    <w:rsid w:val="00B76948"/>
    <w:rsid w:val="00B76B9C"/>
    <w:rsid w:val="00B76C6B"/>
    <w:rsid w:val="00B7732C"/>
    <w:rsid w:val="00B801B5"/>
    <w:rsid w:val="00B80387"/>
    <w:rsid w:val="00B80610"/>
    <w:rsid w:val="00B80AE8"/>
    <w:rsid w:val="00B81124"/>
    <w:rsid w:val="00B812D8"/>
    <w:rsid w:val="00B818BC"/>
    <w:rsid w:val="00B82529"/>
    <w:rsid w:val="00B82A89"/>
    <w:rsid w:val="00B8305F"/>
    <w:rsid w:val="00B83207"/>
    <w:rsid w:val="00B8381E"/>
    <w:rsid w:val="00B84074"/>
    <w:rsid w:val="00B85028"/>
    <w:rsid w:val="00B85241"/>
    <w:rsid w:val="00B871F7"/>
    <w:rsid w:val="00B878E9"/>
    <w:rsid w:val="00B87C5E"/>
    <w:rsid w:val="00B87CC0"/>
    <w:rsid w:val="00B87EE5"/>
    <w:rsid w:val="00B90BCB"/>
    <w:rsid w:val="00B90BEA"/>
    <w:rsid w:val="00B90C73"/>
    <w:rsid w:val="00B90DCD"/>
    <w:rsid w:val="00B93022"/>
    <w:rsid w:val="00B93248"/>
    <w:rsid w:val="00B93C6B"/>
    <w:rsid w:val="00B95DA3"/>
    <w:rsid w:val="00B95E09"/>
    <w:rsid w:val="00B9607D"/>
    <w:rsid w:val="00B96621"/>
    <w:rsid w:val="00B96726"/>
    <w:rsid w:val="00B96FA3"/>
    <w:rsid w:val="00B97073"/>
    <w:rsid w:val="00B976CB"/>
    <w:rsid w:val="00B978EF"/>
    <w:rsid w:val="00B97C0A"/>
    <w:rsid w:val="00BA0190"/>
    <w:rsid w:val="00BA044B"/>
    <w:rsid w:val="00BA08F0"/>
    <w:rsid w:val="00BA129C"/>
    <w:rsid w:val="00BA1C0D"/>
    <w:rsid w:val="00BA251F"/>
    <w:rsid w:val="00BA2F0A"/>
    <w:rsid w:val="00BA2FB7"/>
    <w:rsid w:val="00BA3300"/>
    <w:rsid w:val="00BA33F5"/>
    <w:rsid w:val="00BA34DB"/>
    <w:rsid w:val="00BA3DC8"/>
    <w:rsid w:val="00BA41F4"/>
    <w:rsid w:val="00BA45BB"/>
    <w:rsid w:val="00BA4679"/>
    <w:rsid w:val="00BA4948"/>
    <w:rsid w:val="00BA4A26"/>
    <w:rsid w:val="00BA4C5C"/>
    <w:rsid w:val="00BA5C61"/>
    <w:rsid w:val="00BA614B"/>
    <w:rsid w:val="00BA6DD1"/>
    <w:rsid w:val="00BA70BD"/>
    <w:rsid w:val="00BA71AF"/>
    <w:rsid w:val="00BB0322"/>
    <w:rsid w:val="00BB0436"/>
    <w:rsid w:val="00BB0F4B"/>
    <w:rsid w:val="00BB106F"/>
    <w:rsid w:val="00BB1502"/>
    <w:rsid w:val="00BB1DCE"/>
    <w:rsid w:val="00BB1F5B"/>
    <w:rsid w:val="00BB23FD"/>
    <w:rsid w:val="00BB37F9"/>
    <w:rsid w:val="00BB3DAB"/>
    <w:rsid w:val="00BB3DEF"/>
    <w:rsid w:val="00BB5A5C"/>
    <w:rsid w:val="00BB5A79"/>
    <w:rsid w:val="00BB5AF2"/>
    <w:rsid w:val="00BB5FF8"/>
    <w:rsid w:val="00BB6635"/>
    <w:rsid w:val="00BB6BE5"/>
    <w:rsid w:val="00BB7491"/>
    <w:rsid w:val="00BB74A6"/>
    <w:rsid w:val="00BB7CB9"/>
    <w:rsid w:val="00BC0088"/>
    <w:rsid w:val="00BC00AC"/>
    <w:rsid w:val="00BC044F"/>
    <w:rsid w:val="00BC0620"/>
    <w:rsid w:val="00BC079F"/>
    <w:rsid w:val="00BC0896"/>
    <w:rsid w:val="00BC0D93"/>
    <w:rsid w:val="00BC1112"/>
    <w:rsid w:val="00BC1486"/>
    <w:rsid w:val="00BC1A94"/>
    <w:rsid w:val="00BC1E63"/>
    <w:rsid w:val="00BC21AF"/>
    <w:rsid w:val="00BC27FD"/>
    <w:rsid w:val="00BC29E1"/>
    <w:rsid w:val="00BC2D7D"/>
    <w:rsid w:val="00BC2F01"/>
    <w:rsid w:val="00BC34C3"/>
    <w:rsid w:val="00BC3673"/>
    <w:rsid w:val="00BC36D5"/>
    <w:rsid w:val="00BC3ED0"/>
    <w:rsid w:val="00BC416F"/>
    <w:rsid w:val="00BC42B1"/>
    <w:rsid w:val="00BC43C3"/>
    <w:rsid w:val="00BC479C"/>
    <w:rsid w:val="00BC5403"/>
    <w:rsid w:val="00BC6AF7"/>
    <w:rsid w:val="00BC6AFA"/>
    <w:rsid w:val="00BC6E42"/>
    <w:rsid w:val="00BC7458"/>
    <w:rsid w:val="00BC7461"/>
    <w:rsid w:val="00BC774F"/>
    <w:rsid w:val="00BD0117"/>
    <w:rsid w:val="00BD05EC"/>
    <w:rsid w:val="00BD0A1F"/>
    <w:rsid w:val="00BD0C2F"/>
    <w:rsid w:val="00BD0CBA"/>
    <w:rsid w:val="00BD0F48"/>
    <w:rsid w:val="00BD1459"/>
    <w:rsid w:val="00BD1860"/>
    <w:rsid w:val="00BD1A55"/>
    <w:rsid w:val="00BD1CB2"/>
    <w:rsid w:val="00BD1CFA"/>
    <w:rsid w:val="00BD1F32"/>
    <w:rsid w:val="00BD29E6"/>
    <w:rsid w:val="00BD2A37"/>
    <w:rsid w:val="00BD2FBE"/>
    <w:rsid w:val="00BD3313"/>
    <w:rsid w:val="00BD39FC"/>
    <w:rsid w:val="00BD3B4C"/>
    <w:rsid w:val="00BD4C79"/>
    <w:rsid w:val="00BD50AF"/>
    <w:rsid w:val="00BD51E0"/>
    <w:rsid w:val="00BD5E15"/>
    <w:rsid w:val="00BD60AA"/>
    <w:rsid w:val="00BD61F7"/>
    <w:rsid w:val="00BD6BBD"/>
    <w:rsid w:val="00BD7468"/>
    <w:rsid w:val="00BD7BA5"/>
    <w:rsid w:val="00BD7D11"/>
    <w:rsid w:val="00BE044E"/>
    <w:rsid w:val="00BE0862"/>
    <w:rsid w:val="00BE0B71"/>
    <w:rsid w:val="00BE20B8"/>
    <w:rsid w:val="00BE22F7"/>
    <w:rsid w:val="00BE2CB8"/>
    <w:rsid w:val="00BE2E4C"/>
    <w:rsid w:val="00BE33FE"/>
    <w:rsid w:val="00BE3770"/>
    <w:rsid w:val="00BE3817"/>
    <w:rsid w:val="00BE3A12"/>
    <w:rsid w:val="00BE417D"/>
    <w:rsid w:val="00BE466C"/>
    <w:rsid w:val="00BE4B15"/>
    <w:rsid w:val="00BE519D"/>
    <w:rsid w:val="00BE5248"/>
    <w:rsid w:val="00BE5320"/>
    <w:rsid w:val="00BE5B64"/>
    <w:rsid w:val="00BE66EB"/>
    <w:rsid w:val="00BE6769"/>
    <w:rsid w:val="00BE68AA"/>
    <w:rsid w:val="00BE68B5"/>
    <w:rsid w:val="00BE715D"/>
    <w:rsid w:val="00BE7D1B"/>
    <w:rsid w:val="00BE7E0B"/>
    <w:rsid w:val="00BF0341"/>
    <w:rsid w:val="00BF036B"/>
    <w:rsid w:val="00BF0DA4"/>
    <w:rsid w:val="00BF129E"/>
    <w:rsid w:val="00BF22D0"/>
    <w:rsid w:val="00BF2C1F"/>
    <w:rsid w:val="00BF32EF"/>
    <w:rsid w:val="00BF347F"/>
    <w:rsid w:val="00BF34D6"/>
    <w:rsid w:val="00BF3773"/>
    <w:rsid w:val="00BF41CA"/>
    <w:rsid w:val="00BF4A2C"/>
    <w:rsid w:val="00BF4D6F"/>
    <w:rsid w:val="00BF4D7B"/>
    <w:rsid w:val="00BF51EF"/>
    <w:rsid w:val="00BF54EA"/>
    <w:rsid w:val="00BF553A"/>
    <w:rsid w:val="00BF560E"/>
    <w:rsid w:val="00BF563A"/>
    <w:rsid w:val="00BF5BDE"/>
    <w:rsid w:val="00BF69AF"/>
    <w:rsid w:val="00BF6CE1"/>
    <w:rsid w:val="00BF7055"/>
    <w:rsid w:val="00BF71E4"/>
    <w:rsid w:val="00BF7385"/>
    <w:rsid w:val="00C00602"/>
    <w:rsid w:val="00C00F5B"/>
    <w:rsid w:val="00C01311"/>
    <w:rsid w:val="00C0156A"/>
    <w:rsid w:val="00C01F9C"/>
    <w:rsid w:val="00C02652"/>
    <w:rsid w:val="00C02CE5"/>
    <w:rsid w:val="00C02EC1"/>
    <w:rsid w:val="00C035B5"/>
    <w:rsid w:val="00C03697"/>
    <w:rsid w:val="00C036A4"/>
    <w:rsid w:val="00C04015"/>
    <w:rsid w:val="00C04083"/>
    <w:rsid w:val="00C0456A"/>
    <w:rsid w:val="00C0496A"/>
    <w:rsid w:val="00C04D45"/>
    <w:rsid w:val="00C05480"/>
    <w:rsid w:val="00C057A9"/>
    <w:rsid w:val="00C05C90"/>
    <w:rsid w:val="00C05DBC"/>
    <w:rsid w:val="00C06035"/>
    <w:rsid w:val="00C06407"/>
    <w:rsid w:val="00C06677"/>
    <w:rsid w:val="00C067D5"/>
    <w:rsid w:val="00C06B3E"/>
    <w:rsid w:val="00C06C19"/>
    <w:rsid w:val="00C06CAA"/>
    <w:rsid w:val="00C073DA"/>
    <w:rsid w:val="00C07F02"/>
    <w:rsid w:val="00C10011"/>
    <w:rsid w:val="00C102D0"/>
    <w:rsid w:val="00C10440"/>
    <w:rsid w:val="00C10AE9"/>
    <w:rsid w:val="00C10FF2"/>
    <w:rsid w:val="00C113ED"/>
    <w:rsid w:val="00C11608"/>
    <w:rsid w:val="00C11666"/>
    <w:rsid w:val="00C118B7"/>
    <w:rsid w:val="00C11A14"/>
    <w:rsid w:val="00C11BEC"/>
    <w:rsid w:val="00C123A0"/>
    <w:rsid w:val="00C123C8"/>
    <w:rsid w:val="00C12587"/>
    <w:rsid w:val="00C125FB"/>
    <w:rsid w:val="00C1276E"/>
    <w:rsid w:val="00C13FF9"/>
    <w:rsid w:val="00C1401B"/>
    <w:rsid w:val="00C14291"/>
    <w:rsid w:val="00C146FB"/>
    <w:rsid w:val="00C148D1"/>
    <w:rsid w:val="00C15217"/>
    <w:rsid w:val="00C15869"/>
    <w:rsid w:val="00C15BB2"/>
    <w:rsid w:val="00C15BF7"/>
    <w:rsid w:val="00C15C57"/>
    <w:rsid w:val="00C16045"/>
    <w:rsid w:val="00C1649C"/>
    <w:rsid w:val="00C167B4"/>
    <w:rsid w:val="00C16D43"/>
    <w:rsid w:val="00C16DC5"/>
    <w:rsid w:val="00C16E94"/>
    <w:rsid w:val="00C17553"/>
    <w:rsid w:val="00C17BE9"/>
    <w:rsid w:val="00C17FF0"/>
    <w:rsid w:val="00C2025E"/>
    <w:rsid w:val="00C20A7B"/>
    <w:rsid w:val="00C20BF0"/>
    <w:rsid w:val="00C20FDA"/>
    <w:rsid w:val="00C211F7"/>
    <w:rsid w:val="00C21AC7"/>
    <w:rsid w:val="00C2233A"/>
    <w:rsid w:val="00C22488"/>
    <w:rsid w:val="00C22748"/>
    <w:rsid w:val="00C22B0E"/>
    <w:rsid w:val="00C22CB6"/>
    <w:rsid w:val="00C22EBC"/>
    <w:rsid w:val="00C23216"/>
    <w:rsid w:val="00C23821"/>
    <w:rsid w:val="00C23F6A"/>
    <w:rsid w:val="00C24420"/>
    <w:rsid w:val="00C24D18"/>
    <w:rsid w:val="00C24D51"/>
    <w:rsid w:val="00C25014"/>
    <w:rsid w:val="00C2502B"/>
    <w:rsid w:val="00C2503E"/>
    <w:rsid w:val="00C261A3"/>
    <w:rsid w:val="00C2621C"/>
    <w:rsid w:val="00C26237"/>
    <w:rsid w:val="00C26967"/>
    <w:rsid w:val="00C26A59"/>
    <w:rsid w:val="00C26EEC"/>
    <w:rsid w:val="00C274A1"/>
    <w:rsid w:val="00C275F4"/>
    <w:rsid w:val="00C277D9"/>
    <w:rsid w:val="00C27CC2"/>
    <w:rsid w:val="00C30273"/>
    <w:rsid w:val="00C3027F"/>
    <w:rsid w:val="00C30739"/>
    <w:rsid w:val="00C30AFD"/>
    <w:rsid w:val="00C30B55"/>
    <w:rsid w:val="00C30FB8"/>
    <w:rsid w:val="00C31AEF"/>
    <w:rsid w:val="00C31BE5"/>
    <w:rsid w:val="00C32D85"/>
    <w:rsid w:val="00C32DD9"/>
    <w:rsid w:val="00C339C7"/>
    <w:rsid w:val="00C349A1"/>
    <w:rsid w:val="00C34C94"/>
    <w:rsid w:val="00C34F39"/>
    <w:rsid w:val="00C35E34"/>
    <w:rsid w:val="00C36123"/>
    <w:rsid w:val="00C3656B"/>
    <w:rsid w:val="00C370E5"/>
    <w:rsid w:val="00C37285"/>
    <w:rsid w:val="00C373B8"/>
    <w:rsid w:val="00C37664"/>
    <w:rsid w:val="00C37C61"/>
    <w:rsid w:val="00C37F8F"/>
    <w:rsid w:val="00C40338"/>
    <w:rsid w:val="00C406CD"/>
    <w:rsid w:val="00C41024"/>
    <w:rsid w:val="00C4140E"/>
    <w:rsid w:val="00C41741"/>
    <w:rsid w:val="00C41F4A"/>
    <w:rsid w:val="00C42223"/>
    <w:rsid w:val="00C42513"/>
    <w:rsid w:val="00C42523"/>
    <w:rsid w:val="00C42DA2"/>
    <w:rsid w:val="00C43585"/>
    <w:rsid w:val="00C4449C"/>
    <w:rsid w:val="00C444DC"/>
    <w:rsid w:val="00C4460F"/>
    <w:rsid w:val="00C45220"/>
    <w:rsid w:val="00C45773"/>
    <w:rsid w:val="00C45D8E"/>
    <w:rsid w:val="00C46128"/>
    <w:rsid w:val="00C465DD"/>
    <w:rsid w:val="00C466C9"/>
    <w:rsid w:val="00C47A98"/>
    <w:rsid w:val="00C47C15"/>
    <w:rsid w:val="00C47CB8"/>
    <w:rsid w:val="00C50430"/>
    <w:rsid w:val="00C508A6"/>
    <w:rsid w:val="00C50CEA"/>
    <w:rsid w:val="00C5144D"/>
    <w:rsid w:val="00C514C3"/>
    <w:rsid w:val="00C51576"/>
    <w:rsid w:val="00C518A4"/>
    <w:rsid w:val="00C52738"/>
    <w:rsid w:val="00C53697"/>
    <w:rsid w:val="00C542E7"/>
    <w:rsid w:val="00C55207"/>
    <w:rsid w:val="00C55B62"/>
    <w:rsid w:val="00C56093"/>
    <w:rsid w:val="00C577EB"/>
    <w:rsid w:val="00C57BB9"/>
    <w:rsid w:val="00C601B5"/>
    <w:rsid w:val="00C605E7"/>
    <w:rsid w:val="00C60836"/>
    <w:rsid w:val="00C615A0"/>
    <w:rsid w:val="00C6196A"/>
    <w:rsid w:val="00C61EE7"/>
    <w:rsid w:val="00C621C9"/>
    <w:rsid w:val="00C62766"/>
    <w:rsid w:val="00C63A17"/>
    <w:rsid w:val="00C63C38"/>
    <w:rsid w:val="00C640FC"/>
    <w:rsid w:val="00C64167"/>
    <w:rsid w:val="00C64866"/>
    <w:rsid w:val="00C65646"/>
    <w:rsid w:val="00C65918"/>
    <w:rsid w:val="00C65B71"/>
    <w:rsid w:val="00C65FD1"/>
    <w:rsid w:val="00C66747"/>
    <w:rsid w:val="00C6694E"/>
    <w:rsid w:val="00C66E71"/>
    <w:rsid w:val="00C66EA6"/>
    <w:rsid w:val="00C67099"/>
    <w:rsid w:val="00C70223"/>
    <w:rsid w:val="00C717D4"/>
    <w:rsid w:val="00C71992"/>
    <w:rsid w:val="00C72166"/>
    <w:rsid w:val="00C721AD"/>
    <w:rsid w:val="00C723B5"/>
    <w:rsid w:val="00C72F98"/>
    <w:rsid w:val="00C7344F"/>
    <w:rsid w:val="00C7372D"/>
    <w:rsid w:val="00C73A4E"/>
    <w:rsid w:val="00C7475B"/>
    <w:rsid w:val="00C74CE4"/>
    <w:rsid w:val="00C74D2F"/>
    <w:rsid w:val="00C74DEC"/>
    <w:rsid w:val="00C74FF9"/>
    <w:rsid w:val="00C755EA"/>
    <w:rsid w:val="00C75AE4"/>
    <w:rsid w:val="00C75EB1"/>
    <w:rsid w:val="00C764C5"/>
    <w:rsid w:val="00C769D1"/>
    <w:rsid w:val="00C76B88"/>
    <w:rsid w:val="00C77596"/>
    <w:rsid w:val="00C7765A"/>
    <w:rsid w:val="00C77785"/>
    <w:rsid w:val="00C77EBA"/>
    <w:rsid w:val="00C77FB2"/>
    <w:rsid w:val="00C801C8"/>
    <w:rsid w:val="00C80607"/>
    <w:rsid w:val="00C80996"/>
    <w:rsid w:val="00C80A85"/>
    <w:rsid w:val="00C80D0F"/>
    <w:rsid w:val="00C80DFB"/>
    <w:rsid w:val="00C81593"/>
    <w:rsid w:val="00C815F9"/>
    <w:rsid w:val="00C82292"/>
    <w:rsid w:val="00C82635"/>
    <w:rsid w:val="00C82C89"/>
    <w:rsid w:val="00C82FC5"/>
    <w:rsid w:val="00C831E7"/>
    <w:rsid w:val="00C83E6A"/>
    <w:rsid w:val="00C83E7B"/>
    <w:rsid w:val="00C840A6"/>
    <w:rsid w:val="00C84EFB"/>
    <w:rsid w:val="00C85D91"/>
    <w:rsid w:val="00C85F67"/>
    <w:rsid w:val="00C86454"/>
    <w:rsid w:val="00C8735D"/>
    <w:rsid w:val="00C903EA"/>
    <w:rsid w:val="00C90C74"/>
    <w:rsid w:val="00C90CD2"/>
    <w:rsid w:val="00C91A65"/>
    <w:rsid w:val="00C93240"/>
    <w:rsid w:val="00C933AD"/>
    <w:rsid w:val="00C9411C"/>
    <w:rsid w:val="00C943DF"/>
    <w:rsid w:val="00C945E7"/>
    <w:rsid w:val="00C95504"/>
    <w:rsid w:val="00C955A0"/>
    <w:rsid w:val="00C95B38"/>
    <w:rsid w:val="00C95B3D"/>
    <w:rsid w:val="00C95CD8"/>
    <w:rsid w:val="00C95E05"/>
    <w:rsid w:val="00C96BED"/>
    <w:rsid w:val="00C97256"/>
    <w:rsid w:val="00C97760"/>
    <w:rsid w:val="00C97799"/>
    <w:rsid w:val="00C97A54"/>
    <w:rsid w:val="00C97B2B"/>
    <w:rsid w:val="00CA0745"/>
    <w:rsid w:val="00CA109F"/>
    <w:rsid w:val="00CA10BA"/>
    <w:rsid w:val="00CA1711"/>
    <w:rsid w:val="00CA1E98"/>
    <w:rsid w:val="00CA1ED0"/>
    <w:rsid w:val="00CA1F5C"/>
    <w:rsid w:val="00CA245E"/>
    <w:rsid w:val="00CA2880"/>
    <w:rsid w:val="00CA2D95"/>
    <w:rsid w:val="00CA3524"/>
    <w:rsid w:val="00CA38D9"/>
    <w:rsid w:val="00CA390E"/>
    <w:rsid w:val="00CA518B"/>
    <w:rsid w:val="00CA54D2"/>
    <w:rsid w:val="00CA5A87"/>
    <w:rsid w:val="00CA5DA0"/>
    <w:rsid w:val="00CA5FDA"/>
    <w:rsid w:val="00CA609E"/>
    <w:rsid w:val="00CA636F"/>
    <w:rsid w:val="00CA647E"/>
    <w:rsid w:val="00CA64C3"/>
    <w:rsid w:val="00CA64EB"/>
    <w:rsid w:val="00CA6AC1"/>
    <w:rsid w:val="00CA71E0"/>
    <w:rsid w:val="00CA7A36"/>
    <w:rsid w:val="00CA7C0B"/>
    <w:rsid w:val="00CA7C75"/>
    <w:rsid w:val="00CA7F1A"/>
    <w:rsid w:val="00CB053D"/>
    <w:rsid w:val="00CB05C8"/>
    <w:rsid w:val="00CB0F4B"/>
    <w:rsid w:val="00CB12AD"/>
    <w:rsid w:val="00CB15C7"/>
    <w:rsid w:val="00CB228F"/>
    <w:rsid w:val="00CB3A66"/>
    <w:rsid w:val="00CB476D"/>
    <w:rsid w:val="00CB4AB1"/>
    <w:rsid w:val="00CB55F3"/>
    <w:rsid w:val="00CB60F4"/>
    <w:rsid w:val="00CB6354"/>
    <w:rsid w:val="00CB6DD7"/>
    <w:rsid w:val="00CB725A"/>
    <w:rsid w:val="00CB77E9"/>
    <w:rsid w:val="00CB7A0B"/>
    <w:rsid w:val="00CB7A8C"/>
    <w:rsid w:val="00CB7EFD"/>
    <w:rsid w:val="00CC036E"/>
    <w:rsid w:val="00CC0400"/>
    <w:rsid w:val="00CC04C8"/>
    <w:rsid w:val="00CC0B3C"/>
    <w:rsid w:val="00CC0BB1"/>
    <w:rsid w:val="00CC0BC1"/>
    <w:rsid w:val="00CC1BCF"/>
    <w:rsid w:val="00CC2C23"/>
    <w:rsid w:val="00CC3361"/>
    <w:rsid w:val="00CC3477"/>
    <w:rsid w:val="00CC39BB"/>
    <w:rsid w:val="00CC42A9"/>
    <w:rsid w:val="00CC4588"/>
    <w:rsid w:val="00CC47C7"/>
    <w:rsid w:val="00CC498B"/>
    <w:rsid w:val="00CC4B20"/>
    <w:rsid w:val="00CC53DE"/>
    <w:rsid w:val="00CC5403"/>
    <w:rsid w:val="00CC5492"/>
    <w:rsid w:val="00CC55BB"/>
    <w:rsid w:val="00CC5A8A"/>
    <w:rsid w:val="00CC5C0E"/>
    <w:rsid w:val="00CC5DC7"/>
    <w:rsid w:val="00CC672F"/>
    <w:rsid w:val="00CC68AF"/>
    <w:rsid w:val="00CC68CB"/>
    <w:rsid w:val="00CC6973"/>
    <w:rsid w:val="00CC6CCA"/>
    <w:rsid w:val="00CC7180"/>
    <w:rsid w:val="00CC71B8"/>
    <w:rsid w:val="00CC7399"/>
    <w:rsid w:val="00CC76AB"/>
    <w:rsid w:val="00CC771B"/>
    <w:rsid w:val="00CC7B4A"/>
    <w:rsid w:val="00CC7C4F"/>
    <w:rsid w:val="00CC7E71"/>
    <w:rsid w:val="00CD010E"/>
    <w:rsid w:val="00CD0400"/>
    <w:rsid w:val="00CD0689"/>
    <w:rsid w:val="00CD07FB"/>
    <w:rsid w:val="00CD0ABA"/>
    <w:rsid w:val="00CD0C8C"/>
    <w:rsid w:val="00CD0F65"/>
    <w:rsid w:val="00CD100D"/>
    <w:rsid w:val="00CD10CF"/>
    <w:rsid w:val="00CD1E46"/>
    <w:rsid w:val="00CD267B"/>
    <w:rsid w:val="00CD2BEB"/>
    <w:rsid w:val="00CD35EC"/>
    <w:rsid w:val="00CD3948"/>
    <w:rsid w:val="00CD3CEB"/>
    <w:rsid w:val="00CD41D5"/>
    <w:rsid w:val="00CD462A"/>
    <w:rsid w:val="00CD4E46"/>
    <w:rsid w:val="00CD4E7B"/>
    <w:rsid w:val="00CD5774"/>
    <w:rsid w:val="00CD591D"/>
    <w:rsid w:val="00CD69FD"/>
    <w:rsid w:val="00CD6A68"/>
    <w:rsid w:val="00CD6AC1"/>
    <w:rsid w:val="00CD70FC"/>
    <w:rsid w:val="00CD77CD"/>
    <w:rsid w:val="00CD78A2"/>
    <w:rsid w:val="00CD7A39"/>
    <w:rsid w:val="00CD7F00"/>
    <w:rsid w:val="00CE011A"/>
    <w:rsid w:val="00CE0A8C"/>
    <w:rsid w:val="00CE1528"/>
    <w:rsid w:val="00CE1C90"/>
    <w:rsid w:val="00CE1CDA"/>
    <w:rsid w:val="00CE1CEA"/>
    <w:rsid w:val="00CE289A"/>
    <w:rsid w:val="00CE2E59"/>
    <w:rsid w:val="00CE330F"/>
    <w:rsid w:val="00CE37DC"/>
    <w:rsid w:val="00CE3D91"/>
    <w:rsid w:val="00CE3DA2"/>
    <w:rsid w:val="00CE3FDF"/>
    <w:rsid w:val="00CE42CA"/>
    <w:rsid w:val="00CE45F2"/>
    <w:rsid w:val="00CE4F26"/>
    <w:rsid w:val="00CE53C5"/>
    <w:rsid w:val="00CE5459"/>
    <w:rsid w:val="00CE5D5F"/>
    <w:rsid w:val="00CE5DB9"/>
    <w:rsid w:val="00CE5FB6"/>
    <w:rsid w:val="00CE6859"/>
    <w:rsid w:val="00CE68EF"/>
    <w:rsid w:val="00CE69A7"/>
    <w:rsid w:val="00CE7E3A"/>
    <w:rsid w:val="00CE7E63"/>
    <w:rsid w:val="00CF02AE"/>
    <w:rsid w:val="00CF03E8"/>
    <w:rsid w:val="00CF0AF0"/>
    <w:rsid w:val="00CF1288"/>
    <w:rsid w:val="00CF142B"/>
    <w:rsid w:val="00CF190D"/>
    <w:rsid w:val="00CF1947"/>
    <w:rsid w:val="00CF1BFE"/>
    <w:rsid w:val="00CF1EEA"/>
    <w:rsid w:val="00CF2639"/>
    <w:rsid w:val="00CF2946"/>
    <w:rsid w:val="00CF2D17"/>
    <w:rsid w:val="00CF4262"/>
    <w:rsid w:val="00CF442D"/>
    <w:rsid w:val="00CF5AE5"/>
    <w:rsid w:val="00CF6112"/>
    <w:rsid w:val="00CF64B1"/>
    <w:rsid w:val="00CF6DAD"/>
    <w:rsid w:val="00CF78FB"/>
    <w:rsid w:val="00CF7F65"/>
    <w:rsid w:val="00D00ABF"/>
    <w:rsid w:val="00D00CB4"/>
    <w:rsid w:val="00D00EC3"/>
    <w:rsid w:val="00D01340"/>
    <w:rsid w:val="00D0195E"/>
    <w:rsid w:val="00D01D56"/>
    <w:rsid w:val="00D02779"/>
    <w:rsid w:val="00D02B2F"/>
    <w:rsid w:val="00D036F8"/>
    <w:rsid w:val="00D03F8B"/>
    <w:rsid w:val="00D0401E"/>
    <w:rsid w:val="00D041A9"/>
    <w:rsid w:val="00D04FA3"/>
    <w:rsid w:val="00D05750"/>
    <w:rsid w:val="00D061FA"/>
    <w:rsid w:val="00D0621E"/>
    <w:rsid w:val="00D0630D"/>
    <w:rsid w:val="00D063B1"/>
    <w:rsid w:val="00D0660D"/>
    <w:rsid w:val="00D0674F"/>
    <w:rsid w:val="00D06ABC"/>
    <w:rsid w:val="00D06EAD"/>
    <w:rsid w:val="00D07015"/>
    <w:rsid w:val="00D07996"/>
    <w:rsid w:val="00D07ACC"/>
    <w:rsid w:val="00D10239"/>
    <w:rsid w:val="00D102B5"/>
    <w:rsid w:val="00D103B2"/>
    <w:rsid w:val="00D10917"/>
    <w:rsid w:val="00D10EDF"/>
    <w:rsid w:val="00D10FAA"/>
    <w:rsid w:val="00D111E7"/>
    <w:rsid w:val="00D1123E"/>
    <w:rsid w:val="00D1181A"/>
    <w:rsid w:val="00D11C6C"/>
    <w:rsid w:val="00D11D96"/>
    <w:rsid w:val="00D1219C"/>
    <w:rsid w:val="00D12223"/>
    <w:rsid w:val="00D12493"/>
    <w:rsid w:val="00D1256D"/>
    <w:rsid w:val="00D12C59"/>
    <w:rsid w:val="00D13185"/>
    <w:rsid w:val="00D13ACD"/>
    <w:rsid w:val="00D13BE4"/>
    <w:rsid w:val="00D157FF"/>
    <w:rsid w:val="00D15F00"/>
    <w:rsid w:val="00D1604B"/>
    <w:rsid w:val="00D161EA"/>
    <w:rsid w:val="00D1703A"/>
    <w:rsid w:val="00D20145"/>
    <w:rsid w:val="00D20384"/>
    <w:rsid w:val="00D20A30"/>
    <w:rsid w:val="00D21071"/>
    <w:rsid w:val="00D21F8F"/>
    <w:rsid w:val="00D2220A"/>
    <w:rsid w:val="00D22663"/>
    <w:rsid w:val="00D22677"/>
    <w:rsid w:val="00D229F2"/>
    <w:rsid w:val="00D22DFB"/>
    <w:rsid w:val="00D22ECC"/>
    <w:rsid w:val="00D235A3"/>
    <w:rsid w:val="00D23647"/>
    <w:rsid w:val="00D23F28"/>
    <w:rsid w:val="00D243CD"/>
    <w:rsid w:val="00D24DB5"/>
    <w:rsid w:val="00D24EF0"/>
    <w:rsid w:val="00D24F74"/>
    <w:rsid w:val="00D255FE"/>
    <w:rsid w:val="00D256F6"/>
    <w:rsid w:val="00D25D0C"/>
    <w:rsid w:val="00D26092"/>
    <w:rsid w:val="00D265E6"/>
    <w:rsid w:val="00D27272"/>
    <w:rsid w:val="00D275DC"/>
    <w:rsid w:val="00D2762C"/>
    <w:rsid w:val="00D301A1"/>
    <w:rsid w:val="00D3030C"/>
    <w:rsid w:val="00D306F9"/>
    <w:rsid w:val="00D3098F"/>
    <w:rsid w:val="00D30B62"/>
    <w:rsid w:val="00D310E1"/>
    <w:rsid w:val="00D31541"/>
    <w:rsid w:val="00D31EFC"/>
    <w:rsid w:val="00D3215B"/>
    <w:rsid w:val="00D321D7"/>
    <w:rsid w:val="00D32562"/>
    <w:rsid w:val="00D32983"/>
    <w:rsid w:val="00D32A62"/>
    <w:rsid w:val="00D32DB4"/>
    <w:rsid w:val="00D33288"/>
    <w:rsid w:val="00D34128"/>
    <w:rsid w:val="00D34A06"/>
    <w:rsid w:val="00D35891"/>
    <w:rsid w:val="00D35CE1"/>
    <w:rsid w:val="00D360D1"/>
    <w:rsid w:val="00D36F29"/>
    <w:rsid w:val="00D401EF"/>
    <w:rsid w:val="00D4046C"/>
    <w:rsid w:val="00D4072B"/>
    <w:rsid w:val="00D4117B"/>
    <w:rsid w:val="00D41680"/>
    <w:rsid w:val="00D41825"/>
    <w:rsid w:val="00D41A2F"/>
    <w:rsid w:val="00D42962"/>
    <w:rsid w:val="00D4341B"/>
    <w:rsid w:val="00D43B21"/>
    <w:rsid w:val="00D43C8F"/>
    <w:rsid w:val="00D4454F"/>
    <w:rsid w:val="00D449CD"/>
    <w:rsid w:val="00D44A8B"/>
    <w:rsid w:val="00D45434"/>
    <w:rsid w:val="00D45B6A"/>
    <w:rsid w:val="00D45FFB"/>
    <w:rsid w:val="00D463D7"/>
    <w:rsid w:val="00D47113"/>
    <w:rsid w:val="00D471B2"/>
    <w:rsid w:val="00D5001D"/>
    <w:rsid w:val="00D5080F"/>
    <w:rsid w:val="00D508AA"/>
    <w:rsid w:val="00D50B62"/>
    <w:rsid w:val="00D514FE"/>
    <w:rsid w:val="00D51857"/>
    <w:rsid w:val="00D524F5"/>
    <w:rsid w:val="00D52FC7"/>
    <w:rsid w:val="00D53ABE"/>
    <w:rsid w:val="00D53FA2"/>
    <w:rsid w:val="00D5464C"/>
    <w:rsid w:val="00D54CDA"/>
    <w:rsid w:val="00D54D1E"/>
    <w:rsid w:val="00D54EC5"/>
    <w:rsid w:val="00D5529F"/>
    <w:rsid w:val="00D555B7"/>
    <w:rsid w:val="00D556E6"/>
    <w:rsid w:val="00D559D9"/>
    <w:rsid w:val="00D55BC2"/>
    <w:rsid w:val="00D55EDA"/>
    <w:rsid w:val="00D569A9"/>
    <w:rsid w:val="00D56CD3"/>
    <w:rsid w:val="00D56DDF"/>
    <w:rsid w:val="00D57106"/>
    <w:rsid w:val="00D5779B"/>
    <w:rsid w:val="00D57A5D"/>
    <w:rsid w:val="00D57B21"/>
    <w:rsid w:val="00D6043F"/>
    <w:rsid w:val="00D609E5"/>
    <w:rsid w:val="00D60A9C"/>
    <w:rsid w:val="00D6110A"/>
    <w:rsid w:val="00D61B91"/>
    <w:rsid w:val="00D61E75"/>
    <w:rsid w:val="00D62DC3"/>
    <w:rsid w:val="00D62FA6"/>
    <w:rsid w:val="00D63659"/>
    <w:rsid w:val="00D641B7"/>
    <w:rsid w:val="00D644D7"/>
    <w:rsid w:val="00D650CC"/>
    <w:rsid w:val="00D650EE"/>
    <w:rsid w:val="00D65379"/>
    <w:rsid w:val="00D653FC"/>
    <w:rsid w:val="00D65592"/>
    <w:rsid w:val="00D664DC"/>
    <w:rsid w:val="00D6657D"/>
    <w:rsid w:val="00D665ED"/>
    <w:rsid w:val="00D667B8"/>
    <w:rsid w:val="00D66DF9"/>
    <w:rsid w:val="00D6742A"/>
    <w:rsid w:val="00D675D7"/>
    <w:rsid w:val="00D67960"/>
    <w:rsid w:val="00D67AEA"/>
    <w:rsid w:val="00D67DC8"/>
    <w:rsid w:val="00D67F4C"/>
    <w:rsid w:val="00D711B9"/>
    <w:rsid w:val="00D71267"/>
    <w:rsid w:val="00D715A2"/>
    <w:rsid w:val="00D71DA0"/>
    <w:rsid w:val="00D71EE0"/>
    <w:rsid w:val="00D72961"/>
    <w:rsid w:val="00D72E55"/>
    <w:rsid w:val="00D72EBD"/>
    <w:rsid w:val="00D74327"/>
    <w:rsid w:val="00D74568"/>
    <w:rsid w:val="00D749F8"/>
    <w:rsid w:val="00D7514B"/>
    <w:rsid w:val="00D75912"/>
    <w:rsid w:val="00D760BE"/>
    <w:rsid w:val="00D76706"/>
    <w:rsid w:val="00D76730"/>
    <w:rsid w:val="00D76DCE"/>
    <w:rsid w:val="00D77AE7"/>
    <w:rsid w:val="00D77F9B"/>
    <w:rsid w:val="00D80374"/>
    <w:rsid w:val="00D80442"/>
    <w:rsid w:val="00D80E12"/>
    <w:rsid w:val="00D80E85"/>
    <w:rsid w:val="00D810D7"/>
    <w:rsid w:val="00D813AA"/>
    <w:rsid w:val="00D81ABE"/>
    <w:rsid w:val="00D81D03"/>
    <w:rsid w:val="00D81DF6"/>
    <w:rsid w:val="00D823E3"/>
    <w:rsid w:val="00D828FA"/>
    <w:rsid w:val="00D831D1"/>
    <w:rsid w:val="00D837E5"/>
    <w:rsid w:val="00D83C72"/>
    <w:rsid w:val="00D840ED"/>
    <w:rsid w:val="00D844AA"/>
    <w:rsid w:val="00D84AAC"/>
    <w:rsid w:val="00D85010"/>
    <w:rsid w:val="00D8505A"/>
    <w:rsid w:val="00D858E6"/>
    <w:rsid w:val="00D85B7F"/>
    <w:rsid w:val="00D86212"/>
    <w:rsid w:val="00D86550"/>
    <w:rsid w:val="00D86A9F"/>
    <w:rsid w:val="00D86D87"/>
    <w:rsid w:val="00D870B7"/>
    <w:rsid w:val="00D870E0"/>
    <w:rsid w:val="00D87217"/>
    <w:rsid w:val="00D90C24"/>
    <w:rsid w:val="00D90D75"/>
    <w:rsid w:val="00D90F01"/>
    <w:rsid w:val="00D91055"/>
    <w:rsid w:val="00D91189"/>
    <w:rsid w:val="00D91436"/>
    <w:rsid w:val="00D91DC8"/>
    <w:rsid w:val="00D92E61"/>
    <w:rsid w:val="00D93448"/>
    <w:rsid w:val="00D935E9"/>
    <w:rsid w:val="00D93874"/>
    <w:rsid w:val="00D93929"/>
    <w:rsid w:val="00D93B37"/>
    <w:rsid w:val="00D9497B"/>
    <w:rsid w:val="00D952AA"/>
    <w:rsid w:val="00D95FE7"/>
    <w:rsid w:val="00D966CF"/>
    <w:rsid w:val="00D97A75"/>
    <w:rsid w:val="00DA0273"/>
    <w:rsid w:val="00DA0667"/>
    <w:rsid w:val="00DA1576"/>
    <w:rsid w:val="00DA216C"/>
    <w:rsid w:val="00DA2322"/>
    <w:rsid w:val="00DA2B21"/>
    <w:rsid w:val="00DA2C1E"/>
    <w:rsid w:val="00DA328A"/>
    <w:rsid w:val="00DA3C32"/>
    <w:rsid w:val="00DA3E79"/>
    <w:rsid w:val="00DA4367"/>
    <w:rsid w:val="00DA4954"/>
    <w:rsid w:val="00DA51AC"/>
    <w:rsid w:val="00DA5B29"/>
    <w:rsid w:val="00DA6C82"/>
    <w:rsid w:val="00DA6D0C"/>
    <w:rsid w:val="00DA6DC2"/>
    <w:rsid w:val="00DA78E1"/>
    <w:rsid w:val="00DA7D93"/>
    <w:rsid w:val="00DB078B"/>
    <w:rsid w:val="00DB13D9"/>
    <w:rsid w:val="00DB19C5"/>
    <w:rsid w:val="00DB1A20"/>
    <w:rsid w:val="00DB21DD"/>
    <w:rsid w:val="00DB3B28"/>
    <w:rsid w:val="00DB3F00"/>
    <w:rsid w:val="00DB41E6"/>
    <w:rsid w:val="00DB42FD"/>
    <w:rsid w:val="00DB4AA2"/>
    <w:rsid w:val="00DB4ADC"/>
    <w:rsid w:val="00DB516E"/>
    <w:rsid w:val="00DB5BDD"/>
    <w:rsid w:val="00DB5EDC"/>
    <w:rsid w:val="00DB68AA"/>
    <w:rsid w:val="00DB6E17"/>
    <w:rsid w:val="00DB6E96"/>
    <w:rsid w:val="00DB718D"/>
    <w:rsid w:val="00DB731B"/>
    <w:rsid w:val="00DB76A2"/>
    <w:rsid w:val="00DB7AE1"/>
    <w:rsid w:val="00DC032E"/>
    <w:rsid w:val="00DC034D"/>
    <w:rsid w:val="00DC0881"/>
    <w:rsid w:val="00DC1211"/>
    <w:rsid w:val="00DC1545"/>
    <w:rsid w:val="00DC159D"/>
    <w:rsid w:val="00DC1BCA"/>
    <w:rsid w:val="00DC22DA"/>
    <w:rsid w:val="00DC2922"/>
    <w:rsid w:val="00DC2952"/>
    <w:rsid w:val="00DC2C97"/>
    <w:rsid w:val="00DC2CC7"/>
    <w:rsid w:val="00DC2CDA"/>
    <w:rsid w:val="00DC2EE4"/>
    <w:rsid w:val="00DC3C21"/>
    <w:rsid w:val="00DC4236"/>
    <w:rsid w:val="00DC441A"/>
    <w:rsid w:val="00DC47A2"/>
    <w:rsid w:val="00DC47C3"/>
    <w:rsid w:val="00DC4860"/>
    <w:rsid w:val="00DC50C6"/>
    <w:rsid w:val="00DC5368"/>
    <w:rsid w:val="00DC5600"/>
    <w:rsid w:val="00DC5D0F"/>
    <w:rsid w:val="00DC671D"/>
    <w:rsid w:val="00DC6772"/>
    <w:rsid w:val="00DC6B86"/>
    <w:rsid w:val="00DC6C20"/>
    <w:rsid w:val="00DC6F9C"/>
    <w:rsid w:val="00DD01CE"/>
    <w:rsid w:val="00DD0A6B"/>
    <w:rsid w:val="00DD0AB3"/>
    <w:rsid w:val="00DD0EF2"/>
    <w:rsid w:val="00DD1231"/>
    <w:rsid w:val="00DD1D13"/>
    <w:rsid w:val="00DD2D10"/>
    <w:rsid w:val="00DD2F31"/>
    <w:rsid w:val="00DD2F3F"/>
    <w:rsid w:val="00DD3094"/>
    <w:rsid w:val="00DD31A6"/>
    <w:rsid w:val="00DD3F65"/>
    <w:rsid w:val="00DD5A46"/>
    <w:rsid w:val="00DD5D1F"/>
    <w:rsid w:val="00DD5EA8"/>
    <w:rsid w:val="00DD6AAD"/>
    <w:rsid w:val="00DD76DA"/>
    <w:rsid w:val="00DD7B72"/>
    <w:rsid w:val="00DD7D84"/>
    <w:rsid w:val="00DE01EE"/>
    <w:rsid w:val="00DE01FE"/>
    <w:rsid w:val="00DE0624"/>
    <w:rsid w:val="00DE1D57"/>
    <w:rsid w:val="00DE22C9"/>
    <w:rsid w:val="00DE258E"/>
    <w:rsid w:val="00DE2B1A"/>
    <w:rsid w:val="00DE2F83"/>
    <w:rsid w:val="00DE375A"/>
    <w:rsid w:val="00DE3F33"/>
    <w:rsid w:val="00DE4029"/>
    <w:rsid w:val="00DE4479"/>
    <w:rsid w:val="00DE57FD"/>
    <w:rsid w:val="00DE58B3"/>
    <w:rsid w:val="00DE5A7B"/>
    <w:rsid w:val="00DE5B1E"/>
    <w:rsid w:val="00DE6231"/>
    <w:rsid w:val="00DE6954"/>
    <w:rsid w:val="00DE6BD9"/>
    <w:rsid w:val="00DE7779"/>
    <w:rsid w:val="00DE7978"/>
    <w:rsid w:val="00DE7C69"/>
    <w:rsid w:val="00DE7F36"/>
    <w:rsid w:val="00DF01A7"/>
    <w:rsid w:val="00DF0D54"/>
    <w:rsid w:val="00DF17A4"/>
    <w:rsid w:val="00DF1C36"/>
    <w:rsid w:val="00DF22F2"/>
    <w:rsid w:val="00DF2449"/>
    <w:rsid w:val="00DF26F0"/>
    <w:rsid w:val="00DF31C8"/>
    <w:rsid w:val="00DF376F"/>
    <w:rsid w:val="00DF3DFC"/>
    <w:rsid w:val="00DF4719"/>
    <w:rsid w:val="00DF5445"/>
    <w:rsid w:val="00DF588C"/>
    <w:rsid w:val="00DF58DC"/>
    <w:rsid w:val="00DF5C7A"/>
    <w:rsid w:val="00DF6308"/>
    <w:rsid w:val="00DF70F6"/>
    <w:rsid w:val="00DF7485"/>
    <w:rsid w:val="00DF74A3"/>
    <w:rsid w:val="00DF7589"/>
    <w:rsid w:val="00DF77A9"/>
    <w:rsid w:val="00DF7864"/>
    <w:rsid w:val="00DF7918"/>
    <w:rsid w:val="00DF7AB2"/>
    <w:rsid w:val="00DF7BB8"/>
    <w:rsid w:val="00DF7F80"/>
    <w:rsid w:val="00E00D66"/>
    <w:rsid w:val="00E01371"/>
    <w:rsid w:val="00E01846"/>
    <w:rsid w:val="00E02353"/>
    <w:rsid w:val="00E023EE"/>
    <w:rsid w:val="00E02501"/>
    <w:rsid w:val="00E02741"/>
    <w:rsid w:val="00E02AC9"/>
    <w:rsid w:val="00E02F34"/>
    <w:rsid w:val="00E03721"/>
    <w:rsid w:val="00E03944"/>
    <w:rsid w:val="00E03A8B"/>
    <w:rsid w:val="00E03B4C"/>
    <w:rsid w:val="00E04529"/>
    <w:rsid w:val="00E045D6"/>
    <w:rsid w:val="00E05875"/>
    <w:rsid w:val="00E06A1F"/>
    <w:rsid w:val="00E06F03"/>
    <w:rsid w:val="00E071FC"/>
    <w:rsid w:val="00E07324"/>
    <w:rsid w:val="00E0755B"/>
    <w:rsid w:val="00E07FE8"/>
    <w:rsid w:val="00E1089B"/>
    <w:rsid w:val="00E10A48"/>
    <w:rsid w:val="00E10E5B"/>
    <w:rsid w:val="00E11B2F"/>
    <w:rsid w:val="00E11BB1"/>
    <w:rsid w:val="00E11C67"/>
    <w:rsid w:val="00E11C93"/>
    <w:rsid w:val="00E11F55"/>
    <w:rsid w:val="00E12203"/>
    <w:rsid w:val="00E12647"/>
    <w:rsid w:val="00E127B4"/>
    <w:rsid w:val="00E12CE0"/>
    <w:rsid w:val="00E12F67"/>
    <w:rsid w:val="00E13294"/>
    <w:rsid w:val="00E1363A"/>
    <w:rsid w:val="00E136D5"/>
    <w:rsid w:val="00E137D1"/>
    <w:rsid w:val="00E14423"/>
    <w:rsid w:val="00E15DB0"/>
    <w:rsid w:val="00E15DD0"/>
    <w:rsid w:val="00E16376"/>
    <w:rsid w:val="00E16C70"/>
    <w:rsid w:val="00E20C29"/>
    <w:rsid w:val="00E213B2"/>
    <w:rsid w:val="00E21970"/>
    <w:rsid w:val="00E21CAA"/>
    <w:rsid w:val="00E22068"/>
    <w:rsid w:val="00E22190"/>
    <w:rsid w:val="00E225C4"/>
    <w:rsid w:val="00E226A5"/>
    <w:rsid w:val="00E22A4B"/>
    <w:rsid w:val="00E22C4C"/>
    <w:rsid w:val="00E22F45"/>
    <w:rsid w:val="00E2325D"/>
    <w:rsid w:val="00E24665"/>
    <w:rsid w:val="00E246ED"/>
    <w:rsid w:val="00E24894"/>
    <w:rsid w:val="00E24FA4"/>
    <w:rsid w:val="00E255B1"/>
    <w:rsid w:val="00E2575F"/>
    <w:rsid w:val="00E26A70"/>
    <w:rsid w:val="00E26D5C"/>
    <w:rsid w:val="00E27025"/>
    <w:rsid w:val="00E2763A"/>
    <w:rsid w:val="00E27EA9"/>
    <w:rsid w:val="00E30606"/>
    <w:rsid w:val="00E31171"/>
    <w:rsid w:val="00E31287"/>
    <w:rsid w:val="00E3159C"/>
    <w:rsid w:val="00E316DE"/>
    <w:rsid w:val="00E3197F"/>
    <w:rsid w:val="00E3235F"/>
    <w:rsid w:val="00E3287C"/>
    <w:rsid w:val="00E338B1"/>
    <w:rsid w:val="00E338CD"/>
    <w:rsid w:val="00E33B01"/>
    <w:rsid w:val="00E33CDA"/>
    <w:rsid w:val="00E347F0"/>
    <w:rsid w:val="00E34A08"/>
    <w:rsid w:val="00E34C6C"/>
    <w:rsid w:val="00E34DDA"/>
    <w:rsid w:val="00E34F82"/>
    <w:rsid w:val="00E3603F"/>
    <w:rsid w:val="00E36538"/>
    <w:rsid w:val="00E3662D"/>
    <w:rsid w:val="00E36E92"/>
    <w:rsid w:val="00E3780D"/>
    <w:rsid w:val="00E402CA"/>
    <w:rsid w:val="00E40573"/>
    <w:rsid w:val="00E40B49"/>
    <w:rsid w:val="00E40F81"/>
    <w:rsid w:val="00E41130"/>
    <w:rsid w:val="00E417C1"/>
    <w:rsid w:val="00E41B88"/>
    <w:rsid w:val="00E41D70"/>
    <w:rsid w:val="00E41E05"/>
    <w:rsid w:val="00E41EAC"/>
    <w:rsid w:val="00E420FC"/>
    <w:rsid w:val="00E4222D"/>
    <w:rsid w:val="00E42347"/>
    <w:rsid w:val="00E427DA"/>
    <w:rsid w:val="00E42D73"/>
    <w:rsid w:val="00E435CD"/>
    <w:rsid w:val="00E43777"/>
    <w:rsid w:val="00E438C9"/>
    <w:rsid w:val="00E440DA"/>
    <w:rsid w:val="00E44ED2"/>
    <w:rsid w:val="00E45199"/>
    <w:rsid w:val="00E4549D"/>
    <w:rsid w:val="00E455D0"/>
    <w:rsid w:val="00E45773"/>
    <w:rsid w:val="00E45FD1"/>
    <w:rsid w:val="00E461CD"/>
    <w:rsid w:val="00E47083"/>
    <w:rsid w:val="00E50026"/>
    <w:rsid w:val="00E50A55"/>
    <w:rsid w:val="00E50E0D"/>
    <w:rsid w:val="00E50EC0"/>
    <w:rsid w:val="00E5186C"/>
    <w:rsid w:val="00E5195D"/>
    <w:rsid w:val="00E5198F"/>
    <w:rsid w:val="00E51B0A"/>
    <w:rsid w:val="00E52197"/>
    <w:rsid w:val="00E522D6"/>
    <w:rsid w:val="00E52390"/>
    <w:rsid w:val="00E52683"/>
    <w:rsid w:val="00E528EA"/>
    <w:rsid w:val="00E52BC9"/>
    <w:rsid w:val="00E53708"/>
    <w:rsid w:val="00E53896"/>
    <w:rsid w:val="00E55198"/>
    <w:rsid w:val="00E55913"/>
    <w:rsid w:val="00E55B18"/>
    <w:rsid w:val="00E55CB3"/>
    <w:rsid w:val="00E56183"/>
    <w:rsid w:val="00E5682C"/>
    <w:rsid w:val="00E571FD"/>
    <w:rsid w:val="00E57CF7"/>
    <w:rsid w:val="00E6048E"/>
    <w:rsid w:val="00E60514"/>
    <w:rsid w:val="00E608A3"/>
    <w:rsid w:val="00E61B50"/>
    <w:rsid w:val="00E61E5D"/>
    <w:rsid w:val="00E61F6D"/>
    <w:rsid w:val="00E62A07"/>
    <w:rsid w:val="00E62E04"/>
    <w:rsid w:val="00E62ED3"/>
    <w:rsid w:val="00E63808"/>
    <w:rsid w:val="00E64174"/>
    <w:rsid w:val="00E64AC9"/>
    <w:rsid w:val="00E6594A"/>
    <w:rsid w:val="00E65983"/>
    <w:rsid w:val="00E65EFB"/>
    <w:rsid w:val="00E6610C"/>
    <w:rsid w:val="00E66136"/>
    <w:rsid w:val="00E66270"/>
    <w:rsid w:val="00E66406"/>
    <w:rsid w:val="00E705F7"/>
    <w:rsid w:val="00E706C7"/>
    <w:rsid w:val="00E709C4"/>
    <w:rsid w:val="00E70A28"/>
    <w:rsid w:val="00E70C84"/>
    <w:rsid w:val="00E70D96"/>
    <w:rsid w:val="00E70FAA"/>
    <w:rsid w:val="00E71694"/>
    <w:rsid w:val="00E7178B"/>
    <w:rsid w:val="00E7190A"/>
    <w:rsid w:val="00E71BEB"/>
    <w:rsid w:val="00E71C0C"/>
    <w:rsid w:val="00E7204B"/>
    <w:rsid w:val="00E72244"/>
    <w:rsid w:val="00E72367"/>
    <w:rsid w:val="00E729CB"/>
    <w:rsid w:val="00E7314F"/>
    <w:rsid w:val="00E73ED5"/>
    <w:rsid w:val="00E750AC"/>
    <w:rsid w:val="00E75259"/>
    <w:rsid w:val="00E7533E"/>
    <w:rsid w:val="00E755BB"/>
    <w:rsid w:val="00E756FC"/>
    <w:rsid w:val="00E75D56"/>
    <w:rsid w:val="00E75F1A"/>
    <w:rsid w:val="00E761C6"/>
    <w:rsid w:val="00E76987"/>
    <w:rsid w:val="00E7728F"/>
    <w:rsid w:val="00E775B7"/>
    <w:rsid w:val="00E8063F"/>
    <w:rsid w:val="00E81495"/>
    <w:rsid w:val="00E815BC"/>
    <w:rsid w:val="00E8199C"/>
    <w:rsid w:val="00E81BE3"/>
    <w:rsid w:val="00E81C69"/>
    <w:rsid w:val="00E821CC"/>
    <w:rsid w:val="00E82802"/>
    <w:rsid w:val="00E82828"/>
    <w:rsid w:val="00E82AB8"/>
    <w:rsid w:val="00E82C42"/>
    <w:rsid w:val="00E82C70"/>
    <w:rsid w:val="00E83048"/>
    <w:rsid w:val="00E831A7"/>
    <w:rsid w:val="00E84485"/>
    <w:rsid w:val="00E84FBE"/>
    <w:rsid w:val="00E85081"/>
    <w:rsid w:val="00E85CD9"/>
    <w:rsid w:val="00E86001"/>
    <w:rsid w:val="00E86FB4"/>
    <w:rsid w:val="00E872F1"/>
    <w:rsid w:val="00E87594"/>
    <w:rsid w:val="00E875B1"/>
    <w:rsid w:val="00E877E2"/>
    <w:rsid w:val="00E906D7"/>
    <w:rsid w:val="00E906FB"/>
    <w:rsid w:val="00E91933"/>
    <w:rsid w:val="00E9193F"/>
    <w:rsid w:val="00E91ACD"/>
    <w:rsid w:val="00E93062"/>
    <w:rsid w:val="00E93160"/>
    <w:rsid w:val="00E93392"/>
    <w:rsid w:val="00E93972"/>
    <w:rsid w:val="00E93BDF"/>
    <w:rsid w:val="00E9453E"/>
    <w:rsid w:val="00E94AFA"/>
    <w:rsid w:val="00E94E51"/>
    <w:rsid w:val="00E95131"/>
    <w:rsid w:val="00E9531D"/>
    <w:rsid w:val="00E9554C"/>
    <w:rsid w:val="00E955B9"/>
    <w:rsid w:val="00E956FE"/>
    <w:rsid w:val="00E95C43"/>
    <w:rsid w:val="00E95F03"/>
    <w:rsid w:val="00E960A3"/>
    <w:rsid w:val="00E961F0"/>
    <w:rsid w:val="00E96FDF"/>
    <w:rsid w:val="00E970B5"/>
    <w:rsid w:val="00EA0003"/>
    <w:rsid w:val="00EA0330"/>
    <w:rsid w:val="00EA0457"/>
    <w:rsid w:val="00EA06D7"/>
    <w:rsid w:val="00EA0807"/>
    <w:rsid w:val="00EA0822"/>
    <w:rsid w:val="00EA1075"/>
    <w:rsid w:val="00EA1D7E"/>
    <w:rsid w:val="00EA1FB6"/>
    <w:rsid w:val="00EA20FA"/>
    <w:rsid w:val="00EA2651"/>
    <w:rsid w:val="00EA2DA0"/>
    <w:rsid w:val="00EA2F6D"/>
    <w:rsid w:val="00EA32D8"/>
    <w:rsid w:val="00EA3525"/>
    <w:rsid w:val="00EA3653"/>
    <w:rsid w:val="00EA3754"/>
    <w:rsid w:val="00EA4274"/>
    <w:rsid w:val="00EA4702"/>
    <w:rsid w:val="00EA4C27"/>
    <w:rsid w:val="00EA4C48"/>
    <w:rsid w:val="00EA4CC9"/>
    <w:rsid w:val="00EA4D2E"/>
    <w:rsid w:val="00EA5658"/>
    <w:rsid w:val="00EA5B83"/>
    <w:rsid w:val="00EA5C0F"/>
    <w:rsid w:val="00EA61D4"/>
    <w:rsid w:val="00EA63A0"/>
    <w:rsid w:val="00EA6619"/>
    <w:rsid w:val="00EA6864"/>
    <w:rsid w:val="00EA70F6"/>
    <w:rsid w:val="00EA725E"/>
    <w:rsid w:val="00EA7D59"/>
    <w:rsid w:val="00EA7FB6"/>
    <w:rsid w:val="00EB00D6"/>
    <w:rsid w:val="00EB022B"/>
    <w:rsid w:val="00EB1283"/>
    <w:rsid w:val="00EB1649"/>
    <w:rsid w:val="00EB173D"/>
    <w:rsid w:val="00EB181B"/>
    <w:rsid w:val="00EB3000"/>
    <w:rsid w:val="00EB32B0"/>
    <w:rsid w:val="00EB48D1"/>
    <w:rsid w:val="00EB4A9D"/>
    <w:rsid w:val="00EB4BAD"/>
    <w:rsid w:val="00EB4BE9"/>
    <w:rsid w:val="00EB4CF0"/>
    <w:rsid w:val="00EB51D5"/>
    <w:rsid w:val="00EB5B46"/>
    <w:rsid w:val="00EB5CAA"/>
    <w:rsid w:val="00EB6249"/>
    <w:rsid w:val="00EB696E"/>
    <w:rsid w:val="00EB72F1"/>
    <w:rsid w:val="00EB7802"/>
    <w:rsid w:val="00EB7BB1"/>
    <w:rsid w:val="00EB7D96"/>
    <w:rsid w:val="00EC0173"/>
    <w:rsid w:val="00EC0296"/>
    <w:rsid w:val="00EC08EE"/>
    <w:rsid w:val="00EC119F"/>
    <w:rsid w:val="00EC121C"/>
    <w:rsid w:val="00EC1414"/>
    <w:rsid w:val="00EC2052"/>
    <w:rsid w:val="00EC2059"/>
    <w:rsid w:val="00EC23C6"/>
    <w:rsid w:val="00EC27BA"/>
    <w:rsid w:val="00EC2AD3"/>
    <w:rsid w:val="00EC2C9A"/>
    <w:rsid w:val="00EC2D26"/>
    <w:rsid w:val="00EC33A9"/>
    <w:rsid w:val="00EC3679"/>
    <w:rsid w:val="00EC3872"/>
    <w:rsid w:val="00EC3AB7"/>
    <w:rsid w:val="00EC4113"/>
    <w:rsid w:val="00EC411A"/>
    <w:rsid w:val="00EC472C"/>
    <w:rsid w:val="00EC4B3E"/>
    <w:rsid w:val="00EC507E"/>
    <w:rsid w:val="00EC5BD5"/>
    <w:rsid w:val="00EC5D96"/>
    <w:rsid w:val="00EC6200"/>
    <w:rsid w:val="00EC62C0"/>
    <w:rsid w:val="00EC6BA9"/>
    <w:rsid w:val="00EC78D3"/>
    <w:rsid w:val="00EC78EE"/>
    <w:rsid w:val="00EC7C18"/>
    <w:rsid w:val="00ED08C3"/>
    <w:rsid w:val="00ED0F77"/>
    <w:rsid w:val="00ED1472"/>
    <w:rsid w:val="00ED1777"/>
    <w:rsid w:val="00ED1BD7"/>
    <w:rsid w:val="00ED2CBD"/>
    <w:rsid w:val="00ED2D08"/>
    <w:rsid w:val="00ED30DE"/>
    <w:rsid w:val="00ED4056"/>
    <w:rsid w:val="00ED498A"/>
    <w:rsid w:val="00ED5219"/>
    <w:rsid w:val="00ED5526"/>
    <w:rsid w:val="00ED6084"/>
    <w:rsid w:val="00ED62DB"/>
    <w:rsid w:val="00ED65E1"/>
    <w:rsid w:val="00ED7705"/>
    <w:rsid w:val="00ED7FE2"/>
    <w:rsid w:val="00ED7FE5"/>
    <w:rsid w:val="00EE01FA"/>
    <w:rsid w:val="00EE0322"/>
    <w:rsid w:val="00EE03AA"/>
    <w:rsid w:val="00EE06F3"/>
    <w:rsid w:val="00EE0FC2"/>
    <w:rsid w:val="00EE12B3"/>
    <w:rsid w:val="00EE2304"/>
    <w:rsid w:val="00EE2A64"/>
    <w:rsid w:val="00EE3BCC"/>
    <w:rsid w:val="00EE4F8B"/>
    <w:rsid w:val="00EE5349"/>
    <w:rsid w:val="00EE55ED"/>
    <w:rsid w:val="00EE5615"/>
    <w:rsid w:val="00EE588A"/>
    <w:rsid w:val="00EE5A9B"/>
    <w:rsid w:val="00EE5FF1"/>
    <w:rsid w:val="00EE62C7"/>
    <w:rsid w:val="00EE6520"/>
    <w:rsid w:val="00EE7438"/>
    <w:rsid w:val="00EE76AF"/>
    <w:rsid w:val="00EE79D4"/>
    <w:rsid w:val="00EE7C04"/>
    <w:rsid w:val="00EE7FD6"/>
    <w:rsid w:val="00EF0627"/>
    <w:rsid w:val="00EF0D4B"/>
    <w:rsid w:val="00EF1832"/>
    <w:rsid w:val="00EF1FCA"/>
    <w:rsid w:val="00EF25E2"/>
    <w:rsid w:val="00EF27D4"/>
    <w:rsid w:val="00EF2C8C"/>
    <w:rsid w:val="00EF31AA"/>
    <w:rsid w:val="00EF37D4"/>
    <w:rsid w:val="00EF3CD6"/>
    <w:rsid w:val="00EF3E9E"/>
    <w:rsid w:val="00EF441F"/>
    <w:rsid w:val="00EF5DB9"/>
    <w:rsid w:val="00EF67B5"/>
    <w:rsid w:val="00EF6848"/>
    <w:rsid w:val="00EF7188"/>
    <w:rsid w:val="00EF71A1"/>
    <w:rsid w:val="00EF79BD"/>
    <w:rsid w:val="00EF7B40"/>
    <w:rsid w:val="00EF7D2E"/>
    <w:rsid w:val="00EF7EC2"/>
    <w:rsid w:val="00F004BA"/>
    <w:rsid w:val="00F00AE7"/>
    <w:rsid w:val="00F01295"/>
    <w:rsid w:val="00F01498"/>
    <w:rsid w:val="00F01608"/>
    <w:rsid w:val="00F01CA3"/>
    <w:rsid w:val="00F01F0E"/>
    <w:rsid w:val="00F02AF7"/>
    <w:rsid w:val="00F02E56"/>
    <w:rsid w:val="00F02F0D"/>
    <w:rsid w:val="00F0305D"/>
    <w:rsid w:val="00F0323F"/>
    <w:rsid w:val="00F04753"/>
    <w:rsid w:val="00F04F37"/>
    <w:rsid w:val="00F05217"/>
    <w:rsid w:val="00F0548A"/>
    <w:rsid w:val="00F062A3"/>
    <w:rsid w:val="00F06364"/>
    <w:rsid w:val="00F066B4"/>
    <w:rsid w:val="00F06A28"/>
    <w:rsid w:val="00F06CA2"/>
    <w:rsid w:val="00F073E2"/>
    <w:rsid w:val="00F0756B"/>
    <w:rsid w:val="00F07B9B"/>
    <w:rsid w:val="00F07BFA"/>
    <w:rsid w:val="00F07E1B"/>
    <w:rsid w:val="00F102AD"/>
    <w:rsid w:val="00F10307"/>
    <w:rsid w:val="00F1035E"/>
    <w:rsid w:val="00F10522"/>
    <w:rsid w:val="00F108B6"/>
    <w:rsid w:val="00F109BC"/>
    <w:rsid w:val="00F10DBF"/>
    <w:rsid w:val="00F10EB1"/>
    <w:rsid w:val="00F11916"/>
    <w:rsid w:val="00F11B99"/>
    <w:rsid w:val="00F1221E"/>
    <w:rsid w:val="00F124EE"/>
    <w:rsid w:val="00F1269E"/>
    <w:rsid w:val="00F12B55"/>
    <w:rsid w:val="00F12FD5"/>
    <w:rsid w:val="00F13123"/>
    <w:rsid w:val="00F13B56"/>
    <w:rsid w:val="00F13C42"/>
    <w:rsid w:val="00F141AF"/>
    <w:rsid w:val="00F14501"/>
    <w:rsid w:val="00F145B5"/>
    <w:rsid w:val="00F14814"/>
    <w:rsid w:val="00F14985"/>
    <w:rsid w:val="00F14B0B"/>
    <w:rsid w:val="00F15546"/>
    <w:rsid w:val="00F1580D"/>
    <w:rsid w:val="00F15AB8"/>
    <w:rsid w:val="00F15B5A"/>
    <w:rsid w:val="00F15C8B"/>
    <w:rsid w:val="00F15ED9"/>
    <w:rsid w:val="00F16E88"/>
    <w:rsid w:val="00F17798"/>
    <w:rsid w:val="00F17FB9"/>
    <w:rsid w:val="00F202C2"/>
    <w:rsid w:val="00F203BD"/>
    <w:rsid w:val="00F2070B"/>
    <w:rsid w:val="00F2085B"/>
    <w:rsid w:val="00F20912"/>
    <w:rsid w:val="00F20A2B"/>
    <w:rsid w:val="00F20BF8"/>
    <w:rsid w:val="00F20D82"/>
    <w:rsid w:val="00F21352"/>
    <w:rsid w:val="00F216E6"/>
    <w:rsid w:val="00F21C29"/>
    <w:rsid w:val="00F21D2F"/>
    <w:rsid w:val="00F21E69"/>
    <w:rsid w:val="00F223AA"/>
    <w:rsid w:val="00F22542"/>
    <w:rsid w:val="00F22DE6"/>
    <w:rsid w:val="00F232B8"/>
    <w:rsid w:val="00F2382C"/>
    <w:rsid w:val="00F23E18"/>
    <w:rsid w:val="00F23EA8"/>
    <w:rsid w:val="00F23FD9"/>
    <w:rsid w:val="00F247F9"/>
    <w:rsid w:val="00F255D6"/>
    <w:rsid w:val="00F25991"/>
    <w:rsid w:val="00F26CEF"/>
    <w:rsid w:val="00F26E5B"/>
    <w:rsid w:val="00F2702B"/>
    <w:rsid w:val="00F27972"/>
    <w:rsid w:val="00F27B65"/>
    <w:rsid w:val="00F30171"/>
    <w:rsid w:val="00F30469"/>
    <w:rsid w:val="00F3070D"/>
    <w:rsid w:val="00F309E9"/>
    <w:rsid w:val="00F30FDC"/>
    <w:rsid w:val="00F31D28"/>
    <w:rsid w:val="00F31FC2"/>
    <w:rsid w:val="00F320E2"/>
    <w:rsid w:val="00F3216C"/>
    <w:rsid w:val="00F326FF"/>
    <w:rsid w:val="00F327DA"/>
    <w:rsid w:val="00F32D04"/>
    <w:rsid w:val="00F32E2B"/>
    <w:rsid w:val="00F331A9"/>
    <w:rsid w:val="00F334D9"/>
    <w:rsid w:val="00F3361F"/>
    <w:rsid w:val="00F33B83"/>
    <w:rsid w:val="00F343E1"/>
    <w:rsid w:val="00F34563"/>
    <w:rsid w:val="00F34B6F"/>
    <w:rsid w:val="00F35433"/>
    <w:rsid w:val="00F355AE"/>
    <w:rsid w:val="00F3572C"/>
    <w:rsid w:val="00F35814"/>
    <w:rsid w:val="00F36A0F"/>
    <w:rsid w:val="00F36BAA"/>
    <w:rsid w:val="00F37A8A"/>
    <w:rsid w:val="00F40144"/>
    <w:rsid w:val="00F402AF"/>
    <w:rsid w:val="00F40A72"/>
    <w:rsid w:val="00F40E88"/>
    <w:rsid w:val="00F413A7"/>
    <w:rsid w:val="00F413EB"/>
    <w:rsid w:val="00F414EA"/>
    <w:rsid w:val="00F41774"/>
    <w:rsid w:val="00F41F7C"/>
    <w:rsid w:val="00F420B1"/>
    <w:rsid w:val="00F426A2"/>
    <w:rsid w:val="00F42CC3"/>
    <w:rsid w:val="00F434DA"/>
    <w:rsid w:val="00F43862"/>
    <w:rsid w:val="00F43CB6"/>
    <w:rsid w:val="00F43EBA"/>
    <w:rsid w:val="00F44318"/>
    <w:rsid w:val="00F4456B"/>
    <w:rsid w:val="00F44D2A"/>
    <w:rsid w:val="00F44D34"/>
    <w:rsid w:val="00F4515F"/>
    <w:rsid w:val="00F4523C"/>
    <w:rsid w:val="00F45309"/>
    <w:rsid w:val="00F45D5B"/>
    <w:rsid w:val="00F45DDA"/>
    <w:rsid w:val="00F45F5E"/>
    <w:rsid w:val="00F462BC"/>
    <w:rsid w:val="00F46567"/>
    <w:rsid w:val="00F46A33"/>
    <w:rsid w:val="00F46B85"/>
    <w:rsid w:val="00F47055"/>
    <w:rsid w:val="00F477D3"/>
    <w:rsid w:val="00F47E1B"/>
    <w:rsid w:val="00F50C9B"/>
    <w:rsid w:val="00F50FDA"/>
    <w:rsid w:val="00F5140E"/>
    <w:rsid w:val="00F5174A"/>
    <w:rsid w:val="00F522F8"/>
    <w:rsid w:val="00F523B1"/>
    <w:rsid w:val="00F523E6"/>
    <w:rsid w:val="00F5240A"/>
    <w:rsid w:val="00F524A6"/>
    <w:rsid w:val="00F52677"/>
    <w:rsid w:val="00F5278D"/>
    <w:rsid w:val="00F533AA"/>
    <w:rsid w:val="00F53F28"/>
    <w:rsid w:val="00F53F5D"/>
    <w:rsid w:val="00F543B5"/>
    <w:rsid w:val="00F543FC"/>
    <w:rsid w:val="00F545DC"/>
    <w:rsid w:val="00F54C17"/>
    <w:rsid w:val="00F54D9F"/>
    <w:rsid w:val="00F54EC3"/>
    <w:rsid w:val="00F54F58"/>
    <w:rsid w:val="00F55090"/>
    <w:rsid w:val="00F55310"/>
    <w:rsid w:val="00F55792"/>
    <w:rsid w:val="00F55799"/>
    <w:rsid w:val="00F559C1"/>
    <w:rsid w:val="00F55FEA"/>
    <w:rsid w:val="00F560C8"/>
    <w:rsid w:val="00F563FD"/>
    <w:rsid w:val="00F56818"/>
    <w:rsid w:val="00F56B43"/>
    <w:rsid w:val="00F5791F"/>
    <w:rsid w:val="00F57EB4"/>
    <w:rsid w:val="00F6009B"/>
    <w:rsid w:val="00F600EF"/>
    <w:rsid w:val="00F6084D"/>
    <w:rsid w:val="00F60947"/>
    <w:rsid w:val="00F60C40"/>
    <w:rsid w:val="00F60D41"/>
    <w:rsid w:val="00F60DDE"/>
    <w:rsid w:val="00F60E3A"/>
    <w:rsid w:val="00F615A3"/>
    <w:rsid w:val="00F61A11"/>
    <w:rsid w:val="00F61B51"/>
    <w:rsid w:val="00F61B91"/>
    <w:rsid w:val="00F61D2C"/>
    <w:rsid w:val="00F624E2"/>
    <w:rsid w:val="00F627B8"/>
    <w:rsid w:val="00F62942"/>
    <w:rsid w:val="00F62B41"/>
    <w:rsid w:val="00F62D8B"/>
    <w:rsid w:val="00F62EF4"/>
    <w:rsid w:val="00F63240"/>
    <w:rsid w:val="00F63F54"/>
    <w:rsid w:val="00F642F6"/>
    <w:rsid w:val="00F65003"/>
    <w:rsid w:val="00F653EE"/>
    <w:rsid w:val="00F655F2"/>
    <w:rsid w:val="00F656C1"/>
    <w:rsid w:val="00F65F1E"/>
    <w:rsid w:val="00F65F65"/>
    <w:rsid w:val="00F65FD2"/>
    <w:rsid w:val="00F66572"/>
    <w:rsid w:val="00F66626"/>
    <w:rsid w:val="00F66910"/>
    <w:rsid w:val="00F6695A"/>
    <w:rsid w:val="00F66AF6"/>
    <w:rsid w:val="00F6713F"/>
    <w:rsid w:val="00F677A5"/>
    <w:rsid w:val="00F6790B"/>
    <w:rsid w:val="00F67D94"/>
    <w:rsid w:val="00F705C1"/>
    <w:rsid w:val="00F70A02"/>
    <w:rsid w:val="00F71344"/>
    <w:rsid w:val="00F71736"/>
    <w:rsid w:val="00F72008"/>
    <w:rsid w:val="00F729C4"/>
    <w:rsid w:val="00F73465"/>
    <w:rsid w:val="00F73798"/>
    <w:rsid w:val="00F74643"/>
    <w:rsid w:val="00F74B74"/>
    <w:rsid w:val="00F75047"/>
    <w:rsid w:val="00F7596B"/>
    <w:rsid w:val="00F75973"/>
    <w:rsid w:val="00F76152"/>
    <w:rsid w:val="00F762DD"/>
    <w:rsid w:val="00F76981"/>
    <w:rsid w:val="00F76B7E"/>
    <w:rsid w:val="00F771DF"/>
    <w:rsid w:val="00F77306"/>
    <w:rsid w:val="00F776D4"/>
    <w:rsid w:val="00F779F6"/>
    <w:rsid w:val="00F77C55"/>
    <w:rsid w:val="00F77C82"/>
    <w:rsid w:val="00F77F8D"/>
    <w:rsid w:val="00F80DA6"/>
    <w:rsid w:val="00F81A03"/>
    <w:rsid w:val="00F81DEF"/>
    <w:rsid w:val="00F82217"/>
    <w:rsid w:val="00F822EA"/>
    <w:rsid w:val="00F827D3"/>
    <w:rsid w:val="00F83320"/>
    <w:rsid w:val="00F833E6"/>
    <w:rsid w:val="00F83968"/>
    <w:rsid w:val="00F83E85"/>
    <w:rsid w:val="00F8432B"/>
    <w:rsid w:val="00F84357"/>
    <w:rsid w:val="00F844D3"/>
    <w:rsid w:val="00F84798"/>
    <w:rsid w:val="00F84ADC"/>
    <w:rsid w:val="00F84C0E"/>
    <w:rsid w:val="00F85567"/>
    <w:rsid w:val="00F858D4"/>
    <w:rsid w:val="00F86558"/>
    <w:rsid w:val="00F86898"/>
    <w:rsid w:val="00F86F43"/>
    <w:rsid w:val="00F87252"/>
    <w:rsid w:val="00F878C2"/>
    <w:rsid w:val="00F878FC"/>
    <w:rsid w:val="00F90083"/>
    <w:rsid w:val="00F908BD"/>
    <w:rsid w:val="00F90991"/>
    <w:rsid w:val="00F90E03"/>
    <w:rsid w:val="00F91016"/>
    <w:rsid w:val="00F91D0B"/>
    <w:rsid w:val="00F92250"/>
    <w:rsid w:val="00F9297D"/>
    <w:rsid w:val="00F92B40"/>
    <w:rsid w:val="00F93170"/>
    <w:rsid w:val="00F9585F"/>
    <w:rsid w:val="00F95A1B"/>
    <w:rsid w:val="00F96072"/>
    <w:rsid w:val="00F97231"/>
    <w:rsid w:val="00F97296"/>
    <w:rsid w:val="00F97810"/>
    <w:rsid w:val="00F97825"/>
    <w:rsid w:val="00F97E3C"/>
    <w:rsid w:val="00FA0275"/>
    <w:rsid w:val="00FA06FD"/>
    <w:rsid w:val="00FA0844"/>
    <w:rsid w:val="00FA1ADE"/>
    <w:rsid w:val="00FA1D7F"/>
    <w:rsid w:val="00FA1E12"/>
    <w:rsid w:val="00FA1E79"/>
    <w:rsid w:val="00FA1EBC"/>
    <w:rsid w:val="00FA2194"/>
    <w:rsid w:val="00FA21E4"/>
    <w:rsid w:val="00FA2700"/>
    <w:rsid w:val="00FA2FDD"/>
    <w:rsid w:val="00FA32C3"/>
    <w:rsid w:val="00FA32EB"/>
    <w:rsid w:val="00FA34EE"/>
    <w:rsid w:val="00FA354C"/>
    <w:rsid w:val="00FA38C2"/>
    <w:rsid w:val="00FA39AE"/>
    <w:rsid w:val="00FA45FF"/>
    <w:rsid w:val="00FA48BF"/>
    <w:rsid w:val="00FA4B44"/>
    <w:rsid w:val="00FA4BF9"/>
    <w:rsid w:val="00FA5529"/>
    <w:rsid w:val="00FA5A50"/>
    <w:rsid w:val="00FA5E1A"/>
    <w:rsid w:val="00FA6136"/>
    <w:rsid w:val="00FA6690"/>
    <w:rsid w:val="00FA6F62"/>
    <w:rsid w:val="00FA7224"/>
    <w:rsid w:val="00FA72FD"/>
    <w:rsid w:val="00FA73E3"/>
    <w:rsid w:val="00FA76D1"/>
    <w:rsid w:val="00FA7A28"/>
    <w:rsid w:val="00FA7CDF"/>
    <w:rsid w:val="00FB0028"/>
    <w:rsid w:val="00FB00F6"/>
    <w:rsid w:val="00FB0500"/>
    <w:rsid w:val="00FB05FE"/>
    <w:rsid w:val="00FB0BB2"/>
    <w:rsid w:val="00FB0C42"/>
    <w:rsid w:val="00FB0E7C"/>
    <w:rsid w:val="00FB111C"/>
    <w:rsid w:val="00FB1720"/>
    <w:rsid w:val="00FB19BB"/>
    <w:rsid w:val="00FB1B7E"/>
    <w:rsid w:val="00FB1F11"/>
    <w:rsid w:val="00FB2C4C"/>
    <w:rsid w:val="00FB2D77"/>
    <w:rsid w:val="00FB362E"/>
    <w:rsid w:val="00FB408D"/>
    <w:rsid w:val="00FB40B0"/>
    <w:rsid w:val="00FB4764"/>
    <w:rsid w:val="00FB4876"/>
    <w:rsid w:val="00FB4D0F"/>
    <w:rsid w:val="00FB4FED"/>
    <w:rsid w:val="00FB5800"/>
    <w:rsid w:val="00FB5E23"/>
    <w:rsid w:val="00FB6671"/>
    <w:rsid w:val="00FB6AF3"/>
    <w:rsid w:val="00FB7093"/>
    <w:rsid w:val="00FB7D1F"/>
    <w:rsid w:val="00FB7FA4"/>
    <w:rsid w:val="00FB7FFD"/>
    <w:rsid w:val="00FC0434"/>
    <w:rsid w:val="00FC0E5A"/>
    <w:rsid w:val="00FC0F47"/>
    <w:rsid w:val="00FC1032"/>
    <w:rsid w:val="00FC10E3"/>
    <w:rsid w:val="00FC11B9"/>
    <w:rsid w:val="00FC132C"/>
    <w:rsid w:val="00FC14E9"/>
    <w:rsid w:val="00FC169E"/>
    <w:rsid w:val="00FC1802"/>
    <w:rsid w:val="00FC20B0"/>
    <w:rsid w:val="00FC24B8"/>
    <w:rsid w:val="00FC2D75"/>
    <w:rsid w:val="00FC308E"/>
    <w:rsid w:val="00FC3687"/>
    <w:rsid w:val="00FC397C"/>
    <w:rsid w:val="00FC4056"/>
    <w:rsid w:val="00FC4161"/>
    <w:rsid w:val="00FC42A7"/>
    <w:rsid w:val="00FC4723"/>
    <w:rsid w:val="00FC4B4C"/>
    <w:rsid w:val="00FC4BF4"/>
    <w:rsid w:val="00FC58E1"/>
    <w:rsid w:val="00FC5EA8"/>
    <w:rsid w:val="00FC639D"/>
    <w:rsid w:val="00FC6B76"/>
    <w:rsid w:val="00FC6D5A"/>
    <w:rsid w:val="00FC70CA"/>
    <w:rsid w:val="00FC7823"/>
    <w:rsid w:val="00FC7852"/>
    <w:rsid w:val="00FC795B"/>
    <w:rsid w:val="00FC7CF0"/>
    <w:rsid w:val="00FC7E6B"/>
    <w:rsid w:val="00FD0513"/>
    <w:rsid w:val="00FD0B66"/>
    <w:rsid w:val="00FD0CB2"/>
    <w:rsid w:val="00FD183F"/>
    <w:rsid w:val="00FD2363"/>
    <w:rsid w:val="00FD2908"/>
    <w:rsid w:val="00FD2FF3"/>
    <w:rsid w:val="00FD4690"/>
    <w:rsid w:val="00FD48F6"/>
    <w:rsid w:val="00FD54B0"/>
    <w:rsid w:val="00FD58E5"/>
    <w:rsid w:val="00FD5C59"/>
    <w:rsid w:val="00FD5CF8"/>
    <w:rsid w:val="00FD6138"/>
    <w:rsid w:val="00FD6C2B"/>
    <w:rsid w:val="00FD7C05"/>
    <w:rsid w:val="00FD7D71"/>
    <w:rsid w:val="00FD7F9A"/>
    <w:rsid w:val="00FE0566"/>
    <w:rsid w:val="00FE05C1"/>
    <w:rsid w:val="00FE065B"/>
    <w:rsid w:val="00FE15E6"/>
    <w:rsid w:val="00FE2147"/>
    <w:rsid w:val="00FE2ECA"/>
    <w:rsid w:val="00FE333C"/>
    <w:rsid w:val="00FE35E6"/>
    <w:rsid w:val="00FE3FE8"/>
    <w:rsid w:val="00FE549E"/>
    <w:rsid w:val="00FE5D49"/>
    <w:rsid w:val="00FE65E0"/>
    <w:rsid w:val="00FE680E"/>
    <w:rsid w:val="00FE6846"/>
    <w:rsid w:val="00FE6D74"/>
    <w:rsid w:val="00FE7D0D"/>
    <w:rsid w:val="00FF099E"/>
    <w:rsid w:val="00FF1387"/>
    <w:rsid w:val="00FF32A0"/>
    <w:rsid w:val="00FF36DD"/>
    <w:rsid w:val="00FF3850"/>
    <w:rsid w:val="00FF38BA"/>
    <w:rsid w:val="00FF3BC2"/>
    <w:rsid w:val="00FF3F70"/>
    <w:rsid w:val="00FF486D"/>
    <w:rsid w:val="00FF4E8D"/>
    <w:rsid w:val="00FF5611"/>
    <w:rsid w:val="00FF5707"/>
    <w:rsid w:val="00FF5AC8"/>
    <w:rsid w:val="00FF5C33"/>
    <w:rsid w:val="00FF5EF0"/>
    <w:rsid w:val="00FF5F5D"/>
    <w:rsid w:val="00FF604D"/>
    <w:rsid w:val="00FF65B5"/>
    <w:rsid w:val="00FF6620"/>
    <w:rsid w:val="00FF6ADE"/>
    <w:rsid w:val="00FF6DF3"/>
    <w:rsid w:val="00FF7407"/>
    <w:rsid w:val="00FF7BC9"/>
    <w:rsid w:val="066D9CF9"/>
    <w:rsid w:val="2112886C"/>
    <w:rsid w:val="212078CE"/>
    <w:rsid w:val="351EAB66"/>
    <w:rsid w:val="3705EA57"/>
    <w:rsid w:val="37B62B30"/>
    <w:rsid w:val="3E03A2B8"/>
    <w:rsid w:val="41887FB0"/>
    <w:rsid w:val="431DF5CC"/>
    <w:rsid w:val="45750634"/>
    <w:rsid w:val="5AD57D7A"/>
    <w:rsid w:val="752FF4EE"/>
    <w:rsid w:val="76A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4DB"/>
  <w15:docId w15:val="{56C33870-7FD2-49EC-8233-5B58162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00"/>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semiHidden/>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263275"/>
    <w:pPr>
      <w:tabs>
        <w:tab w:val="right" w:leader="dot" w:pos="10490"/>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45AC42-B5F2-4E11-BD06-9747C4E6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17</Pages>
  <Words>6107</Words>
  <Characters>33591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39619</CharactersWithSpaces>
  <SharedDoc>false</SharedDoc>
  <HLinks>
    <vt:vector size="180" baseType="variant">
      <vt:variant>
        <vt:i4>1245235</vt:i4>
      </vt:variant>
      <vt:variant>
        <vt:i4>176</vt:i4>
      </vt:variant>
      <vt:variant>
        <vt:i4>0</vt:i4>
      </vt:variant>
      <vt:variant>
        <vt:i4>5</vt:i4>
      </vt:variant>
      <vt:variant>
        <vt:lpwstr/>
      </vt:variant>
      <vt:variant>
        <vt:lpwstr>_Toc129697278</vt:lpwstr>
      </vt:variant>
      <vt:variant>
        <vt:i4>1245235</vt:i4>
      </vt:variant>
      <vt:variant>
        <vt:i4>170</vt:i4>
      </vt:variant>
      <vt:variant>
        <vt:i4>0</vt:i4>
      </vt:variant>
      <vt:variant>
        <vt:i4>5</vt:i4>
      </vt:variant>
      <vt:variant>
        <vt:lpwstr/>
      </vt:variant>
      <vt:variant>
        <vt:lpwstr>_Toc129697277</vt:lpwstr>
      </vt:variant>
      <vt:variant>
        <vt:i4>1245235</vt:i4>
      </vt:variant>
      <vt:variant>
        <vt:i4>164</vt:i4>
      </vt:variant>
      <vt:variant>
        <vt:i4>0</vt:i4>
      </vt:variant>
      <vt:variant>
        <vt:i4>5</vt:i4>
      </vt:variant>
      <vt:variant>
        <vt:lpwstr/>
      </vt:variant>
      <vt:variant>
        <vt:lpwstr>_Toc129697276</vt:lpwstr>
      </vt:variant>
      <vt:variant>
        <vt:i4>1245235</vt:i4>
      </vt:variant>
      <vt:variant>
        <vt:i4>158</vt:i4>
      </vt:variant>
      <vt:variant>
        <vt:i4>0</vt:i4>
      </vt:variant>
      <vt:variant>
        <vt:i4>5</vt:i4>
      </vt:variant>
      <vt:variant>
        <vt:lpwstr/>
      </vt:variant>
      <vt:variant>
        <vt:lpwstr>_Toc129697275</vt:lpwstr>
      </vt:variant>
      <vt:variant>
        <vt:i4>1245235</vt:i4>
      </vt:variant>
      <vt:variant>
        <vt:i4>152</vt:i4>
      </vt:variant>
      <vt:variant>
        <vt:i4>0</vt:i4>
      </vt:variant>
      <vt:variant>
        <vt:i4>5</vt:i4>
      </vt:variant>
      <vt:variant>
        <vt:lpwstr/>
      </vt:variant>
      <vt:variant>
        <vt:lpwstr>_Toc129697274</vt:lpwstr>
      </vt:variant>
      <vt:variant>
        <vt:i4>1245235</vt:i4>
      </vt:variant>
      <vt:variant>
        <vt:i4>146</vt:i4>
      </vt:variant>
      <vt:variant>
        <vt:i4>0</vt:i4>
      </vt:variant>
      <vt:variant>
        <vt:i4>5</vt:i4>
      </vt:variant>
      <vt:variant>
        <vt:lpwstr/>
      </vt:variant>
      <vt:variant>
        <vt:lpwstr>_Toc129697273</vt:lpwstr>
      </vt:variant>
      <vt:variant>
        <vt:i4>1245235</vt:i4>
      </vt:variant>
      <vt:variant>
        <vt:i4>140</vt:i4>
      </vt:variant>
      <vt:variant>
        <vt:i4>0</vt:i4>
      </vt:variant>
      <vt:variant>
        <vt:i4>5</vt:i4>
      </vt:variant>
      <vt:variant>
        <vt:lpwstr/>
      </vt:variant>
      <vt:variant>
        <vt:lpwstr>_Toc129697272</vt:lpwstr>
      </vt:variant>
      <vt:variant>
        <vt:i4>1245235</vt:i4>
      </vt:variant>
      <vt:variant>
        <vt:i4>134</vt:i4>
      </vt:variant>
      <vt:variant>
        <vt:i4>0</vt:i4>
      </vt:variant>
      <vt:variant>
        <vt:i4>5</vt:i4>
      </vt:variant>
      <vt:variant>
        <vt:lpwstr/>
      </vt:variant>
      <vt:variant>
        <vt:lpwstr>_Toc129697271</vt:lpwstr>
      </vt:variant>
      <vt:variant>
        <vt:i4>1245235</vt:i4>
      </vt:variant>
      <vt:variant>
        <vt:i4>128</vt:i4>
      </vt:variant>
      <vt:variant>
        <vt:i4>0</vt:i4>
      </vt:variant>
      <vt:variant>
        <vt:i4>5</vt:i4>
      </vt:variant>
      <vt:variant>
        <vt:lpwstr/>
      </vt:variant>
      <vt:variant>
        <vt:lpwstr>_Toc129697270</vt:lpwstr>
      </vt:variant>
      <vt:variant>
        <vt:i4>1179699</vt:i4>
      </vt:variant>
      <vt:variant>
        <vt:i4>122</vt:i4>
      </vt:variant>
      <vt:variant>
        <vt:i4>0</vt:i4>
      </vt:variant>
      <vt:variant>
        <vt:i4>5</vt:i4>
      </vt:variant>
      <vt:variant>
        <vt:lpwstr/>
      </vt:variant>
      <vt:variant>
        <vt:lpwstr>_Toc129697269</vt:lpwstr>
      </vt:variant>
      <vt:variant>
        <vt:i4>1179699</vt:i4>
      </vt:variant>
      <vt:variant>
        <vt:i4>116</vt:i4>
      </vt:variant>
      <vt:variant>
        <vt:i4>0</vt:i4>
      </vt:variant>
      <vt:variant>
        <vt:i4>5</vt:i4>
      </vt:variant>
      <vt:variant>
        <vt:lpwstr/>
      </vt:variant>
      <vt:variant>
        <vt:lpwstr>_Toc129697268</vt:lpwstr>
      </vt:variant>
      <vt:variant>
        <vt:i4>1179699</vt:i4>
      </vt:variant>
      <vt:variant>
        <vt:i4>110</vt:i4>
      </vt:variant>
      <vt:variant>
        <vt:i4>0</vt:i4>
      </vt:variant>
      <vt:variant>
        <vt:i4>5</vt:i4>
      </vt:variant>
      <vt:variant>
        <vt:lpwstr/>
      </vt:variant>
      <vt:variant>
        <vt:lpwstr>_Toc129697267</vt:lpwstr>
      </vt:variant>
      <vt:variant>
        <vt:i4>1179699</vt:i4>
      </vt:variant>
      <vt:variant>
        <vt:i4>104</vt:i4>
      </vt:variant>
      <vt:variant>
        <vt:i4>0</vt:i4>
      </vt:variant>
      <vt:variant>
        <vt:i4>5</vt:i4>
      </vt:variant>
      <vt:variant>
        <vt:lpwstr/>
      </vt:variant>
      <vt:variant>
        <vt:lpwstr>_Toc129697266</vt:lpwstr>
      </vt:variant>
      <vt:variant>
        <vt:i4>1179699</vt:i4>
      </vt:variant>
      <vt:variant>
        <vt:i4>98</vt:i4>
      </vt:variant>
      <vt:variant>
        <vt:i4>0</vt:i4>
      </vt:variant>
      <vt:variant>
        <vt:i4>5</vt:i4>
      </vt:variant>
      <vt:variant>
        <vt:lpwstr/>
      </vt:variant>
      <vt:variant>
        <vt:lpwstr>_Toc129697265</vt:lpwstr>
      </vt:variant>
      <vt:variant>
        <vt:i4>1179699</vt:i4>
      </vt:variant>
      <vt:variant>
        <vt:i4>92</vt:i4>
      </vt:variant>
      <vt:variant>
        <vt:i4>0</vt:i4>
      </vt:variant>
      <vt:variant>
        <vt:i4>5</vt:i4>
      </vt:variant>
      <vt:variant>
        <vt:lpwstr/>
      </vt:variant>
      <vt:variant>
        <vt:lpwstr>_Toc129697264</vt:lpwstr>
      </vt:variant>
      <vt:variant>
        <vt:i4>1179699</vt:i4>
      </vt:variant>
      <vt:variant>
        <vt:i4>86</vt:i4>
      </vt:variant>
      <vt:variant>
        <vt:i4>0</vt:i4>
      </vt:variant>
      <vt:variant>
        <vt:i4>5</vt:i4>
      </vt:variant>
      <vt:variant>
        <vt:lpwstr/>
      </vt:variant>
      <vt:variant>
        <vt:lpwstr>_Toc129697263</vt:lpwstr>
      </vt:variant>
      <vt:variant>
        <vt:i4>1179699</vt:i4>
      </vt:variant>
      <vt:variant>
        <vt:i4>80</vt:i4>
      </vt:variant>
      <vt:variant>
        <vt:i4>0</vt:i4>
      </vt:variant>
      <vt:variant>
        <vt:i4>5</vt:i4>
      </vt:variant>
      <vt:variant>
        <vt:lpwstr/>
      </vt:variant>
      <vt:variant>
        <vt:lpwstr>_Toc129697262</vt:lpwstr>
      </vt:variant>
      <vt:variant>
        <vt:i4>1179699</vt:i4>
      </vt:variant>
      <vt:variant>
        <vt:i4>74</vt:i4>
      </vt:variant>
      <vt:variant>
        <vt:i4>0</vt:i4>
      </vt:variant>
      <vt:variant>
        <vt:i4>5</vt:i4>
      </vt:variant>
      <vt:variant>
        <vt:lpwstr/>
      </vt:variant>
      <vt:variant>
        <vt:lpwstr>_Toc129697261</vt:lpwstr>
      </vt:variant>
      <vt:variant>
        <vt:i4>1179699</vt:i4>
      </vt:variant>
      <vt:variant>
        <vt:i4>68</vt:i4>
      </vt:variant>
      <vt:variant>
        <vt:i4>0</vt:i4>
      </vt:variant>
      <vt:variant>
        <vt:i4>5</vt:i4>
      </vt:variant>
      <vt:variant>
        <vt:lpwstr/>
      </vt:variant>
      <vt:variant>
        <vt:lpwstr>_Toc129697260</vt:lpwstr>
      </vt:variant>
      <vt:variant>
        <vt:i4>1114163</vt:i4>
      </vt:variant>
      <vt:variant>
        <vt:i4>62</vt:i4>
      </vt:variant>
      <vt:variant>
        <vt:i4>0</vt:i4>
      </vt:variant>
      <vt:variant>
        <vt:i4>5</vt:i4>
      </vt:variant>
      <vt:variant>
        <vt:lpwstr/>
      </vt:variant>
      <vt:variant>
        <vt:lpwstr>_Toc129697259</vt:lpwstr>
      </vt:variant>
      <vt:variant>
        <vt:i4>1114163</vt:i4>
      </vt:variant>
      <vt:variant>
        <vt:i4>56</vt:i4>
      </vt:variant>
      <vt:variant>
        <vt:i4>0</vt:i4>
      </vt:variant>
      <vt:variant>
        <vt:i4>5</vt:i4>
      </vt:variant>
      <vt:variant>
        <vt:lpwstr/>
      </vt:variant>
      <vt:variant>
        <vt:lpwstr>_Toc129697258</vt:lpwstr>
      </vt:variant>
      <vt:variant>
        <vt:i4>1114163</vt:i4>
      </vt:variant>
      <vt:variant>
        <vt:i4>50</vt:i4>
      </vt:variant>
      <vt:variant>
        <vt:i4>0</vt:i4>
      </vt:variant>
      <vt:variant>
        <vt:i4>5</vt:i4>
      </vt:variant>
      <vt:variant>
        <vt:lpwstr/>
      </vt:variant>
      <vt:variant>
        <vt:lpwstr>_Toc129697257</vt:lpwstr>
      </vt:variant>
      <vt:variant>
        <vt:i4>1114163</vt:i4>
      </vt:variant>
      <vt:variant>
        <vt:i4>44</vt:i4>
      </vt:variant>
      <vt:variant>
        <vt:i4>0</vt:i4>
      </vt:variant>
      <vt:variant>
        <vt:i4>5</vt:i4>
      </vt:variant>
      <vt:variant>
        <vt:lpwstr/>
      </vt:variant>
      <vt:variant>
        <vt:lpwstr>_Toc129697256</vt:lpwstr>
      </vt:variant>
      <vt:variant>
        <vt:i4>1114163</vt:i4>
      </vt:variant>
      <vt:variant>
        <vt:i4>38</vt:i4>
      </vt:variant>
      <vt:variant>
        <vt:i4>0</vt:i4>
      </vt:variant>
      <vt:variant>
        <vt:i4>5</vt:i4>
      </vt:variant>
      <vt:variant>
        <vt:lpwstr/>
      </vt:variant>
      <vt:variant>
        <vt:lpwstr>_Toc129697255</vt:lpwstr>
      </vt:variant>
      <vt:variant>
        <vt:i4>1114163</vt:i4>
      </vt:variant>
      <vt:variant>
        <vt:i4>32</vt:i4>
      </vt:variant>
      <vt:variant>
        <vt:i4>0</vt:i4>
      </vt:variant>
      <vt:variant>
        <vt:i4>5</vt:i4>
      </vt:variant>
      <vt:variant>
        <vt:lpwstr/>
      </vt:variant>
      <vt:variant>
        <vt:lpwstr>_Toc129697254</vt:lpwstr>
      </vt:variant>
      <vt:variant>
        <vt:i4>1114163</vt:i4>
      </vt:variant>
      <vt:variant>
        <vt:i4>26</vt:i4>
      </vt:variant>
      <vt:variant>
        <vt:i4>0</vt:i4>
      </vt:variant>
      <vt:variant>
        <vt:i4>5</vt:i4>
      </vt:variant>
      <vt:variant>
        <vt:lpwstr/>
      </vt:variant>
      <vt:variant>
        <vt:lpwstr>_Toc129697253</vt:lpwstr>
      </vt:variant>
      <vt:variant>
        <vt:i4>1114163</vt:i4>
      </vt:variant>
      <vt:variant>
        <vt:i4>20</vt:i4>
      </vt:variant>
      <vt:variant>
        <vt:i4>0</vt:i4>
      </vt:variant>
      <vt:variant>
        <vt:i4>5</vt:i4>
      </vt:variant>
      <vt:variant>
        <vt:lpwstr/>
      </vt:variant>
      <vt:variant>
        <vt:lpwstr>_Toc129697252</vt:lpwstr>
      </vt:variant>
      <vt:variant>
        <vt:i4>1114163</vt:i4>
      </vt:variant>
      <vt:variant>
        <vt:i4>14</vt:i4>
      </vt:variant>
      <vt:variant>
        <vt:i4>0</vt:i4>
      </vt:variant>
      <vt:variant>
        <vt:i4>5</vt:i4>
      </vt:variant>
      <vt:variant>
        <vt:lpwstr/>
      </vt:variant>
      <vt:variant>
        <vt:lpwstr>_Toc129697251</vt:lpwstr>
      </vt:variant>
      <vt:variant>
        <vt:i4>1114163</vt:i4>
      </vt:variant>
      <vt:variant>
        <vt:i4>8</vt:i4>
      </vt:variant>
      <vt:variant>
        <vt:i4>0</vt:i4>
      </vt:variant>
      <vt:variant>
        <vt:i4>5</vt:i4>
      </vt:variant>
      <vt:variant>
        <vt:lpwstr/>
      </vt:variant>
      <vt:variant>
        <vt:lpwstr>_Toc129697250</vt:lpwstr>
      </vt:variant>
      <vt:variant>
        <vt:i4>1048627</vt:i4>
      </vt:variant>
      <vt:variant>
        <vt:i4>2</vt:i4>
      </vt:variant>
      <vt:variant>
        <vt:i4>0</vt:i4>
      </vt:variant>
      <vt:variant>
        <vt:i4>5</vt:i4>
      </vt:variant>
      <vt:variant>
        <vt:lpwstr/>
      </vt:variant>
      <vt:variant>
        <vt:lpwstr>_Toc129697249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11</cp:revision>
  <cp:lastPrinted>2023-02-28T20:50:00Z</cp:lastPrinted>
  <dcterms:created xsi:type="dcterms:W3CDTF">2023-03-31T19:31:00Z</dcterms:created>
  <dcterms:modified xsi:type="dcterms:W3CDTF">2023-05-15T21:55:00Z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ies>
</file>