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632"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7"/>
        <w:gridCol w:w="117"/>
        <w:gridCol w:w="1700"/>
        <w:gridCol w:w="7458"/>
      </w:tblGrid>
      <w:tr w:rsidR="00742016" w:rsidRPr="00191B1E" w14:paraId="753797D8" w14:textId="77777777" w:rsidTr="000426C0">
        <w:trPr>
          <w:trHeight w:val="553"/>
        </w:trPr>
        <w:tc>
          <w:tcPr>
            <w:tcW w:w="3174" w:type="dxa"/>
            <w:gridSpan w:val="3"/>
            <w:tcBorders>
              <w:bottom w:val="single" w:sz="4" w:space="0" w:color="BFBFBF" w:themeColor="background1" w:themeShade="BF"/>
            </w:tcBorders>
            <w:shd w:val="clear" w:color="auto" w:fill="808080" w:themeFill="background1" w:themeFillShade="80"/>
            <w:vAlign w:val="center"/>
          </w:tcPr>
          <w:p w14:paraId="7DC76070" w14:textId="77777777" w:rsidR="00742016" w:rsidRPr="00191B1E" w:rsidRDefault="00742016" w:rsidP="00B65CC7">
            <w:pPr>
              <w:pStyle w:val="NormalWeb"/>
              <w:spacing w:before="0" w:beforeAutospacing="0" w:after="0" w:afterAutospacing="0" w:line="257" w:lineRule="auto"/>
              <w:jc w:val="right"/>
              <w:rPr>
                <w:rFonts w:ascii="Arial" w:hAnsi="Arial" w:cs="Arial"/>
                <w:sz w:val="22"/>
                <w:szCs w:val="22"/>
              </w:rPr>
            </w:pPr>
            <w:r w:rsidRPr="00191B1E">
              <w:rPr>
                <w:rFonts w:ascii="Calibri" w:eastAsia="Calibri" w:hAnsi="Calibri"/>
                <w:bCs/>
                <w:color w:val="FFFFFF" w:themeColor="background1"/>
                <w:kern w:val="24"/>
                <w:sz w:val="22"/>
                <w:szCs w:val="22"/>
                <w:lang w:val="es-MX"/>
              </w:rPr>
              <w:t>Principios de calidad:</w:t>
            </w:r>
          </w:p>
        </w:tc>
        <w:tc>
          <w:tcPr>
            <w:tcW w:w="7458" w:type="dxa"/>
            <w:tcBorders>
              <w:bottom w:val="single" w:sz="4" w:space="0" w:color="BFBFBF" w:themeColor="background1" w:themeShade="BF"/>
            </w:tcBorders>
            <w:shd w:val="clear" w:color="auto" w:fill="808080" w:themeFill="background1" w:themeFillShade="80"/>
            <w:vAlign w:val="center"/>
          </w:tcPr>
          <w:p w14:paraId="64CBB04E" w14:textId="77777777" w:rsidR="00742016" w:rsidRPr="00191B1E" w:rsidRDefault="008053D9" w:rsidP="00B65CC7">
            <w:pPr>
              <w:pStyle w:val="NormalWeb"/>
              <w:spacing w:before="0" w:beforeAutospacing="0" w:after="0" w:afterAutospacing="0" w:line="256" w:lineRule="auto"/>
              <w:rPr>
                <w:rFonts w:ascii="Arial" w:hAnsi="Arial" w:cs="Arial"/>
                <w:sz w:val="22"/>
                <w:szCs w:val="22"/>
              </w:rPr>
            </w:pPr>
            <w:r w:rsidRPr="00191B1E">
              <w:rPr>
                <w:rFonts w:asciiTheme="minorHAnsi" w:eastAsia="Calibri" w:hAnsi="Calibri"/>
                <w:color w:val="FFFFFF" w:themeColor="background1"/>
                <w:kern w:val="24"/>
                <w:sz w:val="22"/>
                <w:szCs w:val="22"/>
                <w:lang w:val="es-MX"/>
              </w:rPr>
              <w:t>Implementación adecuada</w:t>
            </w:r>
          </w:p>
        </w:tc>
      </w:tr>
      <w:tr w:rsidR="00191B1E" w:rsidRPr="00191B1E" w14:paraId="60DE9697" w14:textId="77777777" w:rsidTr="000426C0">
        <w:trPr>
          <w:trHeight w:val="553"/>
        </w:trPr>
        <w:tc>
          <w:tcPr>
            <w:tcW w:w="3174" w:type="dxa"/>
            <w:gridSpan w:val="3"/>
            <w:tcBorders>
              <w:top w:val="single" w:sz="4" w:space="0" w:color="BFBFBF" w:themeColor="background1" w:themeShade="BF"/>
              <w:bottom w:val="single" w:sz="4" w:space="0" w:color="BFBFBF" w:themeColor="background1" w:themeShade="BF"/>
            </w:tcBorders>
            <w:shd w:val="clear" w:color="auto" w:fill="808080" w:themeFill="background1" w:themeFillShade="80"/>
            <w:vAlign w:val="center"/>
          </w:tcPr>
          <w:p w14:paraId="70C92ECE" w14:textId="77777777" w:rsidR="00191B1E" w:rsidRPr="00191B1E" w:rsidRDefault="00191B1E" w:rsidP="00B65CC7">
            <w:pPr>
              <w:pStyle w:val="NormalWeb"/>
              <w:spacing w:before="0" w:beforeAutospacing="0" w:after="0" w:afterAutospacing="0" w:line="257" w:lineRule="auto"/>
              <w:jc w:val="right"/>
              <w:rPr>
                <w:rFonts w:ascii="Calibri" w:eastAsia="Calibri" w:hAnsi="Calibri"/>
                <w:bCs/>
                <w:color w:val="FFFFFF" w:themeColor="background1"/>
                <w:kern w:val="24"/>
                <w:sz w:val="22"/>
                <w:szCs w:val="22"/>
                <w:lang w:val="es-MX"/>
              </w:rPr>
            </w:pPr>
            <w:r w:rsidRPr="00191B1E">
              <w:rPr>
                <w:rFonts w:ascii="Calibri" w:eastAsia="Calibri" w:hAnsi="Calibri"/>
                <w:bCs/>
                <w:color w:val="FFFFFF" w:themeColor="background1"/>
                <w:kern w:val="24"/>
                <w:sz w:val="22"/>
                <w:szCs w:val="22"/>
                <w:lang w:val="es-MX"/>
              </w:rPr>
              <w:t>Actividad estratégica:</w:t>
            </w:r>
          </w:p>
        </w:tc>
        <w:tc>
          <w:tcPr>
            <w:tcW w:w="7458" w:type="dxa"/>
            <w:tcBorders>
              <w:top w:val="single" w:sz="4" w:space="0" w:color="BFBFBF" w:themeColor="background1" w:themeShade="BF"/>
              <w:bottom w:val="single" w:sz="4" w:space="0" w:color="BFBFBF" w:themeColor="background1" w:themeShade="BF"/>
            </w:tcBorders>
            <w:shd w:val="clear" w:color="auto" w:fill="808080" w:themeFill="background1" w:themeFillShade="80"/>
            <w:vAlign w:val="center"/>
          </w:tcPr>
          <w:p w14:paraId="7115800E" w14:textId="77777777" w:rsidR="00191B1E" w:rsidRPr="00191B1E" w:rsidRDefault="00191B1E" w:rsidP="00B65CC7">
            <w:pPr>
              <w:pStyle w:val="NormalWeb"/>
              <w:spacing w:before="0" w:beforeAutospacing="0" w:after="0" w:afterAutospacing="0" w:line="256" w:lineRule="auto"/>
              <w:rPr>
                <w:rFonts w:asciiTheme="minorHAnsi" w:eastAsia="Calibri" w:hAnsi="Calibri"/>
                <w:color w:val="FFFFFF" w:themeColor="background1"/>
                <w:kern w:val="24"/>
                <w:sz w:val="22"/>
                <w:szCs w:val="22"/>
                <w:lang w:val="es-MX"/>
              </w:rPr>
            </w:pPr>
            <w:r w:rsidRPr="00191B1E">
              <w:rPr>
                <w:rFonts w:asciiTheme="minorHAnsi" w:eastAsia="Calibri" w:hAnsi="Calibri"/>
                <w:color w:val="FFFFFF" w:themeColor="background1"/>
                <w:kern w:val="24"/>
                <w:sz w:val="22"/>
                <w:szCs w:val="22"/>
                <w:lang w:val="es-MX"/>
              </w:rPr>
              <w:t>Establecer controles de calidad en procesos estandarizados y documentados</w:t>
            </w:r>
          </w:p>
        </w:tc>
      </w:tr>
      <w:tr w:rsidR="00742016" w:rsidRPr="00191B1E" w14:paraId="69D12CA2" w14:textId="77777777" w:rsidTr="000426C0">
        <w:trPr>
          <w:trHeight w:val="415"/>
        </w:trPr>
        <w:tc>
          <w:tcPr>
            <w:tcW w:w="3174" w:type="dxa"/>
            <w:gridSpan w:val="3"/>
            <w:tcBorders>
              <w:top w:val="single" w:sz="4" w:space="0" w:color="BFBFBF" w:themeColor="background1" w:themeShade="BF"/>
            </w:tcBorders>
            <w:shd w:val="clear" w:color="auto" w:fill="808080" w:themeFill="background1" w:themeFillShade="80"/>
            <w:vAlign w:val="center"/>
          </w:tcPr>
          <w:p w14:paraId="56440249" w14:textId="77777777" w:rsidR="00742016" w:rsidRPr="00191B1E" w:rsidRDefault="00742016" w:rsidP="00B65CC7">
            <w:pPr>
              <w:pStyle w:val="NormalWeb"/>
              <w:spacing w:before="0" w:beforeAutospacing="0" w:after="0" w:afterAutospacing="0" w:line="257" w:lineRule="auto"/>
              <w:jc w:val="right"/>
              <w:rPr>
                <w:rFonts w:ascii="Arial" w:hAnsi="Arial" w:cs="Arial"/>
                <w:sz w:val="22"/>
                <w:szCs w:val="22"/>
              </w:rPr>
            </w:pPr>
            <w:r w:rsidRPr="00191B1E">
              <w:rPr>
                <w:rFonts w:ascii="Calibri" w:hAnsi="Calibri" w:cs="Calibri"/>
                <w:color w:val="FFFFFF" w:themeColor="background1"/>
                <w:kern w:val="24"/>
                <w:sz w:val="22"/>
                <w:szCs w:val="22"/>
                <w:lang w:val="es-MX"/>
              </w:rPr>
              <w:t>Alcance del grupo:</w:t>
            </w:r>
          </w:p>
        </w:tc>
        <w:tc>
          <w:tcPr>
            <w:tcW w:w="7458" w:type="dxa"/>
            <w:tcBorders>
              <w:top w:val="single" w:sz="4" w:space="0" w:color="BFBFBF" w:themeColor="background1" w:themeShade="BF"/>
            </w:tcBorders>
            <w:shd w:val="clear" w:color="auto" w:fill="808080" w:themeFill="background1" w:themeFillShade="80"/>
            <w:vAlign w:val="center"/>
          </w:tcPr>
          <w:p w14:paraId="0A1885C9" w14:textId="77777777" w:rsidR="00742016" w:rsidRPr="00191B1E" w:rsidRDefault="008053D9" w:rsidP="00B65CC7">
            <w:pPr>
              <w:pStyle w:val="NormalWeb"/>
              <w:spacing w:before="0" w:beforeAutospacing="0" w:after="0" w:afterAutospacing="0" w:line="256" w:lineRule="auto"/>
              <w:rPr>
                <w:rFonts w:ascii="Arial" w:hAnsi="Arial" w:cs="Arial"/>
                <w:sz w:val="22"/>
                <w:szCs w:val="22"/>
                <w:lang w:val="es-MX"/>
              </w:rPr>
            </w:pPr>
            <w:r w:rsidRPr="00191B1E">
              <w:rPr>
                <w:rFonts w:asciiTheme="minorHAnsi" w:hAnsi="Calibri" w:cs="Calibri"/>
                <w:color w:val="FFFFFF" w:themeColor="background1"/>
                <w:kern w:val="24"/>
                <w:sz w:val="22"/>
                <w:szCs w:val="22"/>
                <w:lang w:val="es-MX"/>
              </w:rPr>
              <w:t>Adaptación del Modelo del Proceso Estadístico y Geográfico (MPEG), propuesta de normatividad y seguimiento a la implementación</w:t>
            </w:r>
            <w:r w:rsidR="00742016" w:rsidRPr="00191B1E">
              <w:rPr>
                <w:rFonts w:asciiTheme="minorHAnsi" w:hAnsi="Calibri" w:cs="Calibri"/>
                <w:color w:val="FFFFFF" w:themeColor="background1"/>
                <w:kern w:val="24"/>
                <w:sz w:val="22"/>
                <w:szCs w:val="22"/>
                <w:lang w:val="es-MX"/>
              </w:rPr>
              <w:t>.</w:t>
            </w:r>
          </w:p>
        </w:tc>
      </w:tr>
      <w:tr w:rsidR="00742016" w14:paraId="13095DD2" w14:textId="77777777" w:rsidTr="000426C0">
        <w:trPr>
          <w:trHeight w:val="419"/>
        </w:trPr>
        <w:tc>
          <w:tcPr>
            <w:tcW w:w="1357" w:type="dxa"/>
            <w:tcBorders>
              <w:bottom w:val="single" w:sz="4" w:space="0" w:color="808080" w:themeColor="background1" w:themeShade="80"/>
            </w:tcBorders>
            <w:shd w:val="clear" w:color="auto" w:fill="F2F2F2" w:themeFill="background1" w:themeFillShade="F2"/>
            <w:vAlign w:val="center"/>
          </w:tcPr>
          <w:p w14:paraId="18AA4109" w14:textId="77777777" w:rsidR="00742016" w:rsidRPr="00221B78" w:rsidRDefault="00742016" w:rsidP="00B65CC7">
            <w:pPr>
              <w:pStyle w:val="NormalWeb"/>
              <w:spacing w:before="0" w:beforeAutospacing="0" w:after="0" w:afterAutospacing="0" w:line="256" w:lineRule="auto"/>
              <w:rPr>
                <w:rFonts w:ascii="Arial" w:hAnsi="Arial" w:cs="Arial"/>
                <w:sz w:val="22"/>
                <w:szCs w:val="22"/>
              </w:rPr>
            </w:pPr>
            <w:r w:rsidRPr="00221B78">
              <w:rPr>
                <w:rFonts w:ascii="Calibri" w:hAnsi="Calibri" w:cs="Calibri"/>
                <w:color w:val="000000" w:themeColor="dark1"/>
                <w:kern w:val="24"/>
                <w:sz w:val="22"/>
                <w:szCs w:val="22"/>
                <w:lang w:val="es-MX"/>
              </w:rPr>
              <w:t>Líder:</w:t>
            </w:r>
          </w:p>
        </w:tc>
        <w:tc>
          <w:tcPr>
            <w:tcW w:w="9275" w:type="dxa"/>
            <w:gridSpan w:val="3"/>
            <w:tcBorders>
              <w:bottom w:val="single" w:sz="4" w:space="0" w:color="808080" w:themeColor="background1" w:themeShade="80"/>
            </w:tcBorders>
            <w:shd w:val="clear" w:color="auto" w:fill="F2F2F2" w:themeFill="background1" w:themeFillShade="F2"/>
            <w:vAlign w:val="center"/>
          </w:tcPr>
          <w:p w14:paraId="568DA540" w14:textId="77777777" w:rsidR="00742016" w:rsidRPr="00221B78" w:rsidRDefault="008053D9" w:rsidP="00B65CC7">
            <w:pPr>
              <w:pStyle w:val="NormalWeb"/>
              <w:spacing w:before="0" w:beforeAutospacing="0" w:after="0" w:afterAutospacing="0" w:line="256" w:lineRule="auto"/>
              <w:rPr>
                <w:rFonts w:ascii="Arial" w:hAnsi="Arial" w:cs="Arial"/>
                <w:sz w:val="22"/>
                <w:szCs w:val="22"/>
                <w:lang w:val="es-MX"/>
              </w:rPr>
            </w:pPr>
            <w:r w:rsidRPr="008053D9">
              <w:rPr>
                <w:rFonts w:ascii="Calibri" w:hAnsi="Calibri" w:cs="Calibri"/>
                <w:color w:val="000000" w:themeColor="dark1"/>
                <w:kern w:val="24"/>
                <w:sz w:val="22"/>
                <w:szCs w:val="22"/>
                <w:lang w:val="es-MX"/>
              </w:rPr>
              <w:t xml:space="preserve">Eduardo </w:t>
            </w:r>
            <w:proofErr w:type="spellStart"/>
            <w:r w:rsidRPr="008053D9">
              <w:rPr>
                <w:rFonts w:ascii="Calibri" w:hAnsi="Calibri" w:cs="Calibri"/>
                <w:color w:val="000000" w:themeColor="dark1"/>
                <w:kern w:val="24"/>
                <w:sz w:val="22"/>
                <w:szCs w:val="22"/>
                <w:lang w:val="es-MX"/>
              </w:rPr>
              <w:t>Jallath</w:t>
            </w:r>
            <w:proofErr w:type="spellEnd"/>
            <w:r w:rsidRPr="008053D9">
              <w:rPr>
                <w:rFonts w:ascii="Calibri" w:hAnsi="Calibri" w:cs="Calibri"/>
                <w:color w:val="000000" w:themeColor="dark1"/>
                <w:kern w:val="24"/>
                <w:sz w:val="22"/>
                <w:szCs w:val="22"/>
                <w:lang w:val="es-MX"/>
              </w:rPr>
              <w:t>, Coordinador de Asesores del INEGI</w:t>
            </w:r>
          </w:p>
        </w:tc>
      </w:tr>
      <w:tr w:rsidR="00742016" w14:paraId="364B1C4E" w14:textId="77777777" w:rsidTr="000426C0">
        <w:tc>
          <w:tcPr>
            <w:tcW w:w="1357"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69610566" w14:textId="77777777" w:rsidR="00742016" w:rsidRPr="00221B78" w:rsidRDefault="00742016"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Integrantes:</w:t>
            </w:r>
          </w:p>
        </w:tc>
        <w:tc>
          <w:tcPr>
            <w:tcW w:w="9275" w:type="dxa"/>
            <w:gridSpan w:val="3"/>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263EB979" w14:textId="6144FC12" w:rsidR="001B3B92" w:rsidRPr="001B3B92" w:rsidRDefault="001B3B92" w:rsidP="00F67DCE">
            <w:pPr>
              <w:pStyle w:val="NormalWeb"/>
              <w:numPr>
                <w:ilvl w:val="0"/>
                <w:numId w:val="4"/>
              </w:numPr>
              <w:spacing w:after="0" w:line="256" w:lineRule="auto"/>
              <w:ind w:left="377" w:hanging="377"/>
              <w:rPr>
                <w:rFonts w:ascii="Calibri" w:hAnsi="Calibri" w:cs="Calibri"/>
                <w:color w:val="000000" w:themeColor="dark1"/>
                <w:kern w:val="24"/>
                <w:sz w:val="22"/>
                <w:szCs w:val="22"/>
                <w:lang w:val="es-MX"/>
              </w:rPr>
            </w:pPr>
            <w:r w:rsidRPr="001B3B92">
              <w:rPr>
                <w:rFonts w:ascii="Calibri" w:hAnsi="Calibri" w:cs="Calibri"/>
                <w:color w:val="000000" w:themeColor="dark1"/>
                <w:kern w:val="24"/>
                <w:sz w:val="22"/>
                <w:szCs w:val="22"/>
                <w:lang w:val="es-MX"/>
              </w:rPr>
              <w:t>Jorge Ventura Nevares, Coordinador General de Asuntos Jurídicos</w:t>
            </w:r>
            <w:r w:rsidR="00803831">
              <w:rPr>
                <w:rFonts w:ascii="Calibri" w:hAnsi="Calibri" w:cs="Calibri"/>
                <w:color w:val="000000" w:themeColor="dark1"/>
                <w:kern w:val="24"/>
                <w:sz w:val="22"/>
                <w:szCs w:val="22"/>
                <w:lang w:val="es-MX"/>
              </w:rPr>
              <w:t xml:space="preserve"> (CGAJ)</w:t>
            </w:r>
          </w:p>
          <w:p w14:paraId="131AC275" w14:textId="1892387C" w:rsidR="001B3B92" w:rsidRDefault="001B3B92" w:rsidP="00F67DCE">
            <w:pPr>
              <w:pStyle w:val="NormalWeb"/>
              <w:numPr>
                <w:ilvl w:val="0"/>
                <w:numId w:val="4"/>
              </w:numPr>
              <w:spacing w:before="0" w:beforeAutospacing="0" w:after="0" w:afterAutospacing="0" w:line="256" w:lineRule="auto"/>
              <w:ind w:left="377" w:hanging="377"/>
              <w:rPr>
                <w:rFonts w:ascii="Calibri" w:hAnsi="Calibri" w:cs="Calibri"/>
                <w:color w:val="000000" w:themeColor="dark1"/>
                <w:kern w:val="24"/>
                <w:sz w:val="22"/>
                <w:szCs w:val="22"/>
                <w:lang w:val="es-MX"/>
              </w:rPr>
            </w:pPr>
            <w:r w:rsidRPr="001B3B92">
              <w:rPr>
                <w:rFonts w:ascii="Calibri" w:hAnsi="Calibri" w:cs="Calibri"/>
                <w:color w:val="000000" w:themeColor="dark1"/>
                <w:kern w:val="24"/>
                <w:sz w:val="22"/>
                <w:szCs w:val="22"/>
                <w:lang w:val="es-MX"/>
              </w:rPr>
              <w:t xml:space="preserve">Cristina </w:t>
            </w:r>
            <w:proofErr w:type="spellStart"/>
            <w:r w:rsidRPr="001B3B92">
              <w:rPr>
                <w:rFonts w:ascii="Calibri" w:hAnsi="Calibri" w:cs="Calibri"/>
                <w:color w:val="000000" w:themeColor="dark1"/>
                <w:kern w:val="24"/>
                <w:sz w:val="22"/>
                <w:szCs w:val="22"/>
                <w:lang w:val="es-MX"/>
              </w:rPr>
              <w:t>Guirette</w:t>
            </w:r>
            <w:proofErr w:type="spellEnd"/>
            <w:r w:rsidRPr="001B3B92">
              <w:rPr>
                <w:rFonts w:ascii="Calibri" w:hAnsi="Calibri" w:cs="Calibri"/>
                <w:color w:val="000000" w:themeColor="dark1"/>
                <w:kern w:val="24"/>
                <w:sz w:val="22"/>
                <w:szCs w:val="22"/>
                <w:lang w:val="es-MX"/>
              </w:rPr>
              <w:t xml:space="preserve"> Saldaña, Directora de Análisis Normativo y Seguimiento a Junta de Gobierno</w:t>
            </w:r>
            <w:r w:rsidR="00803831">
              <w:rPr>
                <w:rFonts w:ascii="Calibri" w:hAnsi="Calibri" w:cs="Calibri"/>
                <w:color w:val="000000" w:themeColor="dark1"/>
                <w:kern w:val="24"/>
                <w:sz w:val="22"/>
                <w:szCs w:val="22"/>
                <w:lang w:val="es-MX"/>
              </w:rPr>
              <w:t xml:space="preserve"> (CGAJ)</w:t>
            </w:r>
          </w:p>
          <w:p w14:paraId="6D6C55B1" w14:textId="21CC042A" w:rsidR="001B3B92" w:rsidRDefault="001B3B92" w:rsidP="00F67DCE">
            <w:pPr>
              <w:pStyle w:val="NormalWeb"/>
              <w:numPr>
                <w:ilvl w:val="0"/>
                <w:numId w:val="4"/>
              </w:numPr>
              <w:spacing w:before="0" w:beforeAutospacing="0" w:after="0" w:afterAutospacing="0" w:line="256" w:lineRule="auto"/>
              <w:ind w:left="377" w:hanging="377"/>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 xml:space="preserve">Alexandra </w:t>
            </w:r>
            <w:r w:rsidR="00F25558">
              <w:rPr>
                <w:rFonts w:ascii="Calibri" w:hAnsi="Calibri" w:cs="Calibri"/>
                <w:color w:val="000000" w:themeColor="dark1"/>
                <w:kern w:val="24"/>
                <w:sz w:val="22"/>
                <w:szCs w:val="22"/>
                <w:lang w:val="es-MX"/>
              </w:rPr>
              <w:t xml:space="preserve">Stephanie </w:t>
            </w:r>
            <w:r>
              <w:rPr>
                <w:rFonts w:ascii="Calibri" w:hAnsi="Calibri" w:cs="Calibri"/>
                <w:color w:val="000000" w:themeColor="dark1"/>
                <w:kern w:val="24"/>
                <w:sz w:val="22"/>
                <w:szCs w:val="22"/>
                <w:lang w:val="es-MX"/>
              </w:rPr>
              <w:t xml:space="preserve">Boyer, </w:t>
            </w:r>
            <w:r w:rsidRPr="001B3B92">
              <w:rPr>
                <w:rFonts w:ascii="Calibri" w:hAnsi="Calibri" w:cs="Calibri"/>
                <w:color w:val="000000" w:themeColor="dark1"/>
                <w:kern w:val="24"/>
                <w:sz w:val="22"/>
                <w:szCs w:val="22"/>
                <w:lang w:val="es-MX"/>
              </w:rPr>
              <w:t>Director</w:t>
            </w:r>
            <w:r>
              <w:rPr>
                <w:rFonts w:ascii="Calibri" w:hAnsi="Calibri" w:cs="Calibri"/>
                <w:color w:val="000000" w:themeColor="dark1"/>
                <w:kern w:val="24"/>
                <w:sz w:val="22"/>
                <w:szCs w:val="22"/>
                <w:lang w:val="es-MX"/>
              </w:rPr>
              <w:t>a</w:t>
            </w:r>
            <w:r w:rsidRPr="001B3B92">
              <w:rPr>
                <w:rFonts w:ascii="Calibri" w:hAnsi="Calibri" w:cs="Calibri"/>
                <w:color w:val="000000" w:themeColor="dark1"/>
                <w:kern w:val="24"/>
                <w:sz w:val="22"/>
                <w:szCs w:val="22"/>
                <w:lang w:val="es-MX"/>
              </w:rPr>
              <w:t xml:space="preserve"> de Integración y Análisis de Información y Apoyo</w:t>
            </w:r>
            <w:r w:rsidR="00803831">
              <w:rPr>
                <w:rFonts w:ascii="Calibri" w:hAnsi="Calibri" w:cs="Calibri"/>
                <w:color w:val="000000" w:themeColor="dark1"/>
                <w:kern w:val="24"/>
                <w:sz w:val="22"/>
                <w:szCs w:val="22"/>
                <w:lang w:val="es-MX"/>
              </w:rPr>
              <w:t xml:space="preserve"> (CGOR)</w:t>
            </w:r>
          </w:p>
          <w:p w14:paraId="4A986691" w14:textId="4250CA40" w:rsidR="00481797" w:rsidRDefault="00481797" w:rsidP="00F67DCE">
            <w:pPr>
              <w:pStyle w:val="NormalWeb"/>
              <w:numPr>
                <w:ilvl w:val="0"/>
                <w:numId w:val="4"/>
              </w:numPr>
              <w:spacing w:before="0" w:beforeAutospacing="0" w:after="0" w:afterAutospacing="0" w:line="256" w:lineRule="auto"/>
              <w:ind w:left="377" w:hanging="377"/>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José Alberto Valencia, Director General Adjunto</w:t>
            </w:r>
            <w:r w:rsidR="00803831">
              <w:rPr>
                <w:rFonts w:ascii="Calibri" w:hAnsi="Calibri" w:cs="Calibri"/>
                <w:color w:val="000000" w:themeColor="dark1"/>
                <w:kern w:val="24"/>
                <w:sz w:val="22"/>
                <w:szCs w:val="22"/>
                <w:lang w:val="es-MX"/>
              </w:rPr>
              <w:t xml:space="preserve"> (DGA)</w:t>
            </w:r>
          </w:p>
          <w:p w14:paraId="5AF66AA5" w14:textId="5E80B369" w:rsidR="00481797" w:rsidRDefault="00481797" w:rsidP="00F67DCE">
            <w:pPr>
              <w:pStyle w:val="NormalWeb"/>
              <w:numPr>
                <w:ilvl w:val="0"/>
                <w:numId w:val="4"/>
              </w:numPr>
              <w:spacing w:before="0" w:beforeAutospacing="0" w:after="0" w:afterAutospacing="0" w:line="256" w:lineRule="auto"/>
              <w:ind w:left="377" w:hanging="377"/>
              <w:rPr>
                <w:rFonts w:ascii="Calibri" w:hAnsi="Calibri" w:cs="Calibri"/>
                <w:color w:val="000000" w:themeColor="dark1"/>
                <w:kern w:val="24"/>
                <w:sz w:val="22"/>
                <w:szCs w:val="22"/>
                <w:lang w:val="es-MX"/>
              </w:rPr>
            </w:pPr>
            <w:r w:rsidRPr="00481797">
              <w:rPr>
                <w:rFonts w:ascii="Calibri" w:hAnsi="Calibri" w:cs="Calibri"/>
                <w:color w:val="000000" w:themeColor="dark1"/>
                <w:kern w:val="24"/>
                <w:sz w:val="22"/>
                <w:szCs w:val="22"/>
                <w:lang w:val="es-MX"/>
              </w:rPr>
              <w:t>Guillermina González Durand</w:t>
            </w:r>
            <w:r>
              <w:rPr>
                <w:rFonts w:ascii="Calibri" w:hAnsi="Calibri" w:cs="Calibri"/>
                <w:color w:val="000000" w:themeColor="dark1"/>
                <w:kern w:val="24"/>
                <w:sz w:val="22"/>
                <w:szCs w:val="22"/>
                <w:lang w:val="es-MX"/>
              </w:rPr>
              <w:t>, D</w:t>
            </w:r>
            <w:r w:rsidRPr="00481797">
              <w:rPr>
                <w:rFonts w:ascii="Calibri" w:hAnsi="Calibri" w:cs="Calibri"/>
                <w:color w:val="000000" w:themeColor="dark1"/>
                <w:kern w:val="24"/>
                <w:sz w:val="22"/>
                <w:szCs w:val="22"/>
                <w:lang w:val="es-MX"/>
              </w:rPr>
              <w:t>irector</w:t>
            </w:r>
            <w:r>
              <w:rPr>
                <w:rFonts w:ascii="Calibri" w:hAnsi="Calibri" w:cs="Calibri"/>
                <w:color w:val="000000" w:themeColor="dark1"/>
                <w:kern w:val="24"/>
                <w:sz w:val="22"/>
                <w:szCs w:val="22"/>
                <w:lang w:val="es-MX"/>
              </w:rPr>
              <w:t>a</w:t>
            </w:r>
            <w:r w:rsidRPr="00481797">
              <w:rPr>
                <w:rFonts w:ascii="Calibri" w:hAnsi="Calibri" w:cs="Calibri"/>
                <w:color w:val="000000" w:themeColor="dark1"/>
                <w:kern w:val="24"/>
                <w:sz w:val="22"/>
                <w:szCs w:val="22"/>
                <w:lang w:val="es-MX"/>
              </w:rPr>
              <w:t xml:space="preserve"> de Coordinación de la Normativa del SNIEG</w:t>
            </w:r>
            <w:r w:rsidR="00803831">
              <w:rPr>
                <w:rFonts w:ascii="Calibri" w:hAnsi="Calibri" w:cs="Calibri"/>
                <w:color w:val="000000" w:themeColor="dark1"/>
                <w:kern w:val="24"/>
                <w:sz w:val="22"/>
                <w:szCs w:val="22"/>
                <w:lang w:val="es-MX"/>
              </w:rPr>
              <w:t xml:space="preserve"> (DGCSNIEG)</w:t>
            </w:r>
          </w:p>
          <w:p w14:paraId="48D862B2" w14:textId="1FE5B222" w:rsidR="00481797" w:rsidRDefault="00481797" w:rsidP="00F67DCE">
            <w:pPr>
              <w:pStyle w:val="NormalWeb"/>
              <w:numPr>
                <w:ilvl w:val="0"/>
                <w:numId w:val="4"/>
              </w:numPr>
              <w:spacing w:before="0" w:beforeAutospacing="0" w:after="0" w:afterAutospacing="0" w:line="256" w:lineRule="auto"/>
              <w:ind w:left="377" w:hanging="377"/>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Bertha</w:t>
            </w:r>
            <w:r w:rsidR="00F25558">
              <w:rPr>
                <w:rFonts w:ascii="Calibri" w:hAnsi="Calibri" w:cs="Calibri"/>
                <w:color w:val="000000" w:themeColor="dark1"/>
                <w:kern w:val="24"/>
                <w:sz w:val="22"/>
                <w:szCs w:val="22"/>
                <w:lang w:val="es-MX"/>
              </w:rPr>
              <w:t xml:space="preserve"> Patricia</w:t>
            </w:r>
            <w:r>
              <w:rPr>
                <w:rFonts w:ascii="Calibri" w:hAnsi="Calibri" w:cs="Calibri"/>
                <w:color w:val="000000" w:themeColor="dark1"/>
                <w:kern w:val="24"/>
                <w:sz w:val="22"/>
                <w:szCs w:val="22"/>
                <w:lang w:val="es-MX"/>
              </w:rPr>
              <w:t xml:space="preserve"> Rivas</w:t>
            </w:r>
            <w:r w:rsidR="00F25558">
              <w:rPr>
                <w:rFonts w:ascii="Calibri" w:hAnsi="Calibri" w:cs="Calibri"/>
                <w:color w:val="000000" w:themeColor="dark1"/>
                <w:kern w:val="24"/>
                <w:sz w:val="22"/>
                <w:szCs w:val="22"/>
                <w:lang w:val="es-MX"/>
              </w:rPr>
              <w:t xml:space="preserve"> Castelazo</w:t>
            </w:r>
            <w:r>
              <w:rPr>
                <w:rFonts w:ascii="Calibri" w:hAnsi="Calibri" w:cs="Calibri"/>
                <w:color w:val="000000" w:themeColor="dark1"/>
                <w:kern w:val="24"/>
                <w:sz w:val="22"/>
                <w:szCs w:val="22"/>
                <w:lang w:val="es-MX"/>
              </w:rPr>
              <w:t xml:space="preserve">, </w:t>
            </w:r>
            <w:r w:rsidRPr="00481797">
              <w:rPr>
                <w:rFonts w:ascii="Calibri" w:hAnsi="Calibri" w:cs="Calibri"/>
                <w:color w:val="000000" w:themeColor="dark1"/>
                <w:kern w:val="24"/>
                <w:sz w:val="22"/>
                <w:szCs w:val="22"/>
                <w:lang w:val="es-MX"/>
              </w:rPr>
              <w:t>Director</w:t>
            </w:r>
            <w:r>
              <w:rPr>
                <w:rFonts w:ascii="Calibri" w:hAnsi="Calibri" w:cs="Calibri"/>
                <w:color w:val="000000" w:themeColor="dark1"/>
                <w:kern w:val="24"/>
                <w:sz w:val="22"/>
                <w:szCs w:val="22"/>
                <w:lang w:val="es-MX"/>
              </w:rPr>
              <w:t>a</w:t>
            </w:r>
            <w:r w:rsidRPr="00481797">
              <w:rPr>
                <w:rFonts w:ascii="Calibri" w:hAnsi="Calibri" w:cs="Calibri"/>
                <w:color w:val="000000" w:themeColor="dark1"/>
                <w:kern w:val="24"/>
                <w:sz w:val="22"/>
                <w:szCs w:val="22"/>
                <w:lang w:val="es-MX"/>
              </w:rPr>
              <w:t xml:space="preserve"> de Fortalecimiento al Proceso de Producción de In</w:t>
            </w:r>
            <w:r>
              <w:rPr>
                <w:rFonts w:ascii="Calibri" w:hAnsi="Calibri" w:cs="Calibri"/>
                <w:color w:val="000000" w:themeColor="dark1"/>
                <w:kern w:val="24"/>
                <w:sz w:val="22"/>
                <w:szCs w:val="22"/>
                <w:lang w:val="es-MX"/>
              </w:rPr>
              <w:t>formación</w:t>
            </w:r>
            <w:r w:rsidR="00803831">
              <w:rPr>
                <w:rFonts w:ascii="Calibri" w:hAnsi="Calibri" w:cs="Calibri"/>
                <w:color w:val="000000" w:themeColor="dark1"/>
                <w:kern w:val="24"/>
                <w:sz w:val="22"/>
                <w:szCs w:val="22"/>
                <w:lang w:val="es-MX"/>
              </w:rPr>
              <w:t xml:space="preserve"> (DGEE)</w:t>
            </w:r>
          </w:p>
          <w:p w14:paraId="53340FD3" w14:textId="252C4C1D" w:rsidR="00481797" w:rsidRDefault="00481797" w:rsidP="00F67DCE">
            <w:pPr>
              <w:pStyle w:val="NormalWeb"/>
              <w:numPr>
                <w:ilvl w:val="0"/>
                <w:numId w:val="4"/>
              </w:numPr>
              <w:spacing w:before="0" w:beforeAutospacing="0" w:after="0" w:afterAutospacing="0" w:line="256" w:lineRule="auto"/>
              <w:ind w:left="377" w:hanging="377"/>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 xml:space="preserve">Roberto </w:t>
            </w:r>
            <w:r w:rsidR="00F25558">
              <w:rPr>
                <w:rFonts w:ascii="Calibri" w:hAnsi="Calibri" w:cs="Calibri"/>
                <w:color w:val="000000" w:themeColor="dark1"/>
                <w:kern w:val="24"/>
                <w:sz w:val="22"/>
                <w:szCs w:val="22"/>
                <w:lang w:val="es-MX"/>
              </w:rPr>
              <w:t xml:space="preserve">Arturo </w:t>
            </w:r>
            <w:r>
              <w:rPr>
                <w:rFonts w:ascii="Calibri" w:hAnsi="Calibri" w:cs="Calibri"/>
                <w:color w:val="000000" w:themeColor="dark1"/>
                <w:kern w:val="24"/>
                <w:sz w:val="22"/>
                <w:szCs w:val="22"/>
                <w:lang w:val="es-MX"/>
              </w:rPr>
              <w:t>Moreno</w:t>
            </w:r>
            <w:r w:rsidR="00F25558">
              <w:rPr>
                <w:rFonts w:ascii="Calibri" w:hAnsi="Calibri" w:cs="Calibri"/>
                <w:color w:val="000000" w:themeColor="dark1"/>
                <w:kern w:val="24"/>
                <w:sz w:val="22"/>
                <w:szCs w:val="22"/>
                <w:lang w:val="es-MX"/>
              </w:rPr>
              <w:t xml:space="preserve"> Solís</w:t>
            </w:r>
            <w:r>
              <w:rPr>
                <w:rFonts w:ascii="Calibri" w:hAnsi="Calibri" w:cs="Calibri"/>
                <w:color w:val="000000" w:themeColor="dark1"/>
                <w:kern w:val="24"/>
                <w:sz w:val="22"/>
                <w:szCs w:val="22"/>
                <w:lang w:val="es-MX"/>
              </w:rPr>
              <w:t xml:space="preserve">, </w:t>
            </w:r>
            <w:proofErr w:type="gramStart"/>
            <w:r w:rsidRPr="00481797">
              <w:rPr>
                <w:rFonts w:ascii="Calibri" w:hAnsi="Calibri" w:cs="Calibri"/>
                <w:color w:val="000000" w:themeColor="dark1"/>
                <w:kern w:val="24"/>
                <w:sz w:val="22"/>
                <w:szCs w:val="22"/>
                <w:lang w:val="es-MX"/>
              </w:rPr>
              <w:t>Subdirector  de</w:t>
            </w:r>
            <w:proofErr w:type="gramEnd"/>
            <w:r w:rsidRPr="00481797">
              <w:rPr>
                <w:rFonts w:ascii="Calibri" w:hAnsi="Calibri" w:cs="Calibri"/>
                <w:color w:val="000000" w:themeColor="dark1"/>
                <w:kern w:val="24"/>
                <w:sz w:val="22"/>
                <w:szCs w:val="22"/>
                <w:lang w:val="es-MX"/>
              </w:rPr>
              <w:t xml:space="preserve"> Fortalecimiento de la Calidad en los Proces</w:t>
            </w:r>
            <w:r>
              <w:rPr>
                <w:rFonts w:ascii="Calibri" w:hAnsi="Calibri" w:cs="Calibri"/>
                <w:color w:val="000000" w:themeColor="dark1"/>
                <w:kern w:val="24"/>
                <w:sz w:val="22"/>
                <w:szCs w:val="22"/>
                <w:lang w:val="es-MX"/>
              </w:rPr>
              <w:t>os</w:t>
            </w:r>
            <w:r w:rsidR="00803831">
              <w:rPr>
                <w:rFonts w:ascii="Calibri" w:hAnsi="Calibri" w:cs="Calibri"/>
                <w:color w:val="000000" w:themeColor="dark1"/>
                <w:kern w:val="24"/>
                <w:sz w:val="22"/>
                <w:szCs w:val="22"/>
                <w:lang w:val="es-MX"/>
              </w:rPr>
              <w:t xml:space="preserve"> (DGEE)</w:t>
            </w:r>
          </w:p>
          <w:p w14:paraId="1F1C16B6" w14:textId="4AE4EEB1" w:rsidR="00481797" w:rsidRDefault="00481797" w:rsidP="00F67DCE">
            <w:pPr>
              <w:pStyle w:val="NormalWeb"/>
              <w:numPr>
                <w:ilvl w:val="0"/>
                <w:numId w:val="4"/>
              </w:numPr>
              <w:spacing w:before="0" w:beforeAutospacing="0" w:after="0" w:afterAutospacing="0" w:line="256" w:lineRule="auto"/>
              <w:ind w:left="377" w:hanging="377"/>
              <w:rPr>
                <w:rFonts w:ascii="Calibri" w:hAnsi="Calibri" w:cs="Calibri"/>
                <w:color w:val="000000" w:themeColor="dark1"/>
                <w:kern w:val="24"/>
                <w:sz w:val="22"/>
                <w:szCs w:val="22"/>
                <w:lang w:val="es-MX"/>
              </w:rPr>
            </w:pPr>
            <w:r w:rsidRPr="00481797">
              <w:rPr>
                <w:rFonts w:ascii="Calibri" w:hAnsi="Calibri" w:cs="Calibri"/>
                <w:color w:val="000000" w:themeColor="dark1"/>
                <w:kern w:val="24"/>
                <w:sz w:val="22"/>
                <w:szCs w:val="22"/>
                <w:lang w:val="es-MX"/>
              </w:rPr>
              <w:t>Alejandra Ríos Cazares, Directora General Adjunta de Desarrollo, Análisis e Indicadores de Gobierno</w:t>
            </w:r>
            <w:r w:rsidR="00803831">
              <w:rPr>
                <w:rFonts w:ascii="Calibri" w:hAnsi="Calibri" w:cs="Calibri"/>
                <w:color w:val="000000" w:themeColor="dark1"/>
                <w:kern w:val="24"/>
                <w:sz w:val="22"/>
                <w:szCs w:val="22"/>
                <w:lang w:val="es-MX"/>
              </w:rPr>
              <w:t xml:space="preserve"> (DGEGSPJ)</w:t>
            </w:r>
          </w:p>
          <w:p w14:paraId="2E90D300" w14:textId="5092DA5E" w:rsidR="00481797" w:rsidRDefault="00481797" w:rsidP="00F67DCE">
            <w:pPr>
              <w:pStyle w:val="NormalWeb"/>
              <w:numPr>
                <w:ilvl w:val="0"/>
                <w:numId w:val="4"/>
              </w:numPr>
              <w:spacing w:before="0" w:beforeAutospacing="0" w:after="0" w:afterAutospacing="0" w:line="256" w:lineRule="auto"/>
              <w:ind w:left="377" w:hanging="377"/>
              <w:rPr>
                <w:rFonts w:ascii="Calibri" w:hAnsi="Calibri" w:cs="Calibri"/>
                <w:color w:val="000000" w:themeColor="dark1"/>
                <w:kern w:val="24"/>
                <w:sz w:val="22"/>
                <w:szCs w:val="22"/>
                <w:lang w:val="es-MX"/>
              </w:rPr>
            </w:pPr>
            <w:r w:rsidRPr="00481797">
              <w:rPr>
                <w:rFonts w:ascii="Calibri" w:hAnsi="Calibri" w:cs="Calibri"/>
                <w:color w:val="000000" w:themeColor="dark1"/>
                <w:kern w:val="24"/>
                <w:sz w:val="22"/>
                <w:szCs w:val="22"/>
                <w:lang w:val="es-MX"/>
              </w:rPr>
              <w:t>Armando Islas Delgadillo, Director de Censos Nacionales de Gobierno</w:t>
            </w:r>
            <w:r w:rsidR="00803831">
              <w:rPr>
                <w:rFonts w:ascii="Calibri" w:hAnsi="Calibri" w:cs="Calibri"/>
                <w:color w:val="000000" w:themeColor="dark1"/>
                <w:kern w:val="24"/>
                <w:sz w:val="22"/>
                <w:szCs w:val="22"/>
                <w:lang w:val="es-MX"/>
              </w:rPr>
              <w:t xml:space="preserve"> (DGEGSPJ)</w:t>
            </w:r>
          </w:p>
          <w:p w14:paraId="6EFF42A7" w14:textId="680A4637" w:rsidR="00481797" w:rsidRDefault="00481797" w:rsidP="00F67DCE">
            <w:pPr>
              <w:pStyle w:val="NormalWeb"/>
              <w:numPr>
                <w:ilvl w:val="0"/>
                <w:numId w:val="4"/>
              </w:numPr>
              <w:spacing w:before="0" w:beforeAutospacing="0" w:after="0" w:afterAutospacing="0" w:line="256" w:lineRule="auto"/>
              <w:ind w:left="377" w:hanging="377"/>
              <w:rPr>
                <w:rFonts w:ascii="Calibri" w:hAnsi="Calibri" w:cs="Calibri"/>
                <w:color w:val="000000" w:themeColor="dark1"/>
                <w:kern w:val="24"/>
                <w:sz w:val="22"/>
                <w:szCs w:val="22"/>
                <w:lang w:val="es-MX"/>
              </w:rPr>
            </w:pPr>
            <w:r w:rsidRPr="00481797">
              <w:rPr>
                <w:rFonts w:ascii="Calibri" w:hAnsi="Calibri" w:cs="Calibri"/>
                <w:color w:val="000000" w:themeColor="dark1"/>
                <w:kern w:val="24"/>
                <w:sz w:val="22"/>
                <w:szCs w:val="22"/>
                <w:lang w:val="es-MX"/>
              </w:rPr>
              <w:t xml:space="preserve">Jorge Ochoa </w:t>
            </w:r>
            <w:proofErr w:type="spellStart"/>
            <w:r w:rsidRPr="00481797">
              <w:rPr>
                <w:rFonts w:ascii="Calibri" w:hAnsi="Calibri" w:cs="Calibri"/>
                <w:color w:val="000000" w:themeColor="dark1"/>
                <w:kern w:val="24"/>
                <w:sz w:val="22"/>
                <w:szCs w:val="22"/>
                <w:lang w:val="es-MX"/>
              </w:rPr>
              <w:t>Setzer</w:t>
            </w:r>
            <w:proofErr w:type="spellEnd"/>
            <w:r w:rsidRPr="00481797">
              <w:rPr>
                <w:rFonts w:ascii="Calibri" w:hAnsi="Calibri" w:cs="Calibri"/>
                <w:color w:val="000000" w:themeColor="dark1"/>
                <w:kern w:val="24"/>
                <w:sz w:val="22"/>
                <w:szCs w:val="22"/>
                <w:lang w:val="es-MX"/>
              </w:rPr>
              <w:t>, D</w:t>
            </w:r>
            <w:r>
              <w:rPr>
                <w:rFonts w:ascii="Calibri" w:hAnsi="Calibri" w:cs="Calibri"/>
                <w:color w:val="000000" w:themeColor="dark1"/>
                <w:kern w:val="24"/>
                <w:sz w:val="22"/>
                <w:szCs w:val="22"/>
                <w:lang w:val="es-MX"/>
              </w:rPr>
              <w:t>irector General Adjunto d</w:t>
            </w:r>
            <w:r w:rsidRPr="00481797">
              <w:rPr>
                <w:rFonts w:ascii="Calibri" w:hAnsi="Calibri" w:cs="Calibri"/>
                <w:color w:val="000000" w:themeColor="dark1"/>
                <w:kern w:val="24"/>
                <w:sz w:val="22"/>
                <w:szCs w:val="22"/>
                <w:lang w:val="es-MX"/>
              </w:rPr>
              <w:t>e Infraestructura Estadística</w:t>
            </w:r>
            <w:r w:rsidR="00803831">
              <w:rPr>
                <w:rFonts w:ascii="Calibri" w:hAnsi="Calibri" w:cs="Calibri"/>
                <w:color w:val="000000" w:themeColor="dark1"/>
                <w:kern w:val="24"/>
                <w:sz w:val="22"/>
                <w:szCs w:val="22"/>
                <w:lang w:val="es-MX"/>
              </w:rPr>
              <w:t xml:space="preserve"> (DGES)</w:t>
            </w:r>
          </w:p>
          <w:p w14:paraId="6692137D" w14:textId="375D7D36" w:rsidR="00481797" w:rsidRDefault="00481797" w:rsidP="00F67DCE">
            <w:pPr>
              <w:pStyle w:val="NormalWeb"/>
              <w:numPr>
                <w:ilvl w:val="0"/>
                <w:numId w:val="4"/>
              </w:numPr>
              <w:spacing w:before="0" w:beforeAutospacing="0" w:after="0" w:afterAutospacing="0" w:line="256" w:lineRule="auto"/>
              <w:ind w:left="377" w:hanging="377"/>
              <w:rPr>
                <w:rFonts w:ascii="Calibri" w:hAnsi="Calibri" w:cs="Calibri"/>
                <w:color w:val="000000" w:themeColor="dark1"/>
                <w:kern w:val="24"/>
                <w:sz w:val="22"/>
                <w:szCs w:val="22"/>
                <w:lang w:val="es-MX"/>
              </w:rPr>
            </w:pPr>
            <w:r w:rsidRPr="00481797">
              <w:rPr>
                <w:rFonts w:ascii="Calibri" w:hAnsi="Calibri" w:cs="Calibri"/>
                <w:color w:val="000000" w:themeColor="dark1"/>
                <w:kern w:val="24"/>
                <w:sz w:val="22"/>
                <w:szCs w:val="22"/>
                <w:lang w:val="es-MX"/>
              </w:rPr>
              <w:t>Enrique Muñoz</w:t>
            </w:r>
            <w:r w:rsidR="00F25558">
              <w:rPr>
                <w:rFonts w:ascii="Calibri" w:hAnsi="Calibri" w:cs="Calibri"/>
                <w:color w:val="000000" w:themeColor="dark1"/>
                <w:kern w:val="24"/>
                <w:sz w:val="22"/>
                <w:szCs w:val="22"/>
                <w:lang w:val="es-MX"/>
              </w:rPr>
              <w:t xml:space="preserve"> </w:t>
            </w:r>
            <w:proofErr w:type="spellStart"/>
            <w:r w:rsidR="00F25558">
              <w:rPr>
                <w:rFonts w:ascii="Calibri" w:hAnsi="Calibri" w:cs="Calibri"/>
                <w:color w:val="000000" w:themeColor="dark1"/>
                <w:kern w:val="24"/>
                <w:sz w:val="22"/>
                <w:szCs w:val="22"/>
                <w:lang w:val="es-MX"/>
              </w:rPr>
              <w:t>Goncen</w:t>
            </w:r>
            <w:proofErr w:type="spellEnd"/>
            <w:r w:rsidR="00F25558">
              <w:rPr>
                <w:rFonts w:ascii="Calibri" w:hAnsi="Calibri" w:cs="Calibri"/>
                <w:color w:val="000000" w:themeColor="dark1"/>
                <w:kern w:val="24"/>
                <w:sz w:val="22"/>
                <w:szCs w:val="22"/>
                <w:lang w:val="es-MX"/>
              </w:rPr>
              <w:t>,</w:t>
            </w:r>
            <w:r w:rsidRPr="00481797">
              <w:rPr>
                <w:rFonts w:ascii="Calibri" w:hAnsi="Calibri" w:cs="Calibri"/>
                <w:color w:val="000000" w:themeColor="dark1"/>
                <w:kern w:val="24"/>
                <w:sz w:val="22"/>
                <w:szCs w:val="22"/>
                <w:lang w:val="es-MX"/>
              </w:rPr>
              <w:t xml:space="preserve"> Director General Adjunto de Información Geográfica Básica</w:t>
            </w:r>
            <w:r w:rsidR="00803831">
              <w:rPr>
                <w:rFonts w:ascii="Calibri" w:hAnsi="Calibri" w:cs="Calibri"/>
                <w:color w:val="000000" w:themeColor="dark1"/>
                <w:kern w:val="24"/>
                <w:sz w:val="22"/>
                <w:szCs w:val="22"/>
                <w:lang w:val="es-MX"/>
              </w:rPr>
              <w:t xml:space="preserve"> (DGGMA)</w:t>
            </w:r>
          </w:p>
          <w:p w14:paraId="7220E000" w14:textId="16B270B7" w:rsidR="00481797" w:rsidRDefault="00F25558" w:rsidP="00481797">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 xml:space="preserve">Jesús </w:t>
            </w:r>
            <w:r w:rsidR="00481797">
              <w:rPr>
                <w:rFonts w:ascii="Calibri" w:hAnsi="Calibri" w:cs="Calibri"/>
                <w:color w:val="000000" w:themeColor="dark1"/>
                <w:kern w:val="24"/>
                <w:sz w:val="22"/>
                <w:szCs w:val="22"/>
                <w:lang w:val="es-MX"/>
              </w:rPr>
              <w:t>Armando Aguiar</w:t>
            </w:r>
            <w:r>
              <w:rPr>
                <w:rFonts w:ascii="Calibri" w:hAnsi="Calibri" w:cs="Calibri"/>
                <w:color w:val="000000" w:themeColor="dark1"/>
                <w:kern w:val="24"/>
                <w:sz w:val="22"/>
                <w:szCs w:val="22"/>
                <w:lang w:val="es-MX"/>
              </w:rPr>
              <w:t xml:space="preserve"> Rodríguez</w:t>
            </w:r>
            <w:r w:rsidR="00481797">
              <w:rPr>
                <w:rFonts w:ascii="Calibri" w:hAnsi="Calibri" w:cs="Calibri"/>
                <w:color w:val="000000" w:themeColor="dark1"/>
                <w:kern w:val="24"/>
                <w:sz w:val="22"/>
                <w:szCs w:val="22"/>
                <w:lang w:val="es-MX"/>
              </w:rPr>
              <w:t xml:space="preserve">, </w:t>
            </w:r>
            <w:r w:rsidR="00481797" w:rsidRPr="00481797">
              <w:rPr>
                <w:rFonts w:ascii="Calibri" w:hAnsi="Calibri" w:cs="Calibri"/>
                <w:color w:val="000000" w:themeColor="dark1"/>
                <w:kern w:val="24"/>
                <w:sz w:val="22"/>
                <w:szCs w:val="22"/>
                <w:lang w:val="es-MX"/>
              </w:rPr>
              <w:t>Director de Servicios de Información</w:t>
            </w:r>
            <w:r w:rsidR="00803831">
              <w:rPr>
                <w:rFonts w:ascii="Calibri" w:hAnsi="Calibri" w:cs="Calibri"/>
                <w:color w:val="000000" w:themeColor="dark1"/>
                <w:kern w:val="24"/>
                <w:sz w:val="22"/>
                <w:szCs w:val="22"/>
                <w:lang w:val="es-MX"/>
              </w:rPr>
              <w:t xml:space="preserve"> (DGCSPIRI)</w:t>
            </w:r>
          </w:p>
          <w:p w14:paraId="52FFB18C" w14:textId="62898A0D" w:rsidR="00481797" w:rsidRPr="00F67DCE" w:rsidRDefault="00481797" w:rsidP="00F67DCE">
            <w:pPr>
              <w:pStyle w:val="NormalWeb"/>
              <w:numPr>
                <w:ilvl w:val="0"/>
                <w:numId w:val="4"/>
              </w:numPr>
              <w:spacing w:before="0" w:beforeAutospacing="0" w:after="0" w:afterAutospacing="0" w:line="256" w:lineRule="auto"/>
              <w:ind w:left="316" w:hanging="283"/>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 xml:space="preserve">Fernando Lazo, </w:t>
            </w:r>
            <w:r w:rsidRPr="00481797">
              <w:rPr>
                <w:rFonts w:ascii="Calibri" w:hAnsi="Calibri" w:cs="Calibri"/>
                <w:color w:val="000000" w:themeColor="dark1"/>
                <w:kern w:val="24"/>
                <w:sz w:val="22"/>
                <w:szCs w:val="22"/>
                <w:lang w:val="es-MX"/>
              </w:rPr>
              <w:t>Subdirector de Gestión y Proyectos Estratégicos</w:t>
            </w:r>
            <w:r w:rsidR="00803831">
              <w:rPr>
                <w:rFonts w:ascii="Calibri" w:hAnsi="Calibri" w:cs="Calibri"/>
                <w:color w:val="000000" w:themeColor="dark1"/>
                <w:kern w:val="24"/>
                <w:sz w:val="22"/>
                <w:szCs w:val="22"/>
                <w:lang w:val="es-MX"/>
              </w:rPr>
              <w:t xml:space="preserve"> (DGCSPIRI)</w:t>
            </w:r>
          </w:p>
        </w:tc>
      </w:tr>
      <w:tr w:rsidR="00742016" w14:paraId="6249676C" w14:textId="77777777" w:rsidTr="000426C0">
        <w:tc>
          <w:tcPr>
            <w:tcW w:w="1357" w:type="dxa"/>
            <w:tcBorders>
              <w:top w:val="single" w:sz="4" w:space="0" w:color="808080" w:themeColor="background1" w:themeShade="80"/>
              <w:bottom w:val="single" w:sz="4" w:space="0" w:color="808080" w:themeColor="background1" w:themeShade="80"/>
            </w:tcBorders>
            <w:shd w:val="clear" w:color="auto" w:fill="F2F2F2" w:themeFill="background1" w:themeFillShade="F2"/>
          </w:tcPr>
          <w:p w14:paraId="7A89AB02" w14:textId="62D6DBCB" w:rsidR="00742016" w:rsidRPr="00221B78" w:rsidRDefault="0065325D"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 xml:space="preserve">Acuerdos del </w:t>
            </w:r>
            <w:proofErr w:type="spellStart"/>
            <w:r>
              <w:rPr>
                <w:rFonts w:ascii="Calibri" w:hAnsi="Calibri" w:cs="Calibri"/>
                <w:color w:val="000000" w:themeColor="dark1"/>
                <w:kern w:val="24"/>
                <w:sz w:val="22"/>
                <w:szCs w:val="22"/>
                <w:lang w:val="es-MX"/>
              </w:rPr>
              <w:t>CoAC</w:t>
            </w:r>
            <w:proofErr w:type="spellEnd"/>
            <w:r>
              <w:rPr>
                <w:rFonts w:ascii="Calibri" w:hAnsi="Calibri" w:cs="Calibri"/>
                <w:color w:val="000000" w:themeColor="dark1"/>
                <w:kern w:val="24"/>
                <w:sz w:val="22"/>
                <w:szCs w:val="22"/>
                <w:lang w:val="es-MX"/>
              </w:rPr>
              <w:t xml:space="preserve"> relacionados</w:t>
            </w:r>
          </w:p>
        </w:tc>
        <w:tc>
          <w:tcPr>
            <w:tcW w:w="9275" w:type="dxa"/>
            <w:gridSpan w:val="3"/>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0E72614B" w14:textId="77777777" w:rsidR="0055657F" w:rsidRDefault="0055657F"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8E50C0">
              <w:rPr>
                <w:rFonts w:ascii="Calibri" w:hAnsi="Calibri" w:cs="Calibri"/>
                <w:b/>
                <w:color w:val="000000" w:themeColor="dark1"/>
                <w:kern w:val="24"/>
                <w:sz w:val="22"/>
                <w:szCs w:val="22"/>
                <w:lang w:val="es-MX"/>
              </w:rPr>
              <w:t>CAC-005/01/2016:</w:t>
            </w:r>
            <w:r>
              <w:rPr>
                <w:rFonts w:ascii="Calibri" w:hAnsi="Calibri" w:cs="Calibri"/>
                <w:color w:val="000000" w:themeColor="dark1"/>
                <w:kern w:val="24"/>
                <w:sz w:val="22"/>
                <w:szCs w:val="22"/>
                <w:lang w:val="es-MX"/>
              </w:rPr>
              <w:t xml:space="preserve"> </w:t>
            </w:r>
            <w:r w:rsidRPr="0055657F">
              <w:rPr>
                <w:rFonts w:ascii="Calibri" w:hAnsi="Calibri" w:cs="Calibri"/>
                <w:color w:val="000000" w:themeColor="dark1"/>
                <w:kern w:val="24"/>
                <w:sz w:val="22"/>
                <w:szCs w:val="22"/>
                <w:lang w:val="es-MX"/>
              </w:rPr>
              <w:t>Aprobación del grupo de trabajo del “Modelo General de Procesos”</w:t>
            </w:r>
          </w:p>
          <w:p w14:paraId="550B2D92" w14:textId="77777777" w:rsidR="00E4072C" w:rsidRDefault="00E4072C"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28E02424" w14:textId="77777777" w:rsidR="00742016" w:rsidRDefault="00E4072C"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8E50C0">
              <w:rPr>
                <w:rFonts w:ascii="Calibri" w:hAnsi="Calibri" w:cs="Calibri"/>
                <w:b/>
                <w:color w:val="000000" w:themeColor="dark1"/>
                <w:kern w:val="24"/>
                <w:sz w:val="22"/>
                <w:szCs w:val="22"/>
                <w:lang w:val="es-MX"/>
              </w:rPr>
              <w:t xml:space="preserve">CAC-006/02/2016: </w:t>
            </w:r>
            <w:r w:rsidRPr="00E4072C">
              <w:rPr>
                <w:rFonts w:ascii="Calibri" w:hAnsi="Calibri" w:cs="Calibri"/>
                <w:color w:val="000000" w:themeColor="dark1"/>
                <w:kern w:val="24"/>
                <w:sz w:val="22"/>
                <w:szCs w:val="22"/>
                <w:lang w:val="es-MX"/>
              </w:rPr>
              <w:t>Enviar a la UNECE la traducción aprobada del documento Modelo genérico del proceso estadístico y participar en la revisión del Modelo de Evaluación del GSBPM 5.0</w:t>
            </w:r>
          </w:p>
          <w:p w14:paraId="39D73459" w14:textId="77777777" w:rsidR="00E4072C" w:rsidRDefault="00E4072C"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100007D0" w14:textId="77777777" w:rsidR="00E4072C" w:rsidRDefault="00E4072C"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8E50C0">
              <w:rPr>
                <w:rFonts w:ascii="Calibri" w:hAnsi="Calibri" w:cs="Calibri"/>
                <w:b/>
                <w:color w:val="000000" w:themeColor="dark1"/>
                <w:kern w:val="24"/>
                <w:sz w:val="22"/>
                <w:szCs w:val="22"/>
                <w:lang w:val="es-MX"/>
              </w:rPr>
              <w:t>CAC-003/04/2017:</w:t>
            </w:r>
            <w:r>
              <w:rPr>
                <w:rFonts w:ascii="Calibri" w:hAnsi="Calibri" w:cs="Calibri"/>
                <w:color w:val="000000" w:themeColor="dark1"/>
                <w:kern w:val="24"/>
                <w:sz w:val="22"/>
                <w:szCs w:val="22"/>
                <w:lang w:val="es-MX"/>
              </w:rPr>
              <w:t xml:space="preserve"> </w:t>
            </w:r>
            <w:r w:rsidRPr="00E4072C">
              <w:rPr>
                <w:rFonts w:ascii="Calibri" w:hAnsi="Calibri" w:cs="Calibri"/>
                <w:color w:val="000000" w:themeColor="dark1"/>
                <w:kern w:val="24"/>
                <w:sz w:val="22"/>
                <w:szCs w:val="22"/>
                <w:lang w:val="es-MX"/>
              </w:rPr>
              <w:t>El Comité solicitó incluir a la Junta de Gobierno en el proceso de revisión del proyecto de Norma para la Producción Estadística y Geográfica.</w:t>
            </w:r>
          </w:p>
          <w:p w14:paraId="6C3862FE" w14:textId="77777777" w:rsidR="00E4072C" w:rsidRDefault="00E4072C"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4A3A9F76" w14:textId="77777777" w:rsidR="00E4072C" w:rsidRDefault="00E4072C"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8E50C0">
              <w:rPr>
                <w:rFonts w:ascii="Calibri" w:hAnsi="Calibri" w:cs="Calibri"/>
                <w:b/>
                <w:color w:val="000000" w:themeColor="dark1"/>
                <w:kern w:val="24"/>
                <w:sz w:val="22"/>
                <w:szCs w:val="22"/>
                <w:lang w:val="es-MX"/>
              </w:rPr>
              <w:t>CAC-004/04/2017:</w:t>
            </w:r>
            <w:r>
              <w:rPr>
                <w:rFonts w:ascii="Calibri" w:hAnsi="Calibri" w:cs="Calibri"/>
                <w:color w:val="000000" w:themeColor="dark1"/>
                <w:kern w:val="24"/>
                <w:sz w:val="22"/>
                <w:szCs w:val="22"/>
                <w:lang w:val="es-MX"/>
              </w:rPr>
              <w:t xml:space="preserve"> </w:t>
            </w:r>
            <w:r w:rsidRPr="00E4072C">
              <w:rPr>
                <w:rFonts w:ascii="Calibri" w:hAnsi="Calibri" w:cs="Calibri"/>
                <w:color w:val="000000" w:themeColor="dark1"/>
                <w:kern w:val="24"/>
                <w:sz w:val="22"/>
                <w:szCs w:val="22"/>
                <w:lang w:val="es-MX"/>
              </w:rPr>
              <w:t>El Comité decidió continuar la colaboración de las unidades administrativas en el proceso de revisión del proyecto de Norma y considerar los procesos transversales.</w:t>
            </w:r>
          </w:p>
          <w:p w14:paraId="46044F01" w14:textId="77777777" w:rsidR="00E4072C" w:rsidRDefault="00E4072C"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2E57AABD" w14:textId="77777777" w:rsidR="000841FC" w:rsidRDefault="000841FC"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0841FC">
              <w:rPr>
                <w:rFonts w:ascii="Calibri" w:hAnsi="Calibri" w:cs="Calibri"/>
                <w:b/>
                <w:color w:val="000000" w:themeColor="dark1"/>
                <w:kern w:val="24"/>
                <w:sz w:val="22"/>
                <w:szCs w:val="22"/>
                <w:lang w:val="es-MX"/>
              </w:rPr>
              <w:t>CAC-004/01/2018:</w:t>
            </w:r>
            <w:r>
              <w:rPr>
                <w:rFonts w:ascii="Calibri" w:hAnsi="Calibri" w:cs="Calibri"/>
                <w:color w:val="000000" w:themeColor="dark1"/>
                <w:kern w:val="24"/>
                <w:sz w:val="22"/>
                <w:szCs w:val="22"/>
                <w:lang w:val="es-MX"/>
              </w:rPr>
              <w:t xml:space="preserve"> </w:t>
            </w:r>
            <w:r w:rsidRPr="000841FC">
              <w:rPr>
                <w:rFonts w:ascii="Calibri" w:hAnsi="Calibri" w:cs="Calibri"/>
                <w:color w:val="000000" w:themeColor="dark1"/>
                <w:kern w:val="24"/>
                <w:sz w:val="22"/>
                <w:szCs w:val="22"/>
                <w:lang w:val="es-MX"/>
              </w:rPr>
              <w:t>El Comité toma conocimiento de la necesidad de definir un glosario institucional, así como de las actividades realizadas y planeadas para su integración. Las unidades administrativas encargadas de la producción e integración de información estadística y geográfica deberán enviar a más tardar el 16 de marzo de 2018 a la Coordinación de Asesores, la información solicitada en la ficha de la prueba de concepto para al menos un proyecto de cada Dirección General Adjunta.</w:t>
            </w:r>
          </w:p>
          <w:p w14:paraId="743DD22C" w14:textId="77777777" w:rsidR="000841FC" w:rsidRDefault="000841FC"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02B4E710" w14:textId="77777777" w:rsidR="00914232" w:rsidRDefault="00914232"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914232">
              <w:rPr>
                <w:rFonts w:ascii="Calibri" w:hAnsi="Calibri" w:cs="Calibri"/>
                <w:b/>
                <w:color w:val="000000" w:themeColor="dark1"/>
                <w:kern w:val="24"/>
                <w:sz w:val="22"/>
                <w:szCs w:val="22"/>
                <w:lang w:val="es-MX"/>
              </w:rPr>
              <w:t>CAC-002/02/2018</w:t>
            </w:r>
            <w:r>
              <w:rPr>
                <w:rFonts w:ascii="Calibri" w:hAnsi="Calibri" w:cs="Calibri"/>
                <w:color w:val="000000" w:themeColor="dark1"/>
                <w:kern w:val="24"/>
                <w:sz w:val="22"/>
                <w:szCs w:val="22"/>
                <w:lang w:val="es-MX"/>
              </w:rPr>
              <w:t xml:space="preserve">: </w:t>
            </w:r>
            <w:r w:rsidRPr="00914232">
              <w:rPr>
                <w:rFonts w:ascii="Calibri" w:hAnsi="Calibri" w:cs="Calibri"/>
                <w:color w:val="000000" w:themeColor="dark1"/>
                <w:kern w:val="24"/>
                <w:sz w:val="22"/>
                <w:szCs w:val="22"/>
                <w:lang w:val="es-MX"/>
              </w:rPr>
              <w:t>Los Directores Generales y Coordinadores Generales emitirán opiniones y comentarios al proyecto de Norma Técnica del Proceso de Producción de Información Estadística y Geográfica, utilizando el formato enviado.</w:t>
            </w:r>
          </w:p>
          <w:p w14:paraId="7110F4B3" w14:textId="4C2E984E" w:rsidR="00914232" w:rsidRDefault="00914232"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3295CEB0" w14:textId="72C9EA7D" w:rsidR="007E587C" w:rsidRDefault="007E587C"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7E587C">
              <w:rPr>
                <w:rFonts w:ascii="Calibri" w:hAnsi="Calibri" w:cs="Calibri"/>
                <w:b/>
                <w:bCs/>
                <w:color w:val="000000" w:themeColor="dark1"/>
                <w:kern w:val="24"/>
                <w:sz w:val="22"/>
                <w:szCs w:val="22"/>
                <w:lang w:val="es-MX"/>
              </w:rPr>
              <w:t>CAC-002/03/2018:</w:t>
            </w:r>
            <w:r>
              <w:rPr>
                <w:rFonts w:ascii="Calibri" w:hAnsi="Calibri" w:cs="Calibri"/>
                <w:color w:val="000000" w:themeColor="dark1"/>
                <w:kern w:val="24"/>
                <w:sz w:val="22"/>
                <w:szCs w:val="22"/>
                <w:lang w:val="es-MX"/>
              </w:rPr>
              <w:t xml:space="preserve"> </w:t>
            </w:r>
            <w:r w:rsidRPr="007E587C">
              <w:rPr>
                <w:rFonts w:ascii="Calibri" w:hAnsi="Calibri" w:cs="Calibri"/>
                <w:color w:val="000000" w:themeColor="dark1"/>
                <w:kern w:val="24"/>
                <w:sz w:val="22"/>
                <w:szCs w:val="22"/>
                <w:lang w:val="es-MX"/>
              </w:rPr>
              <w:t>Validación del Anteproyecto de Norma Técnica del Proceso de Producción de Información Estadística y Geográfica para el Instituto Nacional de Estadística y Geografía; solicitan a la Coordinación General de Asuntos Jurídicos lleve a cabo la revisión y, en su caso, validación jurídica del Anteproyecto en cuestión, para estar en condiciones de continuar con las gestiones conducentes para su formalización.</w:t>
            </w:r>
          </w:p>
          <w:p w14:paraId="4E474EF2" w14:textId="77777777" w:rsidR="007E587C" w:rsidRDefault="007E587C"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32887775" w14:textId="77777777" w:rsidR="00E4072C" w:rsidRDefault="00E4072C"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8E50C0">
              <w:rPr>
                <w:rFonts w:ascii="Calibri" w:hAnsi="Calibri" w:cs="Calibri"/>
                <w:b/>
                <w:color w:val="000000" w:themeColor="dark1"/>
                <w:kern w:val="24"/>
                <w:sz w:val="22"/>
                <w:szCs w:val="22"/>
                <w:lang w:val="es-MX"/>
              </w:rPr>
              <w:t>CAC-006/04/2018:</w:t>
            </w:r>
            <w:r>
              <w:rPr>
                <w:rFonts w:ascii="Calibri" w:hAnsi="Calibri" w:cs="Calibri"/>
                <w:color w:val="000000" w:themeColor="dark1"/>
                <w:kern w:val="24"/>
                <w:sz w:val="22"/>
                <w:szCs w:val="22"/>
                <w:lang w:val="es-MX"/>
              </w:rPr>
              <w:t xml:space="preserve"> </w:t>
            </w:r>
            <w:r w:rsidRPr="00E4072C">
              <w:rPr>
                <w:rFonts w:ascii="Calibri" w:hAnsi="Calibri" w:cs="Calibri"/>
                <w:color w:val="000000" w:themeColor="dark1"/>
                <w:kern w:val="24"/>
                <w:sz w:val="22"/>
                <w:szCs w:val="22"/>
                <w:lang w:val="es-MX"/>
              </w:rPr>
              <w:t xml:space="preserve">El Grupo de Trabajo del Modelo de Procesos llevará a cabo una revisión de la adaptación de la herramienta de autoevaluación del DESAP, realizada por la DGEE, para la viabilidad de aplicación en forma general en todos los programas de información de encuestas que se llevan a cabo en el Instituto. Para tal efecto, el GT reportará los avances durante el primer trimestre de 2019.  </w:t>
            </w:r>
          </w:p>
          <w:p w14:paraId="385B9ACC" w14:textId="77777777" w:rsidR="00E4072C" w:rsidRDefault="00E4072C"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2D4E4F0A" w14:textId="24C0488B" w:rsidR="00E4072C" w:rsidRDefault="00E4072C"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8E50C0">
              <w:rPr>
                <w:rFonts w:ascii="Calibri" w:hAnsi="Calibri" w:cs="Calibri"/>
                <w:b/>
                <w:color w:val="000000" w:themeColor="dark1"/>
                <w:kern w:val="24"/>
                <w:sz w:val="22"/>
                <w:szCs w:val="22"/>
                <w:lang w:val="es-MX"/>
              </w:rPr>
              <w:t>CAC-007/04/2018:</w:t>
            </w:r>
            <w:r>
              <w:rPr>
                <w:rFonts w:ascii="Calibri" w:hAnsi="Calibri" w:cs="Calibri"/>
                <w:color w:val="000000" w:themeColor="dark1"/>
                <w:kern w:val="24"/>
                <w:sz w:val="22"/>
                <w:szCs w:val="22"/>
                <w:lang w:val="es-MX"/>
              </w:rPr>
              <w:t xml:space="preserve"> </w:t>
            </w:r>
            <w:r w:rsidRPr="00E4072C">
              <w:rPr>
                <w:rFonts w:ascii="Calibri" w:hAnsi="Calibri" w:cs="Calibri"/>
                <w:color w:val="000000" w:themeColor="dark1"/>
                <w:kern w:val="24"/>
                <w:sz w:val="22"/>
                <w:szCs w:val="22"/>
                <w:lang w:val="es-MX"/>
              </w:rPr>
              <w:t xml:space="preserve">El Grupo de Trabajo del Modelo de </w:t>
            </w:r>
            <w:proofErr w:type="gramStart"/>
            <w:r w:rsidRPr="00E4072C">
              <w:rPr>
                <w:rFonts w:ascii="Calibri" w:hAnsi="Calibri" w:cs="Calibri"/>
                <w:color w:val="000000" w:themeColor="dark1"/>
                <w:kern w:val="24"/>
                <w:sz w:val="22"/>
                <w:szCs w:val="22"/>
                <w:lang w:val="es-MX"/>
              </w:rPr>
              <w:t>Procesos  continuará</w:t>
            </w:r>
            <w:proofErr w:type="gramEnd"/>
            <w:r w:rsidRPr="00E4072C">
              <w:rPr>
                <w:rFonts w:ascii="Calibri" w:hAnsi="Calibri" w:cs="Calibri"/>
                <w:color w:val="000000" w:themeColor="dark1"/>
                <w:kern w:val="24"/>
                <w:sz w:val="22"/>
                <w:szCs w:val="22"/>
                <w:lang w:val="es-MX"/>
              </w:rPr>
              <w:t xml:space="preserve"> sesionando por el tiempo que resulte necesario, para desarrollar las plantillas y documentos de soporte del MPEG, se acordará que el referido Grupo de Trabajo reporte en las próximas sesiones del CAC los avances en la materia.</w:t>
            </w:r>
          </w:p>
          <w:p w14:paraId="7FABC5B3" w14:textId="7BCC4F9F" w:rsidR="002A453E" w:rsidRDefault="002A453E"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p w14:paraId="681780AB" w14:textId="5CD16BDA" w:rsidR="002A453E" w:rsidRDefault="002A453E"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sidRPr="00F66AED">
              <w:rPr>
                <w:rFonts w:ascii="Calibri" w:hAnsi="Calibri" w:cs="Calibri"/>
                <w:b/>
                <w:bCs/>
                <w:color w:val="000000" w:themeColor="dark1"/>
                <w:kern w:val="24"/>
                <w:sz w:val="22"/>
                <w:szCs w:val="22"/>
                <w:lang w:val="es-MX"/>
              </w:rPr>
              <w:t xml:space="preserve">CAC-008/04/2019: </w:t>
            </w:r>
            <w:r w:rsidR="00F66AED" w:rsidRPr="00F66AED">
              <w:rPr>
                <w:rFonts w:ascii="Calibri" w:hAnsi="Calibri" w:cs="Calibri"/>
                <w:color w:val="000000" w:themeColor="dark1"/>
                <w:kern w:val="24"/>
                <w:sz w:val="22"/>
                <w:szCs w:val="22"/>
                <w:lang w:val="es-MX"/>
              </w:rPr>
              <w:t xml:space="preserve">La Coordinación de Asesores del </w:t>
            </w:r>
            <w:proofErr w:type="gramStart"/>
            <w:r w:rsidR="00F66AED" w:rsidRPr="00F66AED">
              <w:rPr>
                <w:rFonts w:ascii="Calibri" w:hAnsi="Calibri" w:cs="Calibri"/>
                <w:color w:val="000000" w:themeColor="dark1"/>
                <w:kern w:val="24"/>
                <w:sz w:val="22"/>
                <w:szCs w:val="22"/>
                <w:lang w:val="es-MX"/>
              </w:rPr>
              <w:t>Presidente</w:t>
            </w:r>
            <w:proofErr w:type="gramEnd"/>
            <w:r w:rsidR="00F66AED" w:rsidRPr="00F66AED">
              <w:rPr>
                <w:rFonts w:ascii="Calibri" w:hAnsi="Calibri" w:cs="Calibri"/>
                <w:color w:val="000000" w:themeColor="dark1"/>
                <w:kern w:val="24"/>
                <w:sz w:val="22"/>
                <w:szCs w:val="22"/>
                <w:lang w:val="es-MX"/>
              </w:rPr>
              <w:t xml:space="preserve"> del Instituto programará las capacitaciones del Sistema.</w:t>
            </w:r>
          </w:p>
          <w:p w14:paraId="303AFEB0" w14:textId="5ACB4D32" w:rsidR="003731BA" w:rsidRPr="00221B78" w:rsidRDefault="003731BA"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p>
        </w:tc>
      </w:tr>
      <w:tr w:rsidR="00742016" w:rsidRPr="007521FA" w14:paraId="1635E22D" w14:textId="77777777" w:rsidTr="000426C0">
        <w:tc>
          <w:tcPr>
            <w:tcW w:w="1474"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351190FF" w14:textId="77777777" w:rsidR="00742016" w:rsidRPr="00221B78" w:rsidRDefault="00742016"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lastRenderedPageBreak/>
              <w:t>Documentos de interés:</w:t>
            </w:r>
          </w:p>
        </w:tc>
        <w:tc>
          <w:tcPr>
            <w:tcW w:w="9158"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7DF45CA7" w14:textId="77777777" w:rsidR="00735AC8" w:rsidRPr="00735AC8" w:rsidRDefault="00735AC8" w:rsidP="00735AC8">
            <w:pPr>
              <w:pStyle w:val="Default"/>
              <w:numPr>
                <w:ilvl w:val="0"/>
                <w:numId w:val="5"/>
              </w:numPr>
              <w:ind w:left="324" w:hanging="324"/>
              <w:rPr>
                <w:rFonts w:ascii="Calibri" w:eastAsia="Calibri" w:hAnsi="Calibri"/>
                <w:color w:val="000000" w:themeColor="dark1"/>
                <w:kern w:val="24"/>
                <w:sz w:val="22"/>
                <w:szCs w:val="22"/>
              </w:rPr>
            </w:pPr>
            <w:r>
              <w:rPr>
                <w:rFonts w:ascii="Calibri" w:eastAsia="Calibri" w:hAnsi="Calibri"/>
                <w:color w:val="000000" w:themeColor="dark1"/>
                <w:kern w:val="24"/>
                <w:sz w:val="22"/>
                <w:szCs w:val="22"/>
              </w:rPr>
              <w:t xml:space="preserve">UNECE, </w:t>
            </w:r>
            <w:r w:rsidRPr="00735AC8">
              <w:rPr>
                <w:rFonts w:ascii="Calibri" w:eastAsia="Calibri" w:hAnsi="Calibri"/>
                <w:color w:val="000000" w:themeColor="dark1"/>
                <w:kern w:val="24"/>
                <w:sz w:val="22"/>
                <w:szCs w:val="22"/>
              </w:rPr>
              <w:t>Generic Statistical Business Process Model (GSBPM), version 5.1, January 2019</w:t>
            </w:r>
          </w:p>
          <w:p w14:paraId="22936097" w14:textId="77777777" w:rsidR="00735AC8" w:rsidRPr="0094289F" w:rsidRDefault="00EC2DD4" w:rsidP="00EC2DD4">
            <w:pPr>
              <w:pStyle w:val="Default"/>
              <w:numPr>
                <w:ilvl w:val="0"/>
                <w:numId w:val="5"/>
              </w:numPr>
              <w:ind w:left="324" w:hanging="324"/>
              <w:rPr>
                <w:rFonts w:ascii="Calibri" w:eastAsia="Calibri" w:hAnsi="Calibri"/>
                <w:color w:val="000000" w:themeColor="dark1"/>
                <w:kern w:val="24"/>
                <w:sz w:val="22"/>
                <w:szCs w:val="22"/>
                <w:lang w:val="es-MX"/>
              </w:rPr>
            </w:pPr>
            <w:r w:rsidRPr="0094289F">
              <w:rPr>
                <w:rFonts w:ascii="Calibri" w:eastAsia="Calibri" w:hAnsi="Calibri"/>
                <w:color w:val="000000" w:themeColor="dark1"/>
                <w:kern w:val="24"/>
                <w:sz w:val="22"/>
                <w:szCs w:val="22"/>
                <w:lang w:val="es-MX"/>
              </w:rPr>
              <w:t xml:space="preserve">INEGI, Modelo genérico del proceso estadístico, Versión 1.0 en español, </w:t>
            </w:r>
            <w:proofErr w:type="gramStart"/>
            <w:r w:rsidRPr="0094289F">
              <w:rPr>
                <w:rFonts w:ascii="Calibri" w:eastAsia="Calibri" w:hAnsi="Calibri"/>
                <w:color w:val="000000" w:themeColor="dark1"/>
                <w:kern w:val="24"/>
                <w:sz w:val="22"/>
                <w:szCs w:val="22"/>
                <w:lang w:val="es-MX"/>
              </w:rPr>
              <w:t>Septiembre</w:t>
            </w:r>
            <w:proofErr w:type="gramEnd"/>
            <w:r w:rsidRPr="0094289F">
              <w:rPr>
                <w:rFonts w:ascii="Calibri" w:eastAsia="Calibri" w:hAnsi="Calibri"/>
                <w:color w:val="000000" w:themeColor="dark1"/>
                <w:kern w:val="24"/>
                <w:sz w:val="22"/>
                <w:szCs w:val="22"/>
                <w:lang w:val="es-MX"/>
              </w:rPr>
              <w:t xml:space="preserve"> 2016 </w:t>
            </w:r>
          </w:p>
          <w:p w14:paraId="0AED4651" w14:textId="77777777" w:rsidR="001463B3" w:rsidRDefault="00735AC8" w:rsidP="00735AC8">
            <w:pPr>
              <w:pStyle w:val="Default"/>
              <w:numPr>
                <w:ilvl w:val="0"/>
                <w:numId w:val="5"/>
              </w:numPr>
              <w:ind w:left="324" w:hanging="324"/>
              <w:rPr>
                <w:rFonts w:ascii="Calibri" w:eastAsia="Calibri" w:hAnsi="Calibri"/>
                <w:color w:val="000000" w:themeColor="dark1"/>
                <w:kern w:val="24"/>
                <w:sz w:val="22"/>
                <w:szCs w:val="22"/>
                <w:lang w:val="es-MX"/>
              </w:rPr>
            </w:pPr>
            <w:r w:rsidRPr="00735AC8">
              <w:rPr>
                <w:rFonts w:ascii="Calibri" w:eastAsia="Calibri" w:hAnsi="Calibri"/>
                <w:color w:val="000000" w:themeColor="dark1"/>
                <w:kern w:val="24"/>
                <w:sz w:val="22"/>
                <w:szCs w:val="22"/>
                <w:lang w:val="es-MX"/>
              </w:rPr>
              <w:t>Norma Técnica del Proceso de Producción de Información Estad</w:t>
            </w:r>
            <w:r>
              <w:rPr>
                <w:rFonts w:ascii="Calibri" w:eastAsia="Calibri" w:hAnsi="Calibri"/>
                <w:color w:val="000000" w:themeColor="dark1"/>
                <w:kern w:val="24"/>
                <w:sz w:val="22"/>
                <w:szCs w:val="22"/>
                <w:lang w:val="es-MX"/>
              </w:rPr>
              <w:t xml:space="preserve">ística y Geográfica para el INEGI </w:t>
            </w:r>
          </w:p>
          <w:p w14:paraId="4BAF5383" w14:textId="77777777" w:rsidR="00D04B98" w:rsidRPr="00D04B98" w:rsidRDefault="00D04B98" w:rsidP="00D04B98">
            <w:pPr>
              <w:pStyle w:val="Default"/>
              <w:numPr>
                <w:ilvl w:val="0"/>
                <w:numId w:val="5"/>
              </w:numPr>
              <w:ind w:left="324" w:hanging="324"/>
              <w:rPr>
                <w:rFonts w:ascii="Calibri" w:eastAsia="Calibri" w:hAnsi="Calibri"/>
                <w:color w:val="000000" w:themeColor="dark1"/>
                <w:kern w:val="24"/>
                <w:sz w:val="22"/>
                <w:szCs w:val="22"/>
                <w:lang w:val="es-MX"/>
              </w:rPr>
            </w:pPr>
            <w:r w:rsidRPr="00D04B98">
              <w:rPr>
                <w:rFonts w:ascii="Calibri" w:eastAsia="Calibri" w:hAnsi="Calibri"/>
                <w:color w:val="000000" w:themeColor="dark1"/>
                <w:kern w:val="24"/>
                <w:sz w:val="22"/>
                <w:szCs w:val="22"/>
              </w:rPr>
              <w:t xml:space="preserve">United Nations Economic Commission for Europe (UNECE). </w:t>
            </w:r>
            <w:r w:rsidRPr="00D04B98">
              <w:rPr>
                <w:rFonts w:ascii="Calibri" w:eastAsia="Calibri" w:hAnsi="Calibri"/>
                <w:color w:val="000000" w:themeColor="dark1"/>
                <w:kern w:val="24"/>
                <w:sz w:val="22"/>
                <w:szCs w:val="22"/>
                <w:lang w:val="es-MX"/>
              </w:rPr>
              <w:t xml:space="preserve">Modelo genérico del proceso estadístico </w:t>
            </w:r>
            <w:proofErr w:type="gramStart"/>
            <w:r w:rsidRPr="00D04B98">
              <w:rPr>
                <w:rFonts w:ascii="Calibri" w:eastAsia="Calibri" w:hAnsi="Calibri"/>
                <w:color w:val="000000" w:themeColor="dark1"/>
                <w:kern w:val="24"/>
                <w:sz w:val="22"/>
                <w:szCs w:val="22"/>
                <w:lang w:val="es-MX"/>
              </w:rPr>
              <w:t>GSBPM  (</w:t>
            </w:r>
            <w:proofErr w:type="gramEnd"/>
            <w:r w:rsidRPr="00D04B98">
              <w:rPr>
                <w:rFonts w:ascii="Calibri" w:eastAsia="Calibri" w:hAnsi="Calibri"/>
                <w:color w:val="000000" w:themeColor="dark1"/>
                <w:kern w:val="24"/>
                <w:sz w:val="22"/>
                <w:szCs w:val="22"/>
                <w:lang w:val="es-MX"/>
              </w:rPr>
              <w:t>Versión 1.0 en español, Septiembre 2016)</w:t>
            </w:r>
          </w:p>
          <w:p w14:paraId="2023AA60" w14:textId="77777777" w:rsidR="00D04B98" w:rsidRPr="003731BA" w:rsidRDefault="00D04B98" w:rsidP="00D04B98">
            <w:pPr>
              <w:pStyle w:val="Default"/>
              <w:numPr>
                <w:ilvl w:val="0"/>
                <w:numId w:val="5"/>
              </w:numPr>
              <w:ind w:left="324" w:hanging="324"/>
              <w:rPr>
                <w:rFonts w:ascii="Calibri" w:eastAsia="Calibri" w:hAnsi="Calibri"/>
                <w:color w:val="000000" w:themeColor="dark1"/>
                <w:kern w:val="24"/>
                <w:sz w:val="22"/>
                <w:szCs w:val="22"/>
              </w:rPr>
            </w:pPr>
            <w:r w:rsidRPr="003731BA">
              <w:rPr>
                <w:rFonts w:ascii="Calibri" w:eastAsia="Calibri" w:hAnsi="Calibri"/>
                <w:color w:val="000000" w:themeColor="dark1"/>
                <w:kern w:val="24"/>
                <w:sz w:val="22"/>
                <w:szCs w:val="22"/>
              </w:rPr>
              <w:t xml:space="preserve">United Nations Economic Commission for Europe (UNECE). Mapping the Generic Statistical Process Model (GSBPM) to the Fundamental Principles of Official Statistics (Version 1.0, October 2013) </w:t>
            </w:r>
          </w:p>
          <w:p w14:paraId="134BD9ED" w14:textId="77777777" w:rsidR="00D04B98" w:rsidRPr="003731BA" w:rsidRDefault="00D04B98" w:rsidP="00D04B98">
            <w:pPr>
              <w:pStyle w:val="Default"/>
              <w:numPr>
                <w:ilvl w:val="0"/>
                <w:numId w:val="5"/>
              </w:numPr>
              <w:ind w:left="324" w:hanging="324"/>
              <w:rPr>
                <w:rFonts w:ascii="Calibri" w:eastAsia="Calibri" w:hAnsi="Calibri"/>
                <w:color w:val="000000" w:themeColor="dark1"/>
                <w:kern w:val="24"/>
                <w:sz w:val="22"/>
                <w:szCs w:val="22"/>
              </w:rPr>
            </w:pPr>
            <w:r w:rsidRPr="003731BA">
              <w:rPr>
                <w:rFonts w:ascii="Calibri" w:eastAsia="Calibri" w:hAnsi="Calibri"/>
                <w:color w:val="000000" w:themeColor="dark1"/>
                <w:kern w:val="24"/>
                <w:sz w:val="22"/>
                <w:szCs w:val="22"/>
              </w:rPr>
              <w:t xml:space="preserve">Business Process Management Forum.  Pocket Guide, Business Process Management </w:t>
            </w:r>
          </w:p>
          <w:p w14:paraId="5FF423A6" w14:textId="77777777" w:rsidR="00D04B98" w:rsidRPr="003731BA" w:rsidRDefault="00D04B98" w:rsidP="00D04B98">
            <w:pPr>
              <w:pStyle w:val="Default"/>
              <w:numPr>
                <w:ilvl w:val="0"/>
                <w:numId w:val="5"/>
              </w:numPr>
              <w:ind w:left="324" w:hanging="324"/>
              <w:rPr>
                <w:rFonts w:ascii="Calibri" w:eastAsia="Calibri" w:hAnsi="Calibri"/>
                <w:color w:val="000000" w:themeColor="dark1"/>
                <w:kern w:val="24"/>
                <w:sz w:val="22"/>
                <w:szCs w:val="22"/>
              </w:rPr>
            </w:pPr>
            <w:r w:rsidRPr="003731BA">
              <w:rPr>
                <w:rFonts w:ascii="Calibri" w:eastAsia="Calibri" w:hAnsi="Calibri"/>
                <w:color w:val="000000" w:themeColor="dark1"/>
                <w:kern w:val="24"/>
                <w:sz w:val="22"/>
                <w:szCs w:val="22"/>
              </w:rPr>
              <w:t>United Nations Economic Commission for Europe (UNECE). Quality Indicators for the Generic Statistical Business Process Model (GSBPM) - For Statistics derived from Surveys (Version 1.0, May 2016)</w:t>
            </w:r>
          </w:p>
          <w:p w14:paraId="657A0C47" w14:textId="733C02F5" w:rsidR="00D04B98" w:rsidRPr="00DF06CF" w:rsidRDefault="00D04B98" w:rsidP="00DF06CF">
            <w:pPr>
              <w:pStyle w:val="Default"/>
              <w:numPr>
                <w:ilvl w:val="0"/>
                <w:numId w:val="5"/>
              </w:numPr>
              <w:ind w:left="324" w:hanging="324"/>
              <w:rPr>
                <w:rFonts w:ascii="Calibri" w:eastAsia="Calibri" w:hAnsi="Calibri"/>
                <w:color w:val="000000" w:themeColor="dark1"/>
                <w:kern w:val="24"/>
                <w:sz w:val="22"/>
                <w:szCs w:val="22"/>
              </w:rPr>
            </w:pPr>
            <w:r w:rsidRPr="00D04B98">
              <w:rPr>
                <w:rFonts w:ascii="Calibri" w:eastAsia="Calibri" w:hAnsi="Calibri"/>
                <w:color w:val="000000" w:themeColor="dark1"/>
                <w:kern w:val="24"/>
                <w:sz w:val="22"/>
                <w:szCs w:val="22"/>
              </w:rPr>
              <w:t xml:space="preserve">United Nations Economic Commission for Europe (UNECE). Survey Results on the Use of </w:t>
            </w:r>
            <w:proofErr w:type="spellStart"/>
            <w:r w:rsidRPr="00D04B98">
              <w:rPr>
                <w:rFonts w:ascii="Calibri" w:eastAsia="Calibri" w:hAnsi="Calibri"/>
                <w:color w:val="000000" w:themeColor="dark1"/>
                <w:kern w:val="24"/>
                <w:sz w:val="22"/>
                <w:szCs w:val="22"/>
              </w:rPr>
              <w:t>Modernstats</w:t>
            </w:r>
            <w:proofErr w:type="spellEnd"/>
            <w:r w:rsidRPr="00D04B98">
              <w:rPr>
                <w:rFonts w:ascii="Calibri" w:eastAsia="Calibri" w:hAnsi="Calibri"/>
                <w:color w:val="000000" w:themeColor="dark1"/>
                <w:kern w:val="24"/>
                <w:sz w:val="22"/>
                <w:szCs w:val="22"/>
              </w:rPr>
              <w:t xml:space="preserve"> Models (2018)</w:t>
            </w:r>
          </w:p>
        </w:tc>
      </w:tr>
      <w:tr w:rsidR="00DF06CF" w:rsidRPr="00D04B98" w14:paraId="0155F233" w14:textId="77777777" w:rsidTr="000426C0">
        <w:tc>
          <w:tcPr>
            <w:tcW w:w="1474"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2DB8CF54" w14:textId="5EFA1C0A" w:rsidR="00DF06CF" w:rsidRDefault="00DF06CF" w:rsidP="00B65CC7">
            <w:pPr>
              <w:pStyle w:val="NormalWeb"/>
              <w:spacing w:before="0" w:beforeAutospacing="0" w:after="0" w:afterAutospacing="0" w:line="256" w:lineRule="auto"/>
              <w:rPr>
                <w:rFonts w:ascii="Calibri" w:hAnsi="Calibri" w:cs="Calibri"/>
                <w:color w:val="000000" w:themeColor="dark1"/>
                <w:kern w:val="24"/>
                <w:sz w:val="22"/>
                <w:szCs w:val="22"/>
                <w:lang w:val="es-MX"/>
              </w:rPr>
            </w:pPr>
            <w:r>
              <w:rPr>
                <w:rFonts w:ascii="Calibri" w:hAnsi="Calibri" w:cs="Calibri"/>
                <w:color w:val="000000" w:themeColor="dark1"/>
                <w:kern w:val="24"/>
                <w:sz w:val="22"/>
                <w:szCs w:val="22"/>
                <w:lang w:val="es-MX"/>
              </w:rPr>
              <w:t>Resultados del grupo</w:t>
            </w:r>
          </w:p>
        </w:tc>
        <w:tc>
          <w:tcPr>
            <w:tcW w:w="9158" w:type="dxa"/>
            <w:gridSpan w:val="2"/>
            <w:tcBorders>
              <w:top w:val="single" w:sz="4" w:space="0" w:color="808080" w:themeColor="background1" w:themeShade="80"/>
              <w:bottom w:val="single" w:sz="4" w:space="0" w:color="808080" w:themeColor="background1" w:themeShade="80"/>
            </w:tcBorders>
            <w:shd w:val="clear" w:color="auto" w:fill="F2F2F2" w:themeFill="background1" w:themeFillShade="F2"/>
            <w:vAlign w:val="center"/>
          </w:tcPr>
          <w:p w14:paraId="421E2A83" w14:textId="77777777" w:rsidR="00DF06CF" w:rsidRPr="00D04B98" w:rsidRDefault="00DF06CF" w:rsidP="00DF06CF">
            <w:pPr>
              <w:pStyle w:val="Default"/>
              <w:numPr>
                <w:ilvl w:val="0"/>
                <w:numId w:val="5"/>
              </w:numPr>
              <w:ind w:left="324" w:hanging="324"/>
              <w:rPr>
                <w:rFonts w:ascii="Calibri" w:eastAsia="Calibri" w:hAnsi="Calibri"/>
                <w:color w:val="000000" w:themeColor="dark1"/>
                <w:kern w:val="24"/>
                <w:sz w:val="22"/>
                <w:szCs w:val="22"/>
                <w:lang w:val="es-MX"/>
              </w:rPr>
            </w:pPr>
            <w:r w:rsidRPr="00D04B98">
              <w:rPr>
                <w:rFonts w:ascii="Calibri" w:eastAsia="Calibri" w:hAnsi="Calibri"/>
                <w:color w:val="000000" w:themeColor="dark1"/>
                <w:kern w:val="24"/>
                <w:sz w:val="22"/>
                <w:szCs w:val="22"/>
                <w:lang w:val="es-MX"/>
              </w:rPr>
              <w:t xml:space="preserve">INEGI. Coordinación de Asesores. Presentación utilizada en </w:t>
            </w:r>
            <w:proofErr w:type="gramStart"/>
            <w:r w:rsidRPr="00D04B98">
              <w:rPr>
                <w:rFonts w:ascii="Calibri" w:eastAsia="Calibri" w:hAnsi="Calibri"/>
                <w:color w:val="000000" w:themeColor="dark1"/>
                <w:kern w:val="24"/>
                <w:sz w:val="22"/>
                <w:szCs w:val="22"/>
                <w:lang w:val="es-MX"/>
              </w:rPr>
              <w:t>la pláticas</w:t>
            </w:r>
            <w:proofErr w:type="gramEnd"/>
            <w:r w:rsidRPr="00D04B98">
              <w:rPr>
                <w:rFonts w:ascii="Calibri" w:eastAsia="Calibri" w:hAnsi="Calibri"/>
                <w:color w:val="000000" w:themeColor="dark1"/>
                <w:kern w:val="24"/>
                <w:sz w:val="22"/>
                <w:szCs w:val="22"/>
                <w:lang w:val="es-MX"/>
              </w:rPr>
              <w:t xml:space="preserve"> para promover el Modelo del Proceso Estadístico y Geográfico (2018).</w:t>
            </w:r>
          </w:p>
          <w:p w14:paraId="1A51AF1F" w14:textId="77777777" w:rsidR="00DF06CF" w:rsidRPr="00D04B98" w:rsidRDefault="00DF06CF" w:rsidP="00DF06CF">
            <w:pPr>
              <w:pStyle w:val="Default"/>
              <w:numPr>
                <w:ilvl w:val="0"/>
                <w:numId w:val="5"/>
              </w:numPr>
              <w:ind w:left="324" w:hanging="324"/>
              <w:rPr>
                <w:rFonts w:ascii="Calibri" w:eastAsia="Calibri" w:hAnsi="Calibri"/>
                <w:color w:val="000000" w:themeColor="dark1"/>
                <w:kern w:val="24"/>
                <w:sz w:val="22"/>
                <w:szCs w:val="22"/>
                <w:lang w:val="es-MX"/>
              </w:rPr>
            </w:pPr>
            <w:r w:rsidRPr="00D04B98">
              <w:rPr>
                <w:rFonts w:ascii="Calibri" w:eastAsia="Calibri" w:hAnsi="Calibri"/>
                <w:color w:val="000000" w:themeColor="dark1"/>
                <w:kern w:val="24"/>
                <w:sz w:val="22"/>
                <w:szCs w:val="22"/>
                <w:lang w:val="es-MX"/>
              </w:rPr>
              <w:t xml:space="preserve">INEGI. Comité de Aseguramiento de la Calidad. Norma Técnica del Proceso de Producción de Información Estadística y Geográfica para el Instituto Nacional de Estadística y Geografía (Entrada en vigor </w:t>
            </w:r>
            <w:proofErr w:type="gramStart"/>
            <w:r w:rsidRPr="00D04B98">
              <w:rPr>
                <w:rFonts w:ascii="Calibri" w:eastAsia="Calibri" w:hAnsi="Calibri"/>
                <w:color w:val="000000" w:themeColor="dark1"/>
                <w:kern w:val="24"/>
                <w:sz w:val="22"/>
                <w:szCs w:val="22"/>
                <w:lang w:val="es-MX"/>
              </w:rPr>
              <w:t>Agosto</w:t>
            </w:r>
            <w:proofErr w:type="gramEnd"/>
            <w:r w:rsidRPr="00D04B98">
              <w:rPr>
                <w:rFonts w:ascii="Calibri" w:eastAsia="Calibri" w:hAnsi="Calibri"/>
                <w:color w:val="000000" w:themeColor="dark1"/>
                <w:kern w:val="24"/>
                <w:sz w:val="22"/>
                <w:szCs w:val="22"/>
                <w:lang w:val="es-MX"/>
              </w:rPr>
              <w:t xml:space="preserve"> de 2018, última actualización mayo de 2019).</w:t>
            </w:r>
          </w:p>
          <w:p w14:paraId="4AB7EF55" w14:textId="77777777" w:rsidR="00DF06CF" w:rsidRPr="00D04B98" w:rsidRDefault="00DF06CF" w:rsidP="00DF06CF">
            <w:pPr>
              <w:pStyle w:val="Default"/>
              <w:numPr>
                <w:ilvl w:val="0"/>
                <w:numId w:val="5"/>
              </w:numPr>
              <w:ind w:left="324" w:hanging="324"/>
              <w:rPr>
                <w:rFonts w:ascii="Calibri" w:eastAsia="Calibri" w:hAnsi="Calibri"/>
                <w:color w:val="000000" w:themeColor="dark1"/>
                <w:kern w:val="24"/>
                <w:sz w:val="22"/>
                <w:szCs w:val="22"/>
                <w:lang w:val="es-MX"/>
              </w:rPr>
            </w:pPr>
            <w:r w:rsidRPr="00D04B98">
              <w:rPr>
                <w:rFonts w:ascii="Calibri" w:eastAsia="Calibri" w:hAnsi="Calibri"/>
                <w:color w:val="000000" w:themeColor="dark1"/>
                <w:kern w:val="24"/>
                <w:sz w:val="22"/>
                <w:szCs w:val="22"/>
                <w:lang w:val="es-MX"/>
              </w:rPr>
              <w:t>INEGI. Comité de Aseguramiento de la Calidad, Grupo de Trabajo del Modelo General de Procesos El Modelo del Proceso Estadístico y Geográfico (MPEG) como guía para la estandarización e incorporación de buenas prácticas. (2017)</w:t>
            </w:r>
          </w:p>
          <w:p w14:paraId="25F69F9C" w14:textId="0D657D21" w:rsidR="00DF06CF" w:rsidRPr="00DF06CF" w:rsidRDefault="00DF06CF" w:rsidP="00DF06CF">
            <w:pPr>
              <w:pStyle w:val="Default"/>
              <w:numPr>
                <w:ilvl w:val="0"/>
                <w:numId w:val="5"/>
              </w:numPr>
              <w:ind w:left="324" w:hanging="324"/>
              <w:rPr>
                <w:rFonts w:ascii="Calibri" w:eastAsia="Calibri" w:hAnsi="Calibri"/>
                <w:color w:val="000000" w:themeColor="dark1"/>
                <w:kern w:val="24"/>
                <w:sz w:val="22"/>
                <w:szCs w:val="22"/>
                <w:lang w:val="es-MX"/>
              </w:rPr>
            </w:pPr>
            <w:r w:rsidRPr="00D04B98">
              <w:rPr>
                <w:rFonts w:ascii="Calibri" w:eastAsia="Calibri" w:hAnsi="Calibri"/>
                <w:color w:val="000000" w:themeColor="dark1"/>
                <w:kern w:val="24"/>
                <w:sz w:val="22"/>
                <w:szCs w:val="22"/>
                <w:lang w:val="es-MX"/>
              </w:rPr>
              <w:t>INEGI. Coordinación de Asesores. Resultados de la Prueba de Concepto de las Evidencias en la Norma del MPEG. (2ª Sesión del Comité de Aseguramiento de la Calidad, 12 de junio de 2018)</w:t>
            </w:r>
          </w:p>
        </w:tc>
      </w:tr>
    </w:tbl>
    <w:p w14:paraId="2C329EC8" w14:textId="77777777" w:rsidR="00742016" w:rsidRPr="003731BA" w:rsidRDefault="00742016" w:rsidP="00190BBD">
      <w:pPr>
        <w:spacing w:after="0"/>
      </w:pPr>
      <w:bookmarkStart w:id="0" w:name="_GoBack"/>
      <w:bookmarkEnd w:id="0"/>
    </w:p>
    <w:sectPr w:rsidR="00742016" w:rsidRPr="003731BA">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051A1"/>
    <w:multiLevelType w:val="hybridMultilevel"/>
    <w:tmpl w:val="A0FED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1426B6"/>
    <w:multiLevelType w:val="hybridMultilevel"/>
    <w:tmpl w:val="AECC476E"/>
    <w:lvl w:ilvl="0" w:tplc="BB94AD44">
      <w:start w:val="1"/>
      <w:numFmt w:val="bullet"/>
      <w:lvlText w:val="•"/>
      <w:lvlJc w:val="left"/>
      <w:pPr>
        <w:tabs>
          <w:tab w:val="num" w:pos="720"/>
        </w:tabs>
        <w:ind w:left="720" w:hanging="360"/>
      </w:pPr>
      <w:rPr>
        <w:rFonts w:ascii="Arial" w:hAnsi="Arial" w:hint="default"/>
      </w:rPr>
    </w:lvl>
    <w:lvl w:ilvl="1" w:tplc="7C646568" w:tentative="1">
      <w:start w:val="1"/>
      <w:numFmt w:val="bullet"/>
      <w:lvlText w:val="•"/>
      <w:lvlJc w:val="left"/>
      <w:pPr>
        <w:tabs>
          <w:tab w:val="num" w:pos="1440"/>
        </w:tabs>
        <w:ind w:left="1440" w:hanging="360"/>
      </w:pPr>
      <w:rPr>
        <w:rFonts w:ascii="Arial" w:hAnsi="Arial" w:hint="default"/>
      </w:rPr>
    </w:lvl>
    <w:lvl w:ilvl="2" w:tplc="CAEC5EAE" w:tentative="1">
      <w:start w:val="1"/>
      <w:numFmt w:val="bullet"/>
      <w:lvlText w:val="•"/>
      <w:lvlJc w:val="left"/>
      <w:pPr>
        <w:tabs>
          <w:tab w:val="num" w:pos="2160"/>
        </w:tabs>
        <w:ind w:left="2160" w:hanging="360"/>
      </w:pPr>
      <w:rPr>
        <w:rFonts w:ascii="Arial" w:hAnsi="Arial" w:hint="default"/>
      </w:rPr>
    </w:lvl>
    <w:lvl w:ilvl="3" w:tplc="8EEC8D26" w:tentative="1">
      <w:start w:val="1"/>
      <w:numFmt w:val="bullet"/>
      <w:lvlText w:val="•"/>
      <w:lvlJc w:val="left"/>
      <w:pPr>
        <w:tabs>
          <w:tab w:val="num" w:pos="2880"/>
        </w:tabs>
        <w:ind w:left="2880" w:hanging="360"/>
      </w:pPr>
      <w:rPr>
        <w:rFonts w:ascii="Arial" w:hAnsi="Arial" w:hint="default"/>
      </w:rPr>
    </w:lvl>
    <w:lvl w:ilvl="4" w:tplc="6428E854" w:tentative="1">
      <w:start w:val="1"/>
      <w:numFmt w:val="bullet"/>
      <w:lvlText w:val="•"/>
      <w:lvlJc w:val="left"/>
      <w:pPr>
        <w:tabs>
          <w:tab w:val="num" w:pos="3600"/>
        </w:tabs>
        <w:ind w:left="3600" w:hanging="360"/>
      </w:pPr>
      <w:rPr>
        <w:rFonts w:ascii="Arial" w:hAnsi="Arial" w:hint="default"/>
      </w:rPr>
    </w:lvl>
    <w:lvl w:ilvl="5" w:tplc="985EB898" w:tentative="1">
      <w:start w:val="1"/>
      <w:numFmt w:val="bullet"/>
      <w:lvlText w:val="•"/>
      <w:lvlJc w:val="left"/>
      <w:pPr>
        <w:tabs>
          <w:tab w:val="num" w:pos="4320"/>
        </w:tabs>
        <w:ind w:left="4320" w:hanging="360"/>
      </w:pPr>
      <w:rPr>
        <w:rFonts w:ascii="Arial" w:hAnsi="Arial" w:hint="default"/>
      </w:rPr>
    </w:lvl>
    <w:lvl w:ilvl="6" w:tplc="52005784" w:tentative="1">
      <w:start w:val="1"/>
      <w:numFmt w:val="bullet"/>
      <w:lvlText w:val="•"/>
      <w:lvlJc w:val="left"/>
      <w:pPr>
        <w:tabs>
          <w:tab w:val="num" w:pos="5040"/>
        </w:tabs>
        <w:ind w:left="5040" w:hanging="360"/>
      </w:pPr>
      <w:rPr>
        <w:rFonts w:ascii="Arial" w:hAnsi="Arial" w:hint="default"/>
      </w:rPr>
    </w:lvl>
    <w:lvl w:ilvl="7" w:tplc="C802A904" w:tentative="1">
      <w:start w:val="1"/>
      <w:numFmt w:val="bullet"/>
      <w:lvlText w:val="•"/>
      <w:lvlJc w:val="left"/>
      <w:pPr>
        <w:tabs>
          <w:tab w:val="num" w:pos="5760"/>
        </w:tabs>
        <w:ind w:left="5760" w:hanging="360"/>
      </w:pPr>
      <w:rPr>
        <w:rFonts w:ascii="Arial" w:hAnsi="Arial" w:hint="default"/>
      </w:rPr>
    </w:lvl>
    <w:lvl w:ilvl="8" w:tplc="A148C194"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108576D2"/>
    <w:multiLevelType w:val="hybridMultilevel"/>
    <w:tmpl w:val="55527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691769"/>
    <w:multiLevelType w:val="hybridMultilevel"/>
    <w:tmpl w:val="8A847EF2"/>
    <w:lvl w:ilvl="0" w:tplc="B2C82C88">
      <w:start w:val="1"/>
      <w:numFmt w:val="bullet"/>
      <w:lvlText w:val="•"/>
      <w:lvlJc w:val="left"/>
      <w:pPr>
        <w:tabs>
          <w:tab w:val="num" w:pos="720"/>
        </w:tabs>
        <w:ind w:left="720" w:hanging="360"/>
      </w:pPr>
      <w:rPr>
        <w:rFonts w:ascii="Arial" w:hAnsi="Arial" w:hint="default"/>
      </w:rPr>
    </w:lvl>
    <w:lvl w:ilvl="1" w:tplc="B87C2446" w:tentative="1">
      <w:start w:val="1"/>
      <w:numFmt w:val="bullet"/>
      <w:lvlText w:val="•"/>
      <w:lvlJc w:val="left"/>
      <w:pPr>
        <w:tabs>
          <w:tab w:val="num" w:pos="1440"/>
        </w:tabs>
        <w:ind w:left="1440" w:hanging="360"/>
      </w:pPr>
      <w:rPr>
        <w:rFonts w:ascii="Arial" w:hAnsi="Arial" w:hint="default"/>
      </w:rPr>
    </w:lvl>
    <w:lvl w:ilvl="2" w:tplc="1034E270" w:tentative="1">
      <w:start w:val="1"/>
      <w:numFmt w:val="bullet"/>
      <w:lvlText w:val="•"/>
      <w:lvlJc w:val="left"/>
      <w:pPr>
        <w:tabs>
          <w:tab w:val="num" w:pos="2160"/>
        </w:tabs>
        <w:ind w:left="2160" w:hanging="360"/>
      </w:pPr>
      <w:rPr>
        <w:rFonts w:ascii="Arial" w:hAnsi="Arial" w:hint="default"/>
      </w:rPr>
    </w:lvl>
    <w:lvl w:ilvl="3" w:tplc="70026C9C" w:tentative="1">
      <w:start w:val="1"/>
      <w:numFmt w:val="bullet"/>
      <w:lvlText w:val="•"/>
      <w:lvlJc w:val="left"/>
      <w:pPr>
        <w:tabs>
          <w:tab w:val="num" w:pos="2880"/>
        </w:tabs>
        <w:ind w:left="2880" w:hanging="360"/>
      </w:pPr>
      <w:rPr>
        <w:rFonts w:ascii="Arial" w:hAnsi="Arial" w:hint="default"/>
      </w:rPr>
    </w:lvl>
    <w:lvl w:ilvl="4" w:tplc="2D0231DE" w:tentative="1">
      <w:start w:val="1"/>
      <w:numFmt w:val="bullet"/>
      <w:lvlText w:val="•"/>
      <w:lvlJc w:val="left"/>
      <w:pPr>
        <w:tabs>
          <w:tab w:val="num" w:pos="3600"/>
        </w:tabs>
        <w:ind w:left="3600" w:hanging="360"/>
      </w:pPr>
      <w:rPr>
        <w:rFonts w:ascii="Arial" w:hAnsi="Arial" w:hint="default"/>
      </w:rPr>
    </w:lvl>
    <w:lvl w:ilvl="5" w:tplc="98CA0BF8" w:tentative="1">
      <w:start w:val="1"/>
      <w:numFmt w:val="bullet"/>
      <w:lvlText w:val="•"/>
      <w:lvlJc w:val="left"/>
      <w:pPr>
        <w:tabs>
          <w:tab w:val="num" w:pos="4320"/>
        </w:tabs>
        <w:ind w:left="4320" w:hanging="360"/>
      </w:pPr>
      <w:rPr>
        <w:rFonts w:ascii="Arial" w:hAnsi="Arial" w:hint="default"/>
      </w:rPr>
    </w:lvl>
    <w:lvl w:ilvl="6" w:tplc="72360932" w:tentative="1">
      <w:start w:val="1"/>
      <w:numFmt w:val="bullet"/>
      <w:lvlText w:val="•"/>
      <w:lvlJc w:val="left"/>
      <w:pPr>
        <w:tabs>
          <w:tab w:val="num" w:pos="5040"/>
        </w:tabs>
        <w:ind w:left="5040" w:hanging="360"/>
      </w:pPr>
      <w:rPr>
        <w:rFonts w:ascii="Arial" w:hAnsi="Arial" w:hint="default"/>
      </w:rPr>
    </w:lvl>
    <w:lvl w:ilvl="7" w:tplc="391EB858" w:tentative="1">
      <w:start w:val="1"/>
      <w:numFmt w:val="bullet"/>
      <w:lvlText w:val="•"/>
      <w:lvlJc w:val="left"/>
      <w:pPr>
        <w:tabs>
          <w:tab w:val="num" w:pos="5760"/>
        </w:tabs>
        <w:ind w:left="5760" w:hanging="360"/>
      </w:pPr>
      <w:rPr>
        <w:rFonts w:ascii="Arial" w:hAnsi="Arial" w:hint="default"/>
      </w:rPr>
    </w:lvl>
    <w:lvl w:ilvl="8" w:tplc="977E5826" w:tentative="1">
      <w:start w:val="1"/>
      <w:numFmt w:val="bullet"/>
      <w:lvlText w:val="•"/>
      <w:lvlJc w:val="left"/>
      <w:pPr>
        <w:tabs>
          <w:tab w:val="num" w:pos="6480"/>
        </w:tabs>
        <w:ind w:left="6480" w:hanging="360"/>
      </w:pPr>
      <w:rPr>
        <w:rFonts w:ascii="Arial" w:hAnsi="Arial" w:hint="default"/>
      </w:rPr>
    </w:lvl>
  </w:abstractNum>
  <w:abstractNum w:abstractNumId="4" w15:restartNumberingAfterBreak="0">
    <w:nsid w:val="42404CC0"/>
    <w:multiLevelType w:val="hybridMultilevel"/>
    <w:tmpl w:val="4ADC3B82"/>
    <w:lvl w:ilvl="0" w:tplc="37E820EA">
      <w:start w:val="1"/>
      <w:numFmt w:val="bullet"/>
      <w:lvlText w:val="•"/>
      <w:lvlJc w:val="left"/>
      <w:pPr>
        <w:tabs>
          <w:tab w:val="num" w:pos="720"/>
        </w:tabs>
        <w:ind w:left="720" w:hanging="360"/>
      </w:pPr>
      <w:rPr>
        <w:rFonts w:ascii="Arial" w:hAnsi="Arial" w:hint="default"/>
      </w:rPr>
    </w:lvl>
    <w:lvl w:ilvl="1" w:tplc="39F01284" w:tentative="1">
      <w:start w:val="1"/>
      <w:numFmt w:val="bullet"/>
      <w:lvlText w:val="•"/>
      <w:lvlJc w:val="left"/>
      <w:pPr>
        <w:tabs>
          <w:tab w:val="num" w:pos="1440"/>
        </w:tabs>
        <w:ind w:left="1440" w:hanging="360"/>
      </w:pPr>
      <w:rPr>
        <w:rFonts w:ascii="Arial" w:hAnsi="Arial" w:hint="default"/>
      </w:rPr>
    </w:lvl>
    <w:lvl w:ilvl="2" w:tplc="C38C8132" w:tentative="1">
      <w:start w:val="1"/>
      <w:numFmt w:val="bullet"/>
      <w:lvlText w:val="•"/>
      <w:lvlJc w:val="left"/>
      <w:pPr>
        <w:tabs>
          <w:tab w:val="num" w:pos="2160"/>
        </w:tabs>
        <w:ind w:left="2160" w:hanging="360"/>
      </w:pPr>
      <w:rPr>
        <w:rFonts w:ascii="Arial" w:hAnsi="Arial" w:hint="default"/>
      </w:rPr>
    </w:lvl>
    <w:lvl w:ilvl="3" w:tplc="FF0E7A2E" w:tentative="1">
      <w:start w:val="1"/>
      <w:numFmt w:val="bullet"/>
      <w:lvlText w:val="•"/>
      <w:lvlJc w:val="left"/>
      <w:pPr>
        <w:tabs>
          <w:tab w:val="num" w:pos="2880"/>
        </w:tabs>
        <w:ind w:left="2880" w:hanging="360"/>
      </w:pPr>
      <w:rPr>
        <w:rFonts w:ascii="Arial" w:hAnsi="Arial" w:hint="default"/>
      </w:rPr>
    </w:lvl>
    <w:lvl w:ilvl="4" w:tplc="B13251BE" w:tentative="1">
      <w:start w:val="1"/>
      <w:numFmt w:val="bullet"/>
      <w:lvlText w:val="•"/>
      <w:lvlJc w:val="left"/>
      <w:pPr>
        <w:tabs>
          <w:tab w:val="num" w:pos="3600"/>
        </w:tabs>
        <w:ind w:left="3600" w:hanging="360"/>
      </w:pPr>
      <w:rPr>
        <w:rFonts w:ascii="Arial" w:hAnsi="Arial" w:hint="default"/>
      </w:rPr>
    </w:lvl>
    <w:lvl w:ilvl="5" w:tplc="4F2CD65E" w:tentative="1">
      <w:start w:val="1"/>
      <w:numFmt w:val="bullet"/>
      <w:lvlText w:val="•"/>
      <w:lvlJc w:val="left"/>
      <w:pPr>
        <w:tabs>
          <w:tab w:val="num" w:pos="4320"/>
        </w:tabs>
        <w:ind w:left="4320" w:hanging="360"/>
      </w:pPr>
      <w:rPr>
        <w:rFonts w:ascii="Arial" w:hAnsi="Arial" w:hint="default"/>
      </w:rPr>
    </w:lvl>
    <w:lvl w:ilvl="6" w:tplc="6D48FC9C" w:tentative="1">
      <w:start w:val="1"/>
      <w:numFmt w:val="bullet"/>
      <w:lvlText w:val="•"/>
      <w:lvlJc w:val="left"/>
      <w:pPr>
        <w:tabs>
          <w:tab w:val="num" w:pos="5040"/>
        </w:tabs>
        <w:ind w:left="5040" w:hanging="360"/>
      </w:pPr>
      <w:rPr>
        <w:rFonts w:ascii="Arial" w:hAnsi="Arial" w:hint="default"/>
      </w:rPr>
    </w:lvl>
    <w:lvl w:ilvl="7" w:tplc="A23C4870" w:tentative="1">
      <w:start w:val="1"/>
      <w:numFmt w:val="bullet"/>
      <w:lvlText w:val="•"/>
      <w:lvlJc w:val="left"/>
      <w:pPr>
        <w:tabs>
          <w:tab w:val="num" w:pos="5760"/>
        </w:tabs>
        <w:ind w:left="5760" w:hanging="360"/>
      </w:pPr>
      <w:rPr>
        <w:rFonts w:ascii="Arial" w:hAnsi="Arial" w:hint="default"/>
      </w:rPr>
    </w:lvl>
    <w:lvl w:ilvl="8" w:tplc="64C44FC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6C747AE1"/>
    <w:multiLevelType w:val="hybridMultilevel"/>
    <w:tmpl w:val="9CBC53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DFE4D99"/>
    <w:multiLevelType w:val="hybridMultilevel"/>
    <w:tmpl w:val="C7907044"/>
    <w:lvl w:ilvl="0" w:tplc="709C7FC6">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6"/>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1B78"/>
    <w:rsid w:val="000041B1"/>
    <w:rsid w:val="00004F8D"/>
    <w:rsid w:val="00010646"/>
    <w:rsid w:val="00011C3F"/>
    <w:rsid w:val="00012DA2"/>
    <w:rsid w:val="00031CA6"/>
    <w:rsid w:val="0004083F"/>
    <w:rsid w:val="000413B5"/>
    <w:rsid w:val="000426C0"/>
    <w:rsid w:val="00045555"/>
    <w:rsid w:val="00045F8D"/>
    <w:rsid w:val="00052521"/>
    <w:rsid w:val="00077277"/>
    <w:rsid w:val="000813CD"/>
    <w:rsid w:val="000841FC"/>
    <w:rsid w:val="000B4E0D"/>
    <w:rsid w:val="000C2948"/>
    <w:rsid w:val="000F02AC"/>
    <w:rsid w:val="000F7CC6"/>
    <w:rsid w:val="00101BA0"/>
    <w:rsid w:val="00114277"/>
    <w:rsid w:val="00114687"/>
    <w:rsid w:val="00131DE7"/>
    <w:rsid w:val="00145340"/>
    <w:rsid w:val="001463B3"/>
    <w:rsid w:val="00146D9B"/>
    <w:rsid w:val="0014714F"/>
    <w:rsid w:val="00147FA1"/>
    <w:rsid w:val="00152BD2"/>
    <w:rsid w:val="001537F0"/>
    <w:rsid w:val="00157C47"/>
    <w:rsid w:val="001632E5"/>
    <w:rsid w:val="0016536D"/>
    <w:rsid w:val="00190BBD"/>
    <w:rsid w:val="00191B1E"/>
    <w:rsid w:val="001A2669"/>
    <w:rsid w:val="001A2BC5"/>
    <w:rsid w:val="001A7AC5"/>
    <w:rsid w:val="001B2FA3"/>
    <w:rsid w:val="001B3B92"/>
    <w:rsid w:val="001E551C"/>
    <w:rsid w:val="001E5DF5"/>
    <w:rsid w:val="001F44F1"/>
    <w:rsid w:val="00200D7B"/>
    <w:rsid w:val="00204461"/>
    <w:rsid w:val="002129D2"/>
    <w:rsid w:val="00221B78"/>
    <w:rsid w:val="002329F8"/>
    <w:rsid w:val="00275E5E"/>
    <w:rsid w:val="002965F2"/>
    <w:rsid w:val="002A453E"/>
    <w:rsid w:val="002A7580"/>
    <w:rsid w:val="002B2008"/>
    <w:rsid w:val="002D7300"/>
    <w:rsid w:val="002F5C7B"/>
    <w:rsid w:val="00303E96"/>
    <w:rsid w:val="00313B60"/>
    <w:rsid w:val="00331258"/>
    <w:rsid w:val="003405A0"/>
    <w:rsid w:val="00353173"/>
    <w:rsid w:val="00356B31"/>
    <w:rsid w:val="003634D2"/>
    <w:rsid w:val="003731BA"/>
    <w:rsid w:val="003852BB"/>
    <w:rsid w:val="003926E4"/>
    <w:rsid w:val="00396C0F"/>
    <w:rsid w:val="00397298"/>
    <w:rsid w:val="003A1C46"/>
    <w:rsid w:val="003B3AB7"/>
    <w:rsid w:val="003B63D5"/>
    <w:rsid w:val="003C42D1"/>
    <w:rsid w:val="003D6677"/>
    <w:rsid w:val="003F0863"/>
    <w:rsid w:val="00415064"/>
    <w:rsid w:val="004223D0"/>
    <w:rsid w:val="004350BA"/>
    <w:rsid w:val="00435D4B"/>
    <w:rsid w:val="0044208B"/>
    <w:rsid w:val="004431E2"/>
    <w:rsid w:val="00470579"/>
    <w:rsid w:val="00474DA7"/>
    <w:rsid w:val="00475366"/>
    <w:rsid w:val="00481797"/>
    <w:rsid w:val="00483C5A"/>
    <w:rsid w:val="0049292A"/>
    <w:rsid w:val="004A7A5F"/>
    <w:rsid w:val="004B35CA"/>
    <w:rsid w:val="004B616D"/>
    <w:rsid w:val="004C471E"/>
    <w:rsid w:val="004F3190"/>
    <w:rsid w:val="00516B70"/>
    <w:rsid w:val="00520B00"/>
    <w:rsid w:val="00522BBC"/>
    <w:rsid w:val="00555487"/>
    <w:rsid w:val="0055657F"/>
    <w:rsid w:val="00573097"/>
    <w:rsid w:val="00582246"/>
    <w:rsid w:val="00582807"/>
    <w:rsid w:val="0058304B"/>
    <w:rsid w:val="005838DD"/>
    <w:rsid w:val="00585A46"/>
    <w:rsid w:val="00590F28"/>
    <w:rsid w:val="00594814"/>
    <w:rsid w:val="005D21FE"/>
    <w:rsid w:val="005F4249"/>
    <w:rsid w:val="00650FE6"/>
    <w:rsid w:val="0065325D"/>
    <w:rsid w:val="0065780B"/>
    <w:rsid w:val="00661CBF"/>
    <w:rsid w:val="00664D8C"/>
    <w:rsid w:val="0068150B"/>
    <w:rsid w:val="00690FFB"/>
    <w:rsid w:val="0069320E"/>
    <w:rsid w:val="00697303"/>
    <w:rsid w:val="006B0548"/>
    <w:rsid w:val="006B2857"/>
    <w:rsid w:val="006D08F0"/>
    <w:rsid w:val="006E3A68"/>
    <w:rsid w:val="006F6643"/>
    <w:rsid w:val="007057F9"/>
    <w:rsid w:val="00734DDF"/>
    <w:rsid w:val="00735AC8"/>
    <w:rsid w:val="00742016"/>
    <w:rsid w:val="00746470"/>
    <w:rsid w:val="007521FA"/>
    <w:rsid w:val="00782D09"/>
    <w:rsid w:val="00790248"/>
    <w:rsid w:val="00792CFF"/>
    <w:rsid w:val="007B08C1"/>
    <w:rsid w:val="007B466F"/>
    <w:rsid w:val="007B6229"/>
    <w:rsid w:val="007C238C"/>
    <w:rsid w:val="007D2C56"/>
    <w:rsid w:val="007D7954"/>
    <w:rsid w:val="007E587C"/>
    <w:rsid w:val="0080025E"/>
    <w:rsid w:val="00803831"/>
    <w:rsid w:val="008053D9"/>
    <w:rsid w:val="0080578E"/>
    <w:rsid w:val="00806497"/>
    <w:rsid w:val="00806B01"/>
    <w:rsid w:val="008210F2"/>
    <w:rsid w:val="0082672D"/>
    <w:rsid w:val="008439D9"/>
    <w:rsid w:val="00853796"/>
    <w:rsid w:val="0087656E"/>
    <w:rsid w:val="008954F5"/>
    <w:rsid w:val="00897506"/>
    <w:rsid w:val="008C6642"/>
    <w:rsid w:val="008D43D8"/>
    <w:rsid w:val="008E0279"/>
    <w:rsid w:val="008E4A1B"/>
    <w:rsid w:val="008E50C0"/>
    <w:rsid w:val="008E7421"/>
    <w:rsid w:val="008F1D6D"/>
    <w:rsid w:val="00901BB2"/>
    <w:rsid w:val="00910538"/>
    <w:rsid w:val="00910DFA"/>
    <w:rsid w:val="00914232"/>
    <w:rsid w:val="0093792D"/>
    <w:rsid w:val="0094289F"/>
    <w:rsid w:val="00954DF4"/>
    <w:rsid w:val="009713C6"/>
    <w:rsid w:val="0097630C"/>
    <w:rsid w:val="00993305"/>
    <w:rsid w:val="00996989"/>
    <w:rsid w:val="009A71AD"/>
    <w:rsid w:val="009A7EAB"/>
    <w:rsid w:val="009C02BD"/>
    <w:rsid w:val="009C4F83"/>
    <w:rsid w:val="009E5D2E"/>
    <w:rsid w:val="009F19B2"/>
    <w:rsid w:val="009F2640"/>
    <w:rsid w:val="009F3179"/>
    <w:rsid w:val="009F63AD"/>
    <w:rsid w:val="00A04EFA"/>
    <w:rsid w:val="00A05C21"/>
    <w:rsid w:val="00A14869"/>
    <w:rsid w:val="00A14FDB"/>
    <w:rsid w:val="00A2302E"/>
    <w:rsid w:val="00A32418"/>
    <w:rsid w:val="00A375D5"/>
    <w:rsid w:val="00A41013"/>
    <w:rsid w:val="00A43D2A"/>
    <w:rsid w:val="00A52D7B"/>
    <w:rsid w:val="00A60CFF"/>
    <w:rsid w:val="00A64BAF"/>
    <w:rsid w:val="00A650E3"/>
    <w:rsid w:val="00A76242"/>
    <w:rsid w:val="00A77BD7"/>
    <w:rsid w:val="00A924A0"/>
    <w:rsid w:val="00A931A7"/>
    <w:rsid w:val="00AA5C1C"/>
    <w:rsid w:val="00AE12A5"/>
    <w:rsid w:val="00AE3199"/>
    <w:rsid w:val="00AE3342"/>
    <w:rsid w:val="00AF1D16"/>
    <w:rsid w:val="00B027F5"/>
    <w:rsid w:val="00B1415A"/>
    <w:rsid w:val="00B239BB"/>
    <w:rsid w:val="00B245FF"/>
    <w:rsid w:val="00B31E23"/>
    <w:rsid w:val="00B36BBC"/>
    <w:rsid w:val="00B41035"/>
    <w:rsid w:val="00B454BE"/>
    <w:rsid w:val="00B54B74"/>
    <w:rsid w:val="00B55951"/>
    <w:rsid w:val="00B65CC7"/>
    <w:rsid w:val="00B7754E"/>
    <w:rsid w:val="00B81569"/>
    <w:rsid w:val="00B84DC0"/>
    <w:rsid w:val="00B96B2C"/>
    <w:rsid w:val="00B96E27"/>
    <w:rsid w:val="00B972C0"/>
    <w:rsid w:val="00BA7EED"/>
    <w:rsid w:val="00BB4E33"/>
    <w:rsid w:val="00BC1BDA"/>
    <w:rsid w:val="00BE36DB"/>
    <w:rsid w:val="00BF4BD5"/>
    <w:rsid w:val="00C03572"/>
    <w:rsid w:val="00C14ADE"/>
    <w:rsid w:val="00C24C4B"/>
    <w:rsid w:val="00C311AF"/>
    <w:rsid w:val="00C34F2D"/>
    <w:rsid w:val="00C4693A"/>
    <w:rsid w:val="00C631BE"/>
    <w:rsid w:val="00C75181"/>
    <w:rsid w:val="00C93AFF"/>
    <w:rsid w:val="00C9537C"/>
    <w:rsid w:val="00C972DC"/>
    <w:rsid w:val="00CB4997"/>
    <w:rsid w:val="00CB4B54"/>
    <w:rsid w:val="00CC1208"/>
    <w:rsid w:val="00CC4952"/>
    <w:rsid w:val="00D01C90"/>
    <w:rsid w:val="00D02754"/>
    <w:rsid w:val="00D04B98"/>
    <w:rsid w:val="00D07AF7"/>
    <w:rsid w:val="00D12B30"/>
    <w:rsid w:val="00D165F2"/>
    <w:rsid w:val="00D434B8"/>
    <w:rsid w:val="00D70DA8"/>
    <w:rsid w:val="00D870F5"/>
    <w:rsid w:val="00D87791"/>
    <w:rsid w:val="00D971A1"/>
    <w:rsid w:val="00DB3C46"/>
    <w:rsid w:val="00DB4F5C"/>
    <w:rsid w:val="00DD4418"/>
    <w:rsid w:val="00DE1B2D"/>
    <w:rsid w:val="00DF06CF"/>
    <w:rsid w:val="00E007A8"/>
    <w:rsid w:val="00E04612"/>
    <w:rsid w:val="00E12109"/>
    <w:rsid w:val="00E30F07"/>
    <w:rsid w:val="00E4072C"/>
    <w:rsid w:val="00E46F52"/>
    <w:rsid w:val="00E47A74"/>
    <w:rsid w:val="00E5481B"/>
    <w:rsid w:val="00E55838"/>
    <w:rsid w:val="00E565AB"/>
    <w:rsid w:val="00E56EAB"/>
    <w:rsid w:val="00E605C0"/>
    <w:rsid w:val="00E669F0"/>
    <w:rsid w:val="00E67DAA"/>
    <w:rsid w:val="00E708BC"/>
    <w:rsid w:val="00E91C48"/>
    <w:rsid w:val="00E923F0"/>
    <w:rsid w:val="00EA18AE"/>
    <w:rsid w:val="00EA6890"/>
    <w:rsid w:val="00EB71C0"/>
    <w:rsid w:val="00EC0E13"/>
    <w:rsid w:val="00EC2DD4"/>
    <w:rsid w:val="00EE21D6"/>
    <w:rsid w:val="00EE530A"/>
    <w:rsid w:val="00EF2D24"/>
    <w:rsid w:val="00F02DB4"/>
    <w:rsid w:val="00F04121"/>
    <w:rsid w:val="00F25558"/>
    <w:rsid w:val="00F27FB1"/>
    <w:rsid w:val="00F305F6"/>
    <w:rsid w:val="00F413DB"/>
    <w:rsid w:val="00F435DC"/>
    <w:rsid w:val="00F66AED"/>
    <w:rsid w:val="00F67DCE"/>
    <w:rsid w:val="00F7147F"/>
    <w:rsid w:val="00F73095"/>
    <w:rsid w:val="00F87768"/>
    <w:rsid w:val="00F95EE2"/>
    <w:rsid w:val="00F97392"/>
    <w:rsid w:val="00FA481D"/>
    <w:rsid w:val="00FA7CFE"/>
    <w:rsid w:val="00FB4FED"/>
    <w:rsid w:val="00FD388D"/>
    <w:rsid w:val="00FE1C18"/>
    <w:rsid w:val="00FF25ED"/>
    <w:rsid w:val="00FF67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650EA4"/>
  <w15:chartTrackingRefBased/>
  <w15:docId w15:val="{E7753F95-27C6-4020-9D76-257289EA3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221B7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221B7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Prrafodelista">
    <w:name w:val="List Paragraph"/>
    <w:basedOn w:val="Normal"/>
    <w:uiPriority w:val="34"/>
    <w:qFormat/>
    <w:rsid w:val="00221B78"/>
    <w:pPr>
      <w:spacing w:after="0" w:line="240" w:lineRule="auto"/>
      <w:ind w:left="720"/>
      <w:contextualSpacing/>
    </w:pPr>
    <w:rPr>
      <w:rFonts w:ascii="Times New Roman" w:eastAsia="Times New Roman" w:hAnsi="Times New Roman" w:cs="Times New Roman"/>
      <w:sz w:val="24"/>
      <w:szCs w:val="24"/>
      <w:lang w:val="en-US"/>
    </w:rPr>
  </w:style>
  <w:style w:type="paragraph" w:customStyle="1" w:styleId="Default">
    <w:name w:val="Default"/>
    <w:rsid w:val="00415064"/>
    <w:pPr>
      <w:autoSpaceDE w:val="0"/>
      <w:autoSpaceDN w:val="0"/>
      <w:adjustRightInd w:val="0"/>
      <w:spacing w:after="0" w:line="240" w:lineRule="auto"/>
    </w:pPr>
    <w:rPr>
      <w:rFonts w:ascii="Times New Roman" w:hAnsi="Times New Roman" w:cs="Times New Roman"/>
      <w:color w:val="000000"/>
      <w:sz w:val="24"/>
      <w:szCs w:val="24"/>
    </w:rPr>
  </w:style>
  <w:style w:type="character" w:styleId="Hipervnculo">
    <w:name w:val="Hyperlink"/>
    <w:basedOn w:val="Fuentedeprrafopredeter"/>
    <w:uiPriority w:val="99"/>
    <w:unhideWhenUsed/>
    <w:rsid w:val="0016536D"/>
    <w:rPr>
      <w:color w:val="0563C1" w:themeColor="hyperlink"/>
      <w:u w:val="single"/>
    </w:rPr>
  </w:style>
  <w:style w:type="character" w:styleId="Mencinsinresolver">
    <w:name w:val="Unresolved Mention"/>
    <w:basedOn w:val="Fuentedeprrafopredeter"/>
    <w:uiPriority w:val="99"/>
    <w:semiHidden/>
    <w:unhideWhenUsed/>
    <w:rsid w:val="0016536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869095">
      <w:bodyDiv w:val="1"/>
      <w:marLeft w:val="0"/>
      <w:marRight w:val="0"/>
      <w:marTop w:val="0"/>
      <w:marBottom w:val="0"/>
      <w:divBdr>
        <w:top w:val="none" w:sz="0" w:space="0" w:color="auto"/>
        <w:left w:val="none" w:sz="0" w:space="0" w:color="auto"/>
        <w:bottom w:val="none" w:sz="0" w:space="0" w:color="auto"/>
        <w:right w:val="none" w:sz="0" w:space="0" w:color="auto"/>
      </w:divBdr>
    </w:div>
    <w:div w:id="256986893">
      <w:bodyDiv w:val="1"/>
      <w:marLeft w:val="0"/>
      <w:marRight w:val="0"/>
      <w:marTop w:val="0"/>
      <w:marBottom w:val="0"/>
      <w:divBdr>
        <w:top w:val="none" w:sz="0" w:space="0" w:color="auto"/>
        <w:left w:val="none" w:sz="0" w:space="0" w:color="auto"/>
        <w:bottom w:val="none" w:sz="0" w:space="0" w:color="auto"/>
        <w:right w:val="none" w:sz="0" w:space="0" w:color="auto"/>
      </w:divBdr>
    </w:div>
    <w:div w:id="607585930">
      <w:bodyDiv w:val="1"/>
      <w:marLeft w:val="0"/>
      <w:marRight w:val="0"/>
      <w:marTop w:val="0"/>
      <w:marBottom w:val="0"/>
      <w:divBdr>
        <w:top w:val="none" w:sz="0" w:space="0" w:color="auto"/>
        <w:left w:val="none" w:sz="0" w:space="0" w:color="auto"/>
        <w:bottom w:val="none" w:sz="0" w:space="0" w:color="auto"/>
        <w:right w:val="none" w:sz="0" w:space="0" w:color="auto"/>
      </w:divBdr>
    </w:div>
    <w:div w:id="884609423">
      <w:bodyDiv w:val="1"/>
      <w:marLeft w:val="0"/>
      <w:marRight w:val="0"/>
      <w:marTop w:val="0"/>
      <w:marBottom w:val="0"/>
      <w:divBdr>
        <w:top w:val="none" w:sz="0" w:space="0" w:color="auto"/>
        <w:left w:val="none" w:sz="0" w:space="0" w:color="auto"/>
        <w:bottom w:val="none" w:sz="0" w:space="0" w:color="auto"/>
        <w:right w:val="none" w:sz="0" w:space="0" w:color="auto"/>
      </w:divBdr>
    </w:div>
    <w:div w:id="1058475273">
      <w:bodyDiv w:val="1"/>
      <w:marLeft w:val="0"/>
      <w:marRight w:val="0"/>
      <w:marTop w:val="0"/>
      <w:marBottom w:val="0"/>
      <w:divBdr>
        <w:top w:val="none" w:sz="0" w:space="0" w:color="auto"/>
        <w:left w:val="none" w:sz="0" w:space="0" w:color="auto"/>
        <w:bottom w:val="none" w:sz="0" w:space="0" w:color="auto"/>
        <w:right w:val="none" w:sz="0" w:space="0" w:color="auto"/>
      </w:divBdr>
    </w:div>
    <w:div w:id="1754669841">
      <w:bodyDiv w:val="1"/>
      <w:marLeft w:val="0"/>
      <w:marRight w:val="0"/>
      <w:marTop w:val="0"/>
      <w:marBottom w:val="0"/>
      <w:divBdr>
        <w:top w:val="none" w:sz="0" w:space="0" w:color="auto"/>
        <w:left w:val="none" w:sz="0" w:space="0" w:color="auto"/>
        <w:bottom w:val="none" w:sz="0" w:space="0" w:color="auto"/>
        <w:right w:val="none" w:sz="0" w:space="0" w:color="auto"/>
      </w:divBdr>
    </w:div>
    <w:div w:id="1797484080">
      <w:bodyDiv w:val="1"/>
      <w:marLeft w:val="0"/>
      <w:marRight w:val="0"/>
      <w:marTop w:val="0"/>
      <w:marBottom w:val="0"/>
      <w:divBdr>
        <w:top w:val="none" w:sz="0" w:space="0" w:color="auto"/>
        <w:left w:val="none" w:sz="0" w:space="0" w:color="auto"/>
        <w:bottom w:val="none" w:sz="0" w:space="0" w:color="auto"/>
        <w:right w:val="none" w:sz="0" w:space="0" w:color="auto"/>
      </w:divBdr>
    </w:div>
    <w:div w:id="1855338099">
      <w:bodyDiv w:val="1"/>
      <w:marLeft w:val="0"/>
      <w:marRight w:val="0"/>
      <w:marTop w:val="0"/>
      <w:marBottom w:val="0"/>
      <w:divBdr>
        <w:top w:val="none" w:sz="0" w:space="0" w:color="auto"/>
        <w:left w:val="none" w:sz="0" w:space="0" w:color="auto"/>
        <w:bottom w:val="none" w:sz="0" w:space="0" w:color="auto"/>
        <w:right w:val="none" w:sz="0" w:space="0" w:color="auto"/>
      </w:divBdr>
      <w:divsChild>
        <w:div w:id="571431057">
          <w:marLeft w:val="446"/>
          <w:marRight w:val="0"/>
          <w:marTop w:val="0"/>
          <w:marBottom w:val="160"/>
          <w:divBdr>
            <w:top w:val="none" w:sz="0" w:space="0" w:color="auto"/>
            <w:left w:val="none" w:sz="0" w:space="0" w:color="auto"/>
            <w:bottom w:val="none" w:sz="0" w:space="0" w:color="auto"/>
            <w:right w:val="none" w:sz="0" w:space="0" w:color="auto"/>
          </w:divBdr>
        </w:div>
        <w:div w:id="35159572">
          <w:marLeft w:val="446"/>
          <w:marRight w:val="0"/>
          <w:marTop w:val="0"/>
          <w:marBottom w:val="160"/>
          <w:divBdr>
            <w:top w:val="none" w:sz="0" w:space="0" w:color="auto"/>
            <w:left w:val="none" w:sz="0" w:space="0" w:color="auto"/>
            <w:bottom w:val="none" w:sz="0" w:space="0" w:color="auto"/>
            <w:right w:val="none" w:sz="0" w:space="0" w:color="auto"/>
          </w:divBdr>
        </w:div>
        <w:div w:id="1191799958">
          <w:marLeft w:val="446"/>
          <w:marRight w:val="0"/>
          <w:marTop w:val="0"/>
          <w:marBottom w:val="160"/>
          <w:divBdr>
            <w:top w:val="none" w:sz="0" w:space="0" w:color="auto"/>
            <w:left w:val="none" w:sz="0" w:space="0" w:color="auto"/>
            <w:bottom w:val="none" w:sz="0" w:space="0" w:color="auto"/>
            <w:right w:val="none" w:sz="0" w:space="0" w:color="auto"/>
          </w:divBdr>
        </w:div>
        <w:div w:id="2019964969">
          <w:marLeft w:val="446"/>
          <w:marRight w:val="0"/>
          <w:marTop w:val="0"/>
          <w:marBottom w:val="160"/>
          <w:divBdr>
            <w:top w:val="none" w:sz="0" w:space="0" w:color="auto"/>
            <w:left w:val="none" w:sz="0" w:space="0" w:color="auto"/>
            <w:bottom w:val="none" w:sz="0" w:space="0" w:color="auto"/>
            <w:right w:val="none" w:sz="0" w:space="0" w:color="auto"/>
          </w:divBdr>
        </w:div>
        <w:div w:id="2038195781">
          <w:marLeft w:val="446"/>
          <w:marRight w:val="0"/>
          <w:marTop w:val="0"/>
          <w:marBottom w:val="160"/>
          <w:divBdr>
            <w:top w:val="none" w:sz="0" w:space="0" w:color="auto"/>
            <w:left w:val="none" w:sz="0" w:space="0" w:color="auto"/>
            <w:bottom w:val="none" w:sz="0" w:space="0" w:color="auto"/>
            <w:right w:val="none" w:sz="0" w:space="0" w:color="auto"/>
          </w:divBdr>
        </w:div>
      </w:divsChild>
    </w:div>
    <w:div w:id="1861582562">
      <w:bodyDiv w:val="1"/>
      <w:marLeft w:val="0"/>
      <w:marRight w:val="0"/>
      <w:marTop w:val="0"/>
      <w:marBottom w:val="0"/>
      <w:divBdr>
        <w:top w:val="none" w:sz="0" w:space="0" w:color="auto"/>
        <w:left w:val="none" w:sz="0" w:space="0" w:color="auto"/>
        <w:bottom w:val="none" w:sz="0" w:space="0" w:color="auto"/>
        <w:right w:val="none" w:sz="0" w:space="0" w:color="auto"/>
      </w:divBdr>
    </w:div>
    <w:div w:id="2032099666">
      <w:bodyDiv w:val="1"/>
      <w:marLeft w:val="0"/>
      <w:marRight w:val="0"/>
      <w:marTop w:val="0"/>
      <w:marBottom w:val="0"/>
      <w:divBdr>
        <w:top w:val="none" w:sz="0" w:space="0" w:color="auto"/>
        <w:left w:val="none" w:sz="0" w:space="0" w:color="auto"/>
        <w:bottom w:val="none" w:sz="0" w:space="0" w:color="auto"/>
        <w:right w:val="none" w:sz="0" w:space="0" w:color="auto"/>
      </w:divBdr>
      <w:divsChild>
        <w:div w:id="1976786619">
          <w:marLeft w:val="446"/>
          <w:marRight w:val="0"/>
          <w:marTop w:val="0"/>
          <w:marBottom w:val="160"/>
          <w:divBdr>
            <w:top w:val="none" w:sz="0" w:space="0" w:color="auto"/>
            <w:left w:val="none" w:sz="0" w:space="0" w:color="auto"/>
            <w:bottom w:val="none" w:sz="0" w:space="0" w:color="auto"/>
            <w:right w:val="none" w:sz="0" w:space="0" w:color="auto"/>
          </w:divBdr>
        </w:div>
        <w:div w:id="1209995209">
          <w:marLeft w:val="446"/>
          <w:marRight w:val="0"/>
          <w:marTop w:val="0"/>
          <w:marBottom w:val="160"/>
          <w:divBdr>
            <w:top w:val="none" w:sz="0" w:space="0" w:color="auto"/>
            <w:left w:val="none" w:sz="0" w:space="0" w:color="auto"/>
            <w:bottom w:val="none" w:sz="0" w:space="0" w:color="auto"/>
            <w:right w:val="none" w:sz="0" w:space="0" w:color="auto"/>
          </w:divBdr>
        </w:div>
        <w:div w:id="545989388">
          <w:marLeft w:val="446"/>
          <w:marRight w:val="0"/>
          <w:marTop w:val="0"/>
          <w:marBottom w:val="160"/>
          <w:divBdr>
            <w:top w:val="none" w:sz="0" w:space="0" w:color="auto"/>
            <w:left w:val="none" w:sz="0" w:space="0" w:color="auto"/>
            <w:bottom w:val="none" w:sz="0" w:space="0" w:color="auto"/>
            <w:right w:val="none" w:sz="0" w:space="0" w:color="auto"/>
          </w:divBdr>
        </w:div>
        <w:div w:id="1948657422">
          <w:marLeft w:val="446"/>
          <w:marRight w:val="0"/>
          <w:marTop w:val="0"/>
          <w:marBottom w:val="160"/>
          <w:divBdr>
            <w:top w:val="none" w:sz="0" w:space="0" w:color="auto"/>
            <w:left w:val="none" w:sz="0" w:space="0" w:color="auto"/>
            <w:bottom w:val="none" w:sz="0" w:space="0" w:color="auto"/>
            <w:right w:val="none" w:sz="0" w:space="0" w:color="auto"/>
          </w:divBdr>
        </w:div>
        <w:div w:id="1804227001">
          <w:marLeft w:val="446"/>
          <w:marRight w:val="0"/>
          <w:marTop w:val="0"/>
          <w:marBottom w:val="160"/>
          <w:divBdr>
            <w:top w:val="none" w:sz="0" w:space="0" w:color="auto"/>
            <w:left w:val="none" w:sz="0" w:space="0" w:color="auto"/>
            <w:bottom w:val="none" w:sz="0" w:space="0" w:color="auto"/>
            <w:right w:val="none" w:sz="0" w:space="0" w:color="auto"/>
          </w:divBdr>
        </w:div>
      </w:divsChild>
    </w:div>
    <w:div w:id="2043169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2491</TotalTime>
  <Pages>2</Pages>
  <Words>912</Words>
  <Characters>5017</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TORROJA MATEU NURIA</dc:creator>
  <cp:keywords/>
  <dc:description/>
  <cp:lastModifiedBy>TAPIA MENDOZA ALFONSO</cp:lastModifiedBy>
  <cp:revision>162</cp:revision>
  <dcterms:created xsi:type="dcterms:W3CDTF">2021-06-29T23:04:00Z</dcterms:created>
  <dcterms:modified xsi:type="dcterms:W3CDTF">2021-07-09T16:48:00Z</dcterms:modified>
</cp:coreProperties>
</file>