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117"/>
        <w:gridCol w:w="1701"/>
        <w:gridCol w:w="7457"/>
      </w:tblGrid>
      <w:tr w:rsidR="00FF676F" w14:paraId="12297711" w14:textId="77777777" w:rsidTr="00390115">
        <w:trPr>
          <w:trHeight w:val="553"/>
        </w:trPr>
        <w:tc>
          <w:tcPr>
            <w:tcW w:w="3175" w:type="dxa"/>
            <w:gridSpan w:val="3"/>
            <w:tcBorders>
              <w:bottom w:val="single" w:sz="4" w:space="0" w:color="BFBFBF" w:themeColor="background1" w:themeShade="BF"/>
            </w:tcBorders>
            <w:shd w:val="clear" w:color="auto" w:fill="808080" w:themeFill="background1" w:themeFillShade="80"/>
            <w:vAlign w:val="center"/>
          </w:tcPr>
          <w:p w14:paraId="3CD7BDA4" w14:textId="77777777" w:rsidR="00FF676F" w:rsidRPr="00191B1E" w:rsidRDefault="00FF676F" w:rsidP="00B65CC7">
            <w:pPr>
              <w:pStyle w:val="NormalWeb"/>
              <w:spacing w:before="0" w:beforeAutospacing="0" w:after="0" w:afterAutospacing="0" w:line="257" w:lineRule="auto"/>
              <w:jc w:val="right"/>
              <w:rPr>
                <w:rFonts w:ascii="Arial" w:hAnsi="Arial" w:cs="Arial"/>
                <w:sz w:val="22"/>
                <w:szCs w:val="22"/>
              </w:rPr>
            </w:pPr>
            <w:r w:rsidRPr="00191B1E">
              <w:rPr>
                <w:rFonts w:ascii="Calibri" w:eastAsia="Calibri" w:hAnsi="Calibri"/>
                <w:bCs/>
                <w:color w:val="FFFFFF" w:themeColor="background1"/>
                <w:kern w:val="24"/>
                <w:sz w:val="22"/>
                <w:szCs w:val="22"/>
                <w:lang w:val="es-MX"/>
              </w:rPr>
              <w:t>Principios de calidad:</w:t>
            </w:r>
          </w:p>
        </w:tc>
        <w:tc>
          <w:tcPr>
            <w:tcW w:w="7457" w:type="dxa"/>
            <w:tcBorders>
              <w:bottom w:val="single" w:sz="4" w:space="0" w:color="BFBFBF" w:themeColor="background1" w:themeShade="BF"/>
            </w:tcBorders>
            <w:shd w:val="clear" w:color="auto" w:fill="808080" w:themeFill="background1" w:themeFillShade="80"/>
            <w:vAlign w:val="center"/>
          </w:tcPr>
          <w:p w14:paraId="3B9304BC" w14:textId="77777777" w:rsidR="00FF676F" w:rsidRPr="00191B1E" w:rsidRDefault="00FF676F" w:rsidP="00B65CC7">
            <w:pPr>
              <w:pStyle w:val="NormalWeb"/>
              <w:spacing w:before="0" w:beforeAutospacing="0" w:after="0" w:afterAutospacing="0" w:line="256" w:lineRule="auto"/>
              <w:rPr>
                <w:rFonts w:ascii="Arial" w:hAnsi="Arial" w:cs="Arial"/>
                <w:sz w:val="22"/>
                <w:szCs w:val="22"/>
              </w:rPr>
            </w:pPr>
            <w:r w:rsidRPr="00191B1E">
              <w:rPr>
                <w:rFonts w:asciiTheme="minorHAnsi" w:eastAsia="Calibri" w:hAnsi="Calibri"/>
                <w:color w:val="FFFFFF" w:themeColor="background1"/>
                <w:kern w:val="24"/>
                <w:sz w:val="22"/>
                <w:szCs w:val="22"/>
                <w:lang w:val="es-MX"/>
              </w:rPr>
              <w:t>Veracidad (precisión y confiabilidad)</w:t>
            </w:r>
          </w:p>
        </w:tc>
      </w:tr>
      <w:tr w:rsidR="00FF676F" w14:paraId="60081DF8" w14:textId="77777777" w:rsidTr="00390115">
        <w:trPr>
          <w:trHeight w:val="553"/>
        </w:trPr>
        <w:tc>
          <w:tcPr>
            <w:tcW w:w="3175" w:type="dxa"/>
            <w:gridSpan w:val="3"/>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5BC987B0" w14:textId="77777777" w:rsidR="00FF676F" w:rsidRPr="00191B1E" w:rsidRDefault="00FF676F" w:rsidP="00B65CC7">
            <w:pPr>
              <w:pStyle w:val="NormalWeb"/>
              <w:spacing w:before="0" w:beforeAutospacing="0" w:after="0" w:afterAutospacing="0" w:line="257" w:lineRule="auto"/>
              <w:jc w:val="right"/>
              <w:rPr>
                <w:rFonts w:ascii="Calibri" w:eastAsia="Calibri" w:hAnsi="Calibri"/>
                <w:bCs/>
                <w:color w:val="FFFFFF" w:themeColor="background1"/>
                <w:kern w:val="24"/>
                <w:sz w:val="22"/>
                <w:szCs w:val="22"/>
                <w:lang w:val="es-MX"/>
              </w:rPr>
            </w:pPr>
            <w:r w:rsidRPr="00191B1E">
              <w:rPr>
                <w:rFonts w:ascii="Calibri" w:eastAsia="Calibri" w:hAnsi="Calibri"/>
                <w:bCs/>
                <w:color w:val="FFFFFF" w:themeColor="background1"/>
                <w:kern w:val="24"/>
                <w:sz w:val="22"/>
                <w:szCs w:val="22"/>
                <w:lang w:val="es-MX"/>
              </w:rPr>
              <w:t>Actividad estratégica:</w:t>
            </w:r>
          </w:p>
        </w:tc>
        <w:tc>
          <w:tcPr>
            <w:tcW w:w="7457" w:type="dxa"/>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5D6753D6" w14:textId="77777777" w:rsidR="00FF676F" w:rsidRPr="00191B1E" w:rsidRDefault="00FF676F" w:rsidP="00B65CC7">
            <w:pPr>
              <w:pStyle w:val="NormalWeb"/>
              <w:spacing w:before="0" w:beforeAutospacing="0" w:after="0" w:afterAutospacing="0" w:line="256" w:lineRule="auto"/>
              <w:rPr>
                <w:rFonts w:asciiTheme="minorHAnsi" w:eastAsia="Calibri" w:hAnsi="Calibri"/>
                <w:color w:val="FFFFFF" w:themeColor="background1"/>
                <w:kern w:val="24"/>
                <w:sz w:val="22"/>
                <w:szCs w:val="22"/>
                <w:lang w:val="es-MX"/>
              </w:rPr>
            </w:pPr>
            <w:r w:rsidRPr="00191B1E">
              <w:rPr>
                <w:rFonts w:asciiTheme="minorHAnsi" w:eastAsia="Calibri" w:hAnsi="Calibri"/>
                <w:color w:val="FFFFFF" w:themeColor="background1"/>
                <w:kern w:val="24"/>
                <w:sz w:val="22"/>
                <w:szCs w:val="22"/>
                <w:lang w:val="es-MX"/>
              </w:rPr>
              <w:t>Evaluar de forma sistemática la calidad de la información</w:t>
            </w:r>
          </w:p>
        </w:tc>
      </w:tr>
      <w:tr w:rsidR="00FF676F" w14:paraId="46F89F55" w14:textId="77777777" w:rsidTr="00390115">
        <w:trPr>
          <w:trHeight w:val="572"/>
        </w:trPr>
        <w:tc>
          <w:tcPr>
            <w:tcW w:w="3175" w:type="dxa"/>
            <w:gridSpan w:val="3"/>
            <w:tcBorders>
              <w:top w:val="single" w:sz="4" w:space="0" w:color="BFBFBF" w:themeColor="background1" w:themeShade="BF"/>
            </w:tcBorders>
            <w:shd w:val="clear" w:color="auto" w:fill="808080" w:themeFill="background1" w:themeFillShade="80"/>
            <w:vAlign w:val="center"/>
          </w:tcPr>
          <w:p w14:paraId="32729C25" w14:textId="77777777" w:rsidR="00FF676F" w:rsidRPr="00191B1E" w:rsidRDefault="00FF676F" w:rsidP="00B65CC7">
            <w:pPr>
              <w:pStyle w:val="NormalWeb"/>
              <w:spacing w:before="0" w:beforeAutospacing="0" w:after="0" w:afterAutospacing="0" w:line="257" w:lineRule="auto"/>
              <w:jc w:val="right"/>
              <w:rPr>
                <w:rFonts w:ascii="Arial" w:hAnsi="Arial" w:cs="Arial"/>
                <w:sz w:val="22"/>
                <w:szCs w:val="22"/>
              </w:rPr>
            </w:pPr>
            <w:r w:rsidRPr="00191B1E">
              <w:rPr>
                <w:rFonts w:ascii="Calibri" w:hAnsi="Calibri" w:cs="Calibri"/>
                <w:color w:val="FFFFFF" w:themeColor="background1"/>
                <w:kern w:val="24"/>
                <w:sz w:val="22"/>
                <w:szCs w:val="22"/>
                <w:lang w:val="es-MX"/>
              </w:rPr>
              <w:t>Alcance del grupo:</w:t>
            </w:r>
          </w:p>
        </w:tc>
        <w:tc>
          <w:tcPr>
            <w:tcW w:w="7457" w:type="dxa"/>
            <w:tcBorders>
              <w:top w:val="single" w:sz="4" w:space="0" w:color="BFBFBF" w:themeColor="background1" w:themeShade="BF"/>
            </w:tcBorders>
            <w:shd w:val="clear" w:color="auto" w:fill="808080" w:themeFill="background1" w:themeFillShade="80"/>
            <w:vAlign w:val="center"/>
          </w:tcPr>
          <w:p w14:paraId="71DD043D" w14:textId="5C9FB101" w:rsidR="00FF676F" w:rsidRPr="00191B1E" w:rsidRDefault="00FF676F" w:rsidP="00B65CC7">
            <w:pPr>
              <w:pStyle w:val="NormalWeb"/>
              <w:spacing w:before="0" w:beforeAutospacing="0" w:after="0" w:afterAutospacing="0" w:line="256" w:lineRule="auto"/>
              <w:rPr>
                <w:rFonts w:ascii="Arial" w:hAnsi="Arial" w:cs="Arial"/>
                <w:sz w:val="22"/>
                <w:szCs w:val="22"/>
                <w:lang w:val="es-MX"/>
              </w:rPr>
            </w:pPr>
            <w:r w:rsidRPr="00191B1E">
              <w:rPr>
                <w:rFonts w:asciiTheme="minorHAnsi" w:hAnsi="Calibri" w:cs="Calibri"/>
                <w:color w:val="FFFFFF" w:themeColor="background1"/>
                <w:kern w:val="24"/>
                <w:sz w:val="22"/>
                <w:szCs w:val="22"/>
                <w:lang w:val="es-MX"/>
              </w:rPr>
              <w:t xml:space="preserve">Definición de indicadores </w:t>
            </w:r>
            <w:r>
              <w:rPr>
                <w:rFonts w:asciiTheme="minorHAnsi" w:hAnsi="Calibri" w:cs="Calibri"/>
                <w:color w:val="FFFFFF" w:themeColor="background1"/>
                <w:kern w:val="24"/>
                <w:sz w:val="22"/>
                <w:szCs w:val="22"/>
                <w:lang w:val="es-MX"/>
              </w:rPr>
              <w:t>precisión para encuestas</w:t>
            </w:r>
            <w:r w:rsidRPr="00191B1E">
              <w:rPr>
                <w:rFonts w:asciiTheme="minorHAnsi" w:hAnsi="Calibri" w:cs="Calibri"/>
                <w:color w:val="FFFFFF" w:themeColor="background1"/>
                <w:kern w:val="24"/>
                <w:sz w:val="22"/>
                <w:szCs w:val="22"/>
                <w:lang w:val="es-MX"/>
              </w:rPr>
              <w:t>.</w:t>
            </w:r>
          </w:p>
        </w:tc>
      </w:tr>
      <w:tr w:rsidR="00FF676F" w14:paraId="13710047" w14:textId="77777777" w:rsidTr="00390115">
        <w:trPr>
          <w:trHeight w:val="419"/>
        </w:trPr>
        <w:tc>
          <w:tcPr>
            <w:tcW w:w="1357" w:type="dxa"/>
            <w:tcBorders>
              <w:bottom w:val="single" w:sz="4" w:space="0" w:color="808080" w:themeColor="background1" w:themeShade="80"/>
            </w:tcBorders>
            <w:shd w:val="clear" w:color="auto" w:fill="F2F2F2" w:themeFill="background1" w:themeFillShade="F2"/>
            <w:vAlign w:val="center"/>
          </w:tcPr>
          <w:p w14:paraId="4B054D6E" w14:textId="77777777" w:rsidR="00FF676F" w:rsidRPr="00221B78" w:rsidRDefault="00FF676F" w:rsidP="00B65CC7">
            <w:pPr>
              <w:pStyle w:val="NormalWeb"/>
              <w:spacing w:before="0" w:beforeAutospacing="0" w:after="0" w:afterAutospacing="0" w:line="256" w:lineRule="auto"/>
              <w:rPr>
                <w:rFonts w:ascii="Arial" w:hAnsi="Arial" w:cs="Arial"/>
                <w:sz w:val="22"/>
                <w:szCs w:val="22"/>
              </w:rPr>
            </w:pPr>
            <w:r w:rsidRPr="00221B78">
              <w:rPr>
                <w:rFonts w:ascii="Calibri" w:hAnsi="Calibri" w:cs="Calibri"/>
                <w:color w:val="000000" w:themeColor="dark1"/>
                <w:kern w:val="24"/>
                <w:sz w:val="22"/>
                <w:szCs w:val="22"/>
                <w:lang w:val="es-MX"/>
              </w:rPr>
              <w:t>Líder:</w:t>
            </w:r>
          </w:p>
        </w:tc>
        <w:tc>
          <w:tcPr>
            <w:tcW w:w="9275" w:type="dxa"/>
            <w:gridSpan w:val="3"/>
            <w:tcBorders>
              <w:bottom w:val="single" w:sz="4" w:space="0" w:color="808080" w:themeColor="background1" w:themeShade="80"/>
            </w:tcBorders>
            <w:shd w:val="clear" w:color="auto" w:fill="F2F2F2" w:themeFill="background1" w:themeFillShade="F2"/>
            <w:vAlign w:val="center"/>
          </w:tcPr>
          <w:p w14:paraId="25784EBA" w14:textId="77777777" w:rsidR="00FF676F" w:rsidRPr="00221B78" w:rsidRDefault="00FF676F" w:rsidP="00B65CC7">
            <w:pPr>
              <w:pStyle w:val="NormalWeb"/>
              <w:spacing w:before="0" w:beforeAutospacing="0" w:after="0" w:afterAutospacing="0" w:line="256" w:lineRule="auto"/>
              <w:rPr>
                <w:rFonts w:ascii="Arial" w:hAnsi="Arial" w:cs="Arial"/>
                <w:sz w:val="22"/>
                <w:szCs w:val="22"/>
                <w:lang w:val="es-MX"/>
              </w:rPr>
            </w:pPr>
            <w:r w:rsidRPr="00221B78">
              <w:rPr>
                <w:rFonts w:ascii="Calibri" w:hAnsi="Calibri" w:cs="Calibri"/>
                <w:color w:val="000000" w:themeColor="dark1"/>
                <w:kern w:val="24"/>
                <w:sz w:val="22"/>
                <w:szCs w:val="22"/>
                <w:lang w:val="es-MX"/>
              </w:rPr>
              <w:t xml:space="preserve">Enrique de Alba, </w:t>
            </w:r>
            <w:proofErr w:type="gramStart"/>
            <w:r w:rsidRPr="00221B78">
              <w:rPr>
                <w:rFonts w:ascii="Calibri" w:hAnsi="Calibri" w:cs="Calibri"/>
                <w:color w:val="000000" w:themeColor="dark1"/>
                <w:kern w:val="24"/>
                <w:sz w:val="22"/>
                <w:szCs w:val="22"/>
                <w:lang w:val="es-MX"/>
              </w:rPr>
              <w:t>Vicepresidente</w:t>
            </w:r>
            <w:proofErr w:type="gramEnd"/>
            <w:r w:rsidRPr="00221B78">
              <w:rPr>
                <w:rFonts w:ascii="Calibri" w:hAnsi="Calibri" w:cs="Calibri"/>
                <w:color w:val="000000" w:themeColor="dark1"/>
                <w:kern w:val="24"/>
                <w:sz w:val="22"/>
                <w:szCs w:val="22"/>
                <w:lang w:val="es-MX"/>
              </w:rPr>
              <w:t xml:space="preserve"> del INEGI</w:t>
            </w:r>
          </w:p>
        </w:tc>
      </w:tr>
      <w:tr w:rsidR="00FF676F" w14:paraId="114A5A71" w14:textId="77777777" w:rsidTr="00390115">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71245AF0" w14:textId="77777777" w:rsidR="00FF676F" w:rsidRPr="00221B78" w:rsidRDefault="00FF676F"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Integrantes: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1AC19D67" w14:textId="0E2FB93E" w:rsidR="00FF676F" w:rsidRDefault="00FF676F" w:rsidP="00B65CC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Gonzalo Pérez</w:t>
            </w:r>
            <w:r w:rsidR="00E46F52">
              <w:rPr>
                <w:rFonts w:ascii="Calibri" w:hAnsi="Calibri" w:cs="Calibri"/>
                <w:color w:val="000000" w:themeColor="dark1"/>
                <w:kern w:val="24"/>
                <w:sz w:val="22"/>
                <w:szCs w:val="22"/>
                <w:lang w:val="es-MX"/>
              </w:rPr>
              <w:t xml:space="preserve"> de la Cruz</w:t>
            </w:r>
            <w:r>
              <w:rPr>
                <w:rFonts w:ascii="Calibri" w:hAnsi="Calibri" w:cs="Calibri"/>
                <w:color w:val="000000" w:themeColor="dark1"/>
                <w:kern w:val="24"/>
                <w:sz w:val="22"/>
                <w:szCs w:val="22"/>
                <w:lang w:val="es-MX"/>
              </w:rPr>
              <w:t>, Asesor de la Presidencia del INEGI</w:t>
            </w:r>
          </w:p>
          <w:p w14:paraId="2042F39D" w14:textId="564B9920" w:rsidR="00B36BBC" w:rsidRPr="00B36BBC" w:rsidRDefault="00B36BBC" w:rsidP="00B36BBC">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r w:rsidRPr="00B36BBC">
              <w:rPr>
                <w:rFonts w:ascii="Calibri" w:hAnsi="Calibri" w:cs="Calibri"/>
                <w:color w:val="000000" w:themeColor="dark1"/>
                <w:kern w:val="24"/>
                <w:sz w:val="22"/>
                <w:szCs w:val="22"/>
                <w:lang w:val="es-MX"/>
              </w:rPr>
              <w:t xml:space="preserve">Gloria Martha Rubio Soto, </w:t>
            </w:r>
            <w:proofErr w:type="gramStart"/>
            <w:r w:rsidRPr="00B36BBC">
              <w:rPr>
                <w:rFonts w:ascii="Calibri" w:hAnsi="Calibri" w:cs="Calibri"/>
                <w:color w:val="000000" w:themeColor="dark1"/>
                <w:kern w:val="24"/>
                <w:sz w:val="22"/>
                <w:szCs w:val="22"/>
                <w:lang w:val="es-MX"/>
              </w:rPr>
              <w:t>Directora</w:t>
            </w:r>
            <w:proofErr w:type="gramEnd"/>
            <w:r w:rsidRPr="00B36BBC">
              <w:rPr>
                <w:rFonts w:ascii="Calibri" w:hAnsi="Calibri" w:cs="Calibri"/>
                <w:color w:val="000000" w:themeColor="dark1"/>
                <w:kern w:val="24"/>
                <w:sz w:val="22"/>
                <w:szCs w:val="22"/>
                <w:lang w:val="es-MX"/>
              </w:rPr>
              <w:t xml:space="preserve"> de aseguramiento de la calidad</w:t>
            </w:r>
            <w:r w:rsidR="00CB4997">
              <w:rPr>
                <w:rFonts w:ascii="Calibri" w:hAnsi="Calibri" w:cs="Calibri"/>
                <w:color w:val="000000" w:themeColor="dark1"/>
                <w:kern w:val="24"/>
                <w:sz w:val="22"/>
                <w:szCs w:val="22"/>
                <w:lang w:val="es-MX"/>
              </w:rPr>
              <w:t xml:space="preserve"> (DGIAI)</w:t>
            </w:r>
          </w:p>
          <w:p w14:paraId="2F8C7031" w14:textId="77777777" w:rsidR="00FF676F" w:rsidRDefault="00B36BBC" w:rsidP="00B36BBC">
            <w:pPr>
              <w:pStyle w:val="NormalWeb"/>
              <w:numPr>
                <w:ilvl w:val="0"/>
                <w:numId w:val="4"/>
              </w:numPr>
              <w:spacing w:before="0" w:beforeAutospacing="0" w:after="0" w:afterAutospacing="0" w:line="256" w:lineRule="auto"/>
              <w:ind w:left="293" w:hanging="284"/>
              <w:rPr>
                <w:rFonts w:ascii="Calibri" w:hAnsi="Calibri" w:cs="Calibri"/>
                <w:color w:val="000000" w:themeColor="dark1"/>
                <w:kern w:val="24"/>
                <w:sz w:val="22"/>
                <w:szCs w:val="22"/>
                <w:lang w:val="es-MX"/>
              </w:rPr>
            </w:pPr>
            <w:r w:rsidRPr="00B36BBC">
              <w:rPr>
                <w:rFonts w:ascii="Calibri" w:hAnsi="Calibri" w:cs="Calibri"/>
                <w:color w:val="000000" w:themeColor="dark1"/>
                <w:kern w:val="24"/>
                <w:sz w:val="22"/>
                <w:szCs w:val="22"/>
                <w:lang w:val="es-MX"/>
              </w:rPr>
              <w:t>Hugo Reginaldo Correa Bayardo, Departamento de Análisis y Gestión del Subsistema Nacional de Información Demográfica y Social</w:t>
            </w:r>
          </w:p>
          <w:p w14:paraId="5152DC69" w14:textId="7504C5C2" w:rsidR="00B36BBC" w:rsidRPr="00B36BBC" w:rsidRDefault="00B36BBC" w:rsidP="00B36BBC">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r w:rsidRPr="00B36BBC">
              <w:rPr>
                <w:rFonts w:ascii="Calibri" w:hAnsi="Calibri" w:cs="Calibri"/>
                <w:color w:val="000000" w:themeColor="dark1"/>
                <w:kern w:val="24"/>
                <w:sz w:val="22"/>
                <w:szCs w:val="22"/>
                <w:lang w:val="es-MX"/>
              </w:rPr>
              <w:t>Araceli Martínez Gama, Dirección de Marcos y Muestreo</w:t>
            </w:r>
            <w:r w:rsidR="00A60CFF">
              <w:rPr>
                <w:rFonts w:ascii="Calibri" w:hAnsi="Calibri" w:cs="Calibri"/>
                <w:color w:val="000000" w:themeColor="dark1"/>
                <w:kern w:val="24"/>
                <w:sz w:val="22"/>
                <w:szCs w:val="22"/>
                <w:lang w:val="es-MX"/>
              </w:rPr>
              <w:t xml:space="preserve"> (DGEE)</w:t>
            </w:r>
          </w:p>
          <w:p w14:paraId="72DE89D9" w14:textId="77777777" w:rsidR="00B36BBC" w:rsidRPr="00B36BBC" w:rsidRDefault="00B36BBC" w:rsidP="00B36BBC">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r w:rsidRPr="00B36BBC">
              <w:rPr>
                <w:rFonts w:ascii="Calibri" w:hAnsi="Calibri" w:cs="Calibri"/>
                <w:color w:val="000000" w:themeColor="dark1"/>
                <w:kern w:val="24"/>
                <w:sz w:val="22"/>
                <w:szCs w:val="22"/>
                <w:lang w:val="es-MX"/>
              </w:rPr>
              <w:t>José de Jesús Jiménez Martínez, Subdirección de Diseño Estadístico</w:t>
            </w:r>
          </w:p>
          <w:p w14:paraId="5E5B44A3" w14:textId="77777777" w:rsidR="00B36BBC" w:rsidRPr="00B36BBC" w:rsidRDefault="00B36BBC" w:rsidP="00B36BBC">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r w:rsidRPr="00B36BBC">
              <w:rPr>
                <w:rFonts w:ascii="Calibri" w:hAnsi="Calibri" w:cs="Calibri"/>
                <w:color w:val="000000" w:themeColor="dark1"/>
                <w:kern w:val="24"/>
                <w:sz w:val="22"/>
                <w:szCs w:val="22"/>
                <w:lang w:val="es-MX"/>
              </w:rPr>
              <w:t>Sofia Isabel Pérez Gutiérrez, Departamento de Diseño Muestral de Encuestas Continuas</w:t>
            </w:r>
          </w:p>
          <w:p w14:paraId="6E651653" w14:textId="2CC840B8" w:rsidR="00B36BBC" w:rsidRPr="00B36BBC" w:rsidRDefault="00B36BBC" w:rsidP="00B36BBC">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r w:rsidRPr="00B36BBC">
              <w:rPr>
                <w:rFonts w:ascii="Calibri" w:hAnsi="Calibri" w:cs="Calibri"/>
                <w:color w:val="000000" w:themeColor="dark1"/>
                <w:kern w:val="24"/>
                <w:sz w:val="22"/>
                <w:szCs w:val="22"/>
                <w:lang w:val="es-MX"/>
              </w:rPr>
              <w:t>Mario Alberto Santillana Zapata, Dirección General Adjunta de Encuestas Nacionales de Gobierno, Seguridad Pública y Justicia</w:t>
            </w:r>
            <w:r w:rsidR="00A60CFF">
              <w:rPr>
                <w:rFonts w:ascii="Calibri" w:hAnsi="Calibri" w:cs="Calibri"/>
                <w:color w:val="000000" w:themeColor="dark1"/>
                <w:kern w:val="24"/>
                <w:sz w:val="22"/>
                <w:szCs w:val="22"/>
                <w:lang w:val="es-MX"/>
              </w:rPr>
              <w:t xml:space="preserve"> (DGEGSPJ)</w:t>
            </w:r>
          </w:p>
          <w:p w14:paraId="37166AAF" w14:textId="09939665" w:rsidR="00B36BBC" w:rsidRPr="00B36BBC" w:rsidRDefault="00B36BBC" w:rsidP="00B36BBC">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r w:rsidRPr="00B36BBC">
              <w:rPr>
                <w:rFonts w:ascii="Calibri" w:hAnsi="Calibri" w:cs="Calibri"/>
                <w:color w:val="000000" w:themeColor="dark1"/>
                <w:kern w:val="24"/>
                <w:sz w:val="22"/>
                <w:szCs w:val="22"/>
                <w:lang w:val="es-MX"/>
              </w:rPr>
              <w:t>Gerardo Barragán Romero, Subdirección de Diseño Estadístico e Implementación de Encuestas Nacionales de Gobierno</w:t>
            </w:r>
            <w:r w:rsidR="00A60CFF">
              <w:rPr>
                <w:rFonts w:ascii="Calibri" w:hAnsi="Calibri" w:cs="Calibri"/>
                <w:color w:val="000000" w:themeColor="dark1"/>
                <w:kern w:val="24"/>
                <w:sz w:val="22"/>
                <w:szCs w:val="22"/>
                <w:lang w:val="es-MX"/>
              </w:rPr>
              <w:t xml:space="preserve"> (DGEGSPJ)</w:t>
            </w:r>
          </w:p>
          <w:p w14:paraId="72079137" w14:textId="7C915B28" w:rsidR="00B36BBC" w:rsidRPr="00B36BBC" w:rsidRDefault="00B36BBC" w:rsidP="00B36BBC">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r w:rsidRPr="00B36BBC">
              <w:rPr>
                <w:rFonts w:ascii="Calibri" w:hAnsi="Calibri" w:cs="Calibri"/>
                <w:color w:val="000000" w:themeColor="dark1"/>
                <w:kern w:val="24"/>
                <w:sz w:val="22"/>
                <w:szCs w:val="22"/>
                <w:lang w:val="es-MX"/>
              </w:rPr>
              <w:t>Octavio Heredia Hernández, Dirección General Adjunta de Encuestas Sociodemográficas</w:t>
            </w:r>
            <w:r w:rsidR="00A60CFF">
              <w:rPr>
                <w:rFonts w:ascii="Calibri" w:hAnsi="Calibri" w:cs="Calibri"/>
                <w:color w:val="000000" w:themeColor="dark1"/>
                <w:kern w:val="24"/>
                <w:sz w:val="22"/>
                <w:szCs w:val="22"/>
                <w:lang w:val="es-MX"/>
              </w:rPr>
              <w:t xml:space="preserve"> (DGES)</w:t>
            </w:r>
          </w:p>
          <w:p w14:paraId="275ADC6C" w14:textId="036A93E3" w:rsidR="00B36BBC" w:rsidRPr="00B36BBC" w:rsidRDefault="00B36BBC" w:rsidP="00B36BBC">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r w:rsidRPr="00B36BBC">
              <w:rPr>
                <w:rFonts w:ascii="Calibri" w:hAnsi="Calibri" w:cs="Calibri"/>
                <w:color w:val="000000" w:themeColor="dark1"/>
                <w:kern w:val="24"/>
                <w:sz w:val="22"/>
                <w:szCs w:val="22"/>
                <w:lang w:val="es-MX"/>
              </w:rPr>
              <w:t xml:space="preserve">Jaime </w:t>
            </w:r>
            <w:proofErr w:type="spellStart"/>
            <w:r w:rsidRPr="00B36BBC">
              <w:rPr>
                <w:rFonts w:ascii="Calibri" w:hAnsi="Calibri" w:cs="Calibri"/>
                <w:color w:val="000000" w:themeColor="dark1"/>
                <w:kern w:val="24"/>
                <w:sz w:val="22"/>
                <w:szCs w:val="22"/>
                <w:lang w:val="es-MX"/>
              </w:rPr>
              <w:t>Mojíca</w:t>
            </w:r>
            <w:proofErr w:type="spellEnd"/>
            <w:r w:rsidRPr="00B36BBC">
              <w:rPr>
                <w:rFonts w:ascii="Calibri" w:hAnsi="Calibri" w:cs="Calibri"/>
                <w:color w:val="000000" w:themeColor="dark1"/>
                <w:kern w:val="24"/>
                <w:sz w:val="22"/>
                <w:szCs w:val="22"/>
                <w:lang w:val="es-MX"/>
              </w:rPr>
              <w:t xml:space="preserve"> Cuevas, Subdirección de Diseño Muestral de Vivienda</w:t>
            </w:r>
            <w:r w:rsidR="00A60CFF">
              <w:rPr>
                <w:rFonts w:ascii="Calibri" w:hAnsi="Calibri" w:cs="Calibri"/>
                <w:color w:val="000000" w:themeColor="dark1"/>
                <w:kern w:val="24"/>
                <w:sz w:val="22"/>
                <w:szCs w:val="22"/>
                <w:lang w:val="es-MX"/>
              </w:rPr>
              <w:t xml:space="preserve"> (DGES)</w:t>
            </w:r>
          </w:p>
          <w:p w14:paraId="63C6F55F" w14:textId="4D805495" w:rsidR="00B36BBC" w:rsidRPr="00B36BBC" w:rsidRDefault="00B36BBC" w:rsidP="00B36BBC">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proofErr w:type="spellStart"/>
            <w:r w:rsidRPr="00B36BBC">
              <w:rPr>
                <w:rFonts w:ascii="Calibri" w:hAnsi="Calibri" w:cs="Calibri"/>
                <w:color w:val="000000" w:themeColor="dark1"/>
                <w:kern w:val="24"/>
                <w:sz w:val="22"/>
                <w:szCs w:val="22"/>
                <w:lang w:val="es-MX"/>
              </w:rPr>
              <w:t>Noriki</w:t>
            </w:r>
            <w:proofErr w:type="spellEnd"/>
            <w:r w:rsidRPr="00B36BBC">
              <w:rPr>
                <w:rFonts w:ascii="Calibri" w:hAnsi="Calibri" w:cs="Calibri"/>
                <w:color w:val="000000" w:themeColor="dark1"/>
                <w:kern w:val="24"/>
                <w:sz w:val="22"/>
                <w:szCs w:val="22"/>
                <w:lang w:val="es-MX"/>
              </w:rPr>
              <w:t xml:space="preserve"> Armando Ibarra Medina, Departamento de Selección y Control de Muestras Regulares</w:t>
            </w:r>
            <w:r w:rsidR="00A60CFF">
              <w:rPr>
                <w:rFonts w:ascii="Calibri" w:hAnsi="Calibri" w:cs="Calibri"/>
                <w:color w:val="000000" w:themeColor="dark1"/>
                <w:kern w:val="24"/>
                <w:sz w:val="22"/>
                <w:szCs w:val="22"/>
                <w:lang w:val="es-MX"/>
              </w:rPr>
              <w:t xml:space="preserve"> (DGES)</w:t>
            </w:r>
          </w:p>
          <w:p w14:paraId="62C02B0E" w14:textId="26236133" w:rsidR="00B36BBC" w:rsidRPr="00B36BBC" w:rsidRDefault="00B36BBC" w:rsidP="00B36BBC">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r w:rsidRPr="00B36BBC">
              <w:rPr>
                <w:rFonts w:ascii="Calibri" w:hAnsi="Calibri" w:cs="Calibri"/>
                <w:color w:val="000000" w:themeColor="dark1"/>
                <w:kern w:val="24"/>
                <w:sz w:val="22"/>
                <w:szCs w:val="22"/>
                <w:lang w:val="es-MX"/>
              </w:rPr>
              <w:t>Fabián García Montaño, Subdirección de Planeación, Análisis y Seguimiento</w:t>
            </w:r>
            <w:r w:rsidR="00A60CFF">
              <w:rPr>
                <w:rFonts w:ascii="Calibri" w:hAnsi="Calibri" w:cs="Calibri"/>
                <w:color w:val="000000" w:themeColor="dark1"/>
                <w:kern w:val="24"/>
                <w:sz w:val="22"/>
                <w:szCs w:val="22"/>
                <w:lang w:val="es-MX"/>
              </w:rPr>
              <w:t xml:space="preserve"> (DGGMA)</w:t>
            </w:r>
          </w:p>
          <w:p w14:paraId="67ADCACF" w14:textId="685C33A5" w:rsidR="00B36BBC" w:rsidRPr="00221B78" w:rsidRDefault="00B36BBC" w:rsidP="00B36BBC">
            <w:pPr>
              <w:pStyle w:val="NormalWeb"/>
              <w:numPr>
                <w:ilvl w:val="0"/>
                <w:numId w:val="4"/>
              </w:numPr>
              <w:spacing w:before="0" w:beforeAutospacing="0" w:after="0" w:afterAutospacing="0" w:line="256" w:lineRule="auto"/>
              <w:ind w:left="293" w:hanging="284"/>
              <w:rPr>
                <w:rFonts w:ascii="Calibri" w:hAnsi="Calibri" w:cs="Calibri"/>
                <w:color w:val="000000" w:themeColor="dark1"/>
                <w:kern w:val="24"/>
                <w:sz w:val="22"/>
                <w:szCs w:val="22"/>
                <w:lang w:val="es-MX"/>
              </w:rPr>
            </w:pPr>
            <w:proofErr w:type="spellStart"/>
            <w:r w:rsidRPr="00B36BBC">
              <w:rPr>
                <w:rFonts w:ascii="Calibri" w:hAnsi="Calibri" w:cs="Calibri"/>
                <w:color w:val="000000" w:themeColor="dark1"/>
                <w:kern w:val="24"/>
                <w:sz w:val="22"/>
                <w:szCs w:val="22"/>
                <w:lang w:val="es-MX"/>
              </w:rPr>
              <w:t>Hortencia</w:t>
            </w:r>
            <w:proofErr w:type="spellEnd"/>
            <w:r w:rsidRPr="00B36BBC">
              <w:rPr>
                <w:rFonts w:ascii="Calibri" w:hAnsi="Calibri" w:cs="Calibri"/>
                <w:color w:val="000000" w:themeColor="dark1"/>
                <w:kern w:val="24"/>
                <w:sz w:val="22"/>
                <w:szCs w:val="22"/>
                <w:lang w:val="es-MX"/>
              </w:rPr>
              <w:t xml:space="preserve"> Medina Uribe, Subdirección de Estadísticas Ambientales en Actividades Económicas y Hogares</w:t>
            </w:r>
            <w:r w:rsidR="00A60CFF">
              <w:rPr>
                <w:rFonts w:ascii="Calibri" w:hAnsi="Calibri" w:cs="Calibri"/>
                <w:color w:val="000000" w:themeColor="dark1"/>
                <w:kern w:val="24"/>
                <w:sz w:val="22"/>
                <w:szCs w:val="22"/>
                <w:lang w:val="es-MX"/>
              </w:rPr>
              <w:t xml:space="preserve"> (DGGMA)</w:t>
            </w:r>
          </w:p>
        </w:tc>
      </w:tr>
      <w:tr w:rsidR="00FF676F" w14:paraId="67EEC0B0" w14:textId="77777777" w:rsidTr="00390115">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6C7C6DED" w14:textId="2AB53458" w:rsidR="00FF676F" w:rsidRPr="00221B78" w:rsidRDefault="0065325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Acuerdos del </w:t>
            </w:r>
            <w:proofErr w:type="spellStart"/>
            <w:r>
              <w:rPr>
                <w:rFonts w:ascii="Calibri" w:hAnsi="Calibri" w:cs="Calibri"/>
                <w:color w:val="000000" w:themeColor="dark1"/>
                <w:kern w:val="24"/>
                <w:sz w:val="22"/>
                <w:szCs w:val="22"/>
                <w:lang w:val="es-MX"/>
              </w:rPr>
              <w:t>CoAC</w:t>
            </w:r>
            <w:proofErr w:type="spellEnd"/>
            <w:r>
              <w:rPr>
                <w:rFonts w:ascii="Calibri" w:hAnsi="Calibri" w:cs="Calibri"/>
                <w:color w:val="000000" w:themeColor="dark1"/>
                <w:kern w:val="24"/>
                <w:sz w:val="22"/>
                <w:szCs w:val="22"/>
                <w:lang w:val="es-MX"/>
              </w:rPr>
              <w:t xml:space="preserve"> relacionados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C9204DF" w14:textId="77777777" w:rsidR="00FF676F" w:rsidRDefault="00FF676F"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E91C48">
              <w:rPr>
                <w:rFonts w:ascii="Calibri" w:hAnsi="Calibri" w:cs="Calibri"/>
                <w:b/>
                <w:color w:val="000000" w:themeColor="dark1"/>
                <w:kern w:val="24"/>
                <w:sz w:val="22"/>
                <w:szCs w:val="22"/>
                <w:lang w:val="es-MX"/>
              </w:rPr>
              <w:t>CAC-008/01/2016:</w:t>
            </w:r>
            <w:r w:rsidRPr="00221B78">
              <w:rPr>
                <w:rFonts w:ascii="Calibri" w:hAnsi="Calibri" w:cs="Calibri"/>
                <w:color w:val="000000" w:themeColor="dark1"/>
                <w:kern w:val="24"/>
                <w:sz w:val="22"/>
                <w:szCs w:val="22"/>
                <w:lang w:val="es-MX"/>
              </w:rPr>
              <w:t xml:space="preserve"> </w:t>
            </w:r>
            <w:r w:rsidRPr="00D87791">
              <w:rPr>
                <w:rFonts w:ascii="Calibri" w:hAnsi="Calibri" w:cs="Calibri"/>
                <w:color w:val="000000" w:themeColor="dark1"/>
                <w:kern w:val="24"/>
                <w:sz w:val="22"/>
                <w:szCs w:val="22"/>
                <w:lang w:val="es-MX"/>
              </w:rPr>
              <w:t>Aprobación del grupo de trabajo “Indicadores de calidad de precisión y confiabilidad, coherencia y comparabilidad”</w:t>
            </w:r>
            <w:r>
              <w:rPr>
                <w:rFonts w:ascii="Calibri" w:hAnsi="Calibri" w:cs="Calibri"/>
                <w:color w:val="000000" w:themeColor="dark1"/>
                <w:kern w:val="24"/>
                <w:sz w:val="22"/>
                <w:szCs w:val="22"/>
                <w:lang w:val="es-MX"/>
              </w:rPr>
              <w:t>.</w:t>
            </w:r>
          </w:p>
          <w:p w14:paraId="08D1CEE2" w14:textId="77777777" w:rsidR="00FF676F" w:rsidRDefault="00FF676F"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2648AD5D" w14:textId="6F45366B" w:rsidR="00FF676F" w:rsidRDefault="00E007A8"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4B616D">
              <w:rPr>
                <w:rFonts w:ascii="Calibri" w:hAnsi="Calibri" w:cs="Calibri"/>
                <w:b/>
                <w:bCs/>
                <w:color w:val="000000" w:themeColor="dark1"/>
                <w:kern w:val="24"/>
                <w:sz w:val="22"/>
                <w:szCs w:val="22"/>
                <w:lang w:val="es-MX"/>
              </w:rPr>
              <w:t>CAC-004/03/2017:</w:t>
            </w:r>
            <w:r>
              <w:rPr>
                <w:rFonts w:ascii="Calibri" w:hAnsi="Calibri" w:cs="Calibri"/>
                <w:color w:val="000000" w:themeColor="dark1"/>
                <w:kern w:val="24"/>
                <w:sz w:val="22"/>
                <w:szCs w:val="22"/>
                <w:lang w:val="es-MX"/>
              </w:rPr>
              <w:t xml:space="preserve"> </w:t>
            </w:r>
            <w:r w:rsidRPr="00E007A8">
              <w:rPr>
                <w:rFonts w:ascii="Calibri" w:hAnsi="Calibri" w:cs="Calibri"/>
                <w:color w:val="000000" w:themeColor="dark1"/>
                <w:kern w:val="24"/>
                <w:sz w:val="22"/>
                <w:szCs w:val="22"/>
                <w:lang w:val="es-MX"/>
              </w:rPr>
              <w:t>Se aprobaron los 12 indicadores de calidad propuestos, conforme a las especificaciones de las fichas técnicas</w:t>
            </w:r>
          </w:p>
          <w:p w14:paraId="4D2F955D" w14:textId="5DDFFE91" w:rsidR="00FF676F" w:rsidRDefault="00FF676F"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7535DC03" w14:textId="711FBA7B" w:rsidR="003F0863" w:rsidRDefault="003F086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4B616D">
              <w:rPr>
                <w:rFonts w:ascii="Calibri" w:hAnsi="Calibri" w:cs="Calibri"/>
                <w:b/>
                <w:bCs/>
                <w:color w:val="000000" w:themeColor="dark1"/>
                <w:kern w:val="24"/>
                <w:sz w:val="22"/>
                <w:szCs w:val="22"/>
                <w:lang w:val="es-MX"/>
              </w:rPr>
              <w:t>CAC-005/04/2017:</w:t>
            </w:r>
            <w:r>
              <w:rPr>
                <w:rFonts w:ascii="Calibri" w:hAnsi="Calibri" w:cs="Calibri"/>
                <w:color w:val="000000" w:themeColor="dark1"/>
                <w:kern w:val="24"/>
                <w:sz w:val="22"/>
                <w:szCs w:val="22"/>
                <w:lang w:val="es-MX"/>
              </w:rPr>
              <w:t xml:space="preserve"> </w:t>
            </w:r>
            <w:r w:rsidRPr="003F0863">
              <w:rPr>
                <w:rFonts w:ascii="Calibri" w:hAnsi="Calibri" w:cs="Calibri"/>
                <w:color w:val="000000" w:themeColor="dark1"/>
                <w:kern w:val="24"/>
                <w:sz w:val="22"/>
                <w:szCs w:val="22"/>
                <w:lang w:val="es-MX"/>
              </w:rPr>
              <w:t xml:space="preserve">El Comité aprobó que se presente en la siguiente sesión una tercera propuesta sobre los valores de referencia para el Coeficiente de Variación (CV) con un umbral único de 30% en la que se incluya el texto explicativo del valor de referencia, los colores que se utilizarían en la semaforización y se compare con un análisis más detallado de la experiencia internacional.  </w:t>
            </w:r>
          </w:p>
          <w:p w14:paraId="6941F6B2" w14:textId="22A1E7CD" w:rsidR="003F0863" w:rsidRDefault="003F086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384674D8" w14:textId="2FFDFF4C" w:rsidR="003F0863" w:rsidRDefault="003F086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4B616D">
              <w:rPr>
                <w:rFonts w:ascii="Calibri" w:hAnsi="Calibri" w:cs="Calibri"/>
                <w:b/>
                <w:bCs/>
                <w:color w:val="000000" w:themeColor="dark1"/>
                <w:kern w:val="24"/>
                <w:sz w:val="22"/>
                <w:szCs w:val="22"/>
                <w:lang w:val="es-MX"/>
              </w:rPr>
              <w:t>CAC-006/04/2017:</w:t>
            </w:r>
            <w:r>
              <w:rPr>
                <w:rFonts w:ascii="Calibri" w:hAnsi="Calibri" w:cs="Calibri"/>
                <w:color w:val="000000" w:themeColor="dark1"/>
                <w:kern w:val="24"/>
                <w:sz w:val="22"/>
                <w:szCs w:val="22"/>
                <w:lang w:val="es-MX"/>
              </w:rPr>
              <w:t xml:space="preserve"> </w:t>
            </w:r>
            <w:r w:rsidRPr="003F0863">
              <w:rPr>
                <w:rFonts w:ascii="Calibri" w:hAnsi="Calibri" w:cs="Calibri"/>
                <w:color w:val="000000" w:themeColor="dark1"/>
                <w:kern w:val="24"/>
                <w:sz w:val="22"/>
                <w:szCs w:val="22"/>
                <w:lang w:val="es-MX"/>
              </w:rPr>
              <w:t xml:space="preserve">Se aprobó que el valor del CV sea publicado, junto con el error estándar y el intervalo de confianza, conforme a las especificaciones de las fichas técnicas aprobadas, para permitir a los usuarios especializados realizar su propia interpretación.  </w:t>
            </w:r>
          </w:p>
          <w:p w14:paraId="3E37DD60" w14:textId="003492C1" w:rsidR="003F0863" w:rsidRDefault="003F086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7BEEB8A5" w14:textId="04834FFD" w:rsidR="003F0863" w:rsidRDefault="003F086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4B616D">
              <w:rPr>
                <w:rFonts w:ascii="Calibri" w:hAnsi="Calibri" w:cs="Calibri"/>
                <w:b/>
                <w:bCs/>
                <w:color w:val="000000" w:themeColor="dark1"/>
                <w:kern w:val="24"/>
                <w:sz w:val="22"/>
                <w:szCs w:val="22"/>
                <w:lang w:val="es-MX"/>
              </w:rPr>
              <w:t>CAC-007/04/2017:</w:t>
            </w:r>
            <w:r>
              <w:rPr>
                <w:rFonts w:ascii="Calibri" w:hAnsi="Calibri" w:cs="Calibri"/>
                <w:color w:val="000000" w:themeColor="dark1"/>
                <w:kern w:val="24"/>
                <w:sz w:val="22"/>
                <w:szCs w:val="22"/>
                <w:lang w:val="es-MX"/>
              </w:rPr>
              <w:t xml:space="preserve"> </w:t>
            </w:r>
            <w:r w:rsidRPr="003F0863">
              <w:rPr>
                <w:rFonts w:ascii="Calibri" w:hAnsi="Calibri" w:cs="Calibri"/>
                <w:color w:val="000000" w:themeColor="dark1"/>
                <w:kern w:val="24"/>
                <w:sz w:val="22"/>
                <w:szCs w:val="22"/>
                <w:lang w:val="es-MX"/>
              </w:rPr>
              <w:t>El Comité solicitó a la Dirección General de Estadísticas Económicas actualice la revisión de la experiencia internacional sobre valores de referencia para el indicador de cobertura de la variable de diseño en proyectos con muestreo no probabilístico y elabore una propuesta de umbral único.</w:t>
            </w:r>
          </w:p>
          <w:p w14:paraId="3CA05BB3" w14:textId="6EEAC41B" w:rsidR="003F0863" w:rsidRDefault="003F086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3F723718" w14:textId="0AD59008" w:rsidR="003F0863" w:rsidRDefault="003F086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4B616D">
              <w:rPr>
                <w:rFonts w:ascii="Calibri" w:hAnsi="Calibri" w:cs="Calibri"/>
                <w:b/>
                <w:bCs/>
                <w:color w:val="000000" w:themeColor="dark1"/>
                <w:kern w:val="24"/>
                <w:sz w:val="22"/>
                <w:szCs w:val="22"/>
                <w:lang w:val="es-MX"/>
              </w:rPr>
              <w:t>CAC-008/04/2017:</w:t>
            </w:r>
            <w:r>
              <w:rPr>
                <w:rFonts w:ascii="Calibri" w:hAnsi="Calibri" w:cs="Calibri"/>
                <w:color w:val="000000" w:themeColor="dark1"/>
                <w:kern w:val="24"/>
                <w:sz w:val="22"/>
                <w:szCs w:val="22"/>
                <w:lang w:val="es-MX"/>
              </w:rPr>
              <w:t xml:space="preserve"> </w:t>
            </w:r>
            <w:r w:rsidRPr="003F0863">
              <w:rPr>
                <w:rFonts w:ascii="Calibri" w:hAnsi="Calibri" w:cs="Calibri"/>
                <w:color w:val="000000" w:themeColor="dark1"/>
                <w:kern w:val="24"/>
                <w:sz w:val="22"/>
                <w:szCs w:val="22"/>
                <w:lang w:val="es-MX"/>
              </w:rPr>
              <w:t>Se aprobó el cálculo para uso interno de la tasa de no respuesta antes de imputación a nivel unidad de observación para los proyectos con muestreo, conforme a las especificaciones de la nueva ficha técnica. En cuanto a la tasa de no respuesta antes de imputación para cada variable principal, el Grupo de Trabajo deberá realizar una propuesta de implementación para el caso de proyectos con muestreo. Finalmente, en cuanto a la tasa de no respuesta para proyectos censales y registros administrativos, se realizará la presentación de resultados sobre la factibilidad de su cálculo estandarizado en el 2018.</w:t>
            </w:r>
          </w:p>
          <w:p w14:paraId="3E0349F0" w14:textId="23A0EA3E" w:rsidR="003F0863" w:rsidRDefault="003F086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6F470E88" w14:textId="0226F7B6" w:rsidR="007E587C" w:rsidRDefault="007E587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4B616D">
              <w:rPr>
                <w:rFonts w:ascii="Calibri" w:hAnsi="Calibri" w:cs="Calibri"/>
                <w:b/>
                <w:bCs/>
                <w:color w:val="000000" w:themeColor="dark1"/>
                <w:kern w:val="24"/>
                <w:sz w:val="22"/>
                <w:szCs w:val="22"/>
                <w:lang w:val="es-MX"/>
              </w:rPr>
              <w:t>CAC-006/01/2018:</w:t>
            </w:r>
            <w:r>
              <w:rPr>
                <w:rFonts w:ascii="Calibri" w:hAnsi="Calibri" w:cs="Calibri"/>
                <w:color w:val="000000" w:themeColor="dark1"/>
                <w:kern w:val="24"/>
                <w:sz w:val="22"/>
                <w:szCs w:val="22"/>
                <w:lang w:val="es-MX"/>
              </w:rPr>
              <w:t xml:space="preserve"> </w:t>
            </w:r>
            <w:r w:rsidRPr="007E587C">
              <w:rPr>
                <w:rFonts w:ascii="Calibri" w:hAnsi="Calibri" w:cs="Calibri"/>
                <w:color w:val="000000" w:themeColor="dark1"/>
                <w:kern w:val="24"/>
                <w:sz w:val="22"/>
                <w:szCs w:val="22"/>
                <w:lang w:val="es-MX"/>
              </w:rPr>
              <w:t>Se aprobaron los umbrales y especificaciones para la publicación en los tabulados del CV, conforme a lo establecido en el acta de la sesión.</w:t>
            </w:r>
          </w:p>
          <w:p w14:paraId="2BF9B0A0" w14:textId="24F9A3C0" w:rsidR="007E587C" w:rsidRDefault="007E587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180BBB05" w14:textId="2D676FBE" w:rsidR="007E587C" w:rsidRDefault="007E587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4B616D">
              <w:rPr>
                <w:rFonts w:ascii="Calibri" w:hAnsi="Calibri" w:cs="Calibri"/>
                <w:b/>
                <w:bCs/>
                <w:color w:val="000000" w:themeColor="dark1"/>
                <w:kern w:val="24"/>
                <w:sz w:val="22"/>
                <w:szCs w:val="22"/>
                <w:lang w:val="es-MX"/>
              </w:rPr>
              <w:t>CAC-007/01/2018:</w:t>
            </w:r>
            <w:r>
              <w:rPr>
                <w:rFonts w:ascii="Calibri" w:hAnsi="Calibri" w:cs="Calibri"/>
                <w:color w:val="000000" w:themeColor="dark1"/>
                <w:kern w:val="24"/>
                <w:sz w:val="22"/>
                <w:szCs w:val="22"/>
                <w:lang w:val="es-MX"/>
              </w:rPr>
              <w:t xml:space="preserve"> </w:t>
            </w:r>
            <w:r w:rsidRPr="007E587C">
              <w:rPr>
                <w:rFonts w:ascii="Calibri" w:hAnsi="Calibri" w:cs="Calibri"/>
                <w:color w:val="000000" w:themeColor="dark1"/>
                <w:kern w:val="24"/>
                <w:sz w:val="22"/>
                <w:szCs w:val="22"/>
                <w:lang w:val="es-MX"/>
              </w:rPr>
              <w:t>Se aprobaron los umbrales y especificaciones para la publicación en los tabulados de la cobertura de la variable de diseño, conforme a lo establecido en el acta de la sesión.</w:t>
            </w:r>
          </w:p>
          <w:p w14:paraId="50688F48" w14:textId="74369AEC" w:rsidR="003F0863" w:rsidRDefault="003F0863"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32F8283A" w14:textId="77777777" w:rsidR="007E587C" w:rsidRPr="007E587C" w:rsidRDefault="007E587C" w:rsidP="007E587C">
            <w:pPr>
              <w:pStyle w:val="NormalWeb"/>
              <w:spacing w:before="0" w:beforeAutospacing="0" w:after="0" w:afterAutospacing="0" w:line="257" w:lineRule="auto"/>
              <w:rPr>
                <w:rFonts w:ascii="Calibri" w:hAnsi="Calibri" w:cs="Calibri"/>
                <w:color w:val="000000" w:themeColor="dark1"/>
                <w:kern w:val="24"/>
                <w:sz w:val="22"/>
                <w:szCs w:val="22"/>
                <w:lang w:val="es-MX"/>
              </w:rPr>
            </w:pPr>
            <w:r w:rsidRPr="004B616D">
              <w:rPr>
                <w:rFonts w:ascii="Calibri" w:hAnsi="Calibri" w:cs="Calibri"/>
                <w:b/>
                <w:bCs/>
                <w:color w:val="000000" w:themeColor="dark1"/>
                <w:kern w:val="24"/>
                <w:sz w:val="22"/>
                <w:szCs w:val="22"/>
                <w:lang w:val="es-MX"/>
              </w:rPr>
              <w:t>CAC-005/02/2018:</w:t>
            </w:r>
            <w:r>
              <w:rPr>
                <w:rFonts w:ascii="Calibri" w:hAnsi="Calibri" w:cs="Calibri"/>
                <w:color w:val="000000" w:themeColor="dark1"/>
                <w:kern w:val="24"/>
                <w:sz w:val="22"/>
                <w:szCs w:val="22"/>
                <w:lang w:val="es-MX"/>
              </w:rPr>
              <w:t xml:space="preserve"> </w:t>
            </w:r>
            <w:r w:rsidRPr="007E587C">
              <w:rPr>
                <w:rFonts w:ascii="Calibri" w:hAnsi="Calibri" w:cs="Calibri"/>
                <w:color w:val="000000" w:themeColor="dark1"/>
                <w:kern w:val="24"/>
                <w:sz w:val="22"/>
                <w:szCs w:val="22"/>
                <w:lang w:val="es-MX"/>
              </w:rPr>
              <w:t>Se aprueban los siguientes 4 indicadores de precisión y confiabilidad para uso interno para los Programas con muestreo:</w:t>
            </w:r>
          </w:p>
          <w:p w14:paraId="752BF66F" w14:textId="77777777" w:rsidR="007E587C" w:rsidRPr="007E587C" w:rsidRDefault="007E587C" w:rsidP="007E587C">
            <w:pPr>
              <w:pStyle w:val="NormalWeb"/>
              <w:spacing w:before="0" w:beforeAutospacing="0" w:after="0" w:afterAutospacing="0" w:line="257" w:lineRule="auto"/>
              <w:rPr>
                <w:rFonts w:ascii="Calibri" w:hAnsi="Calibri" w:cs="Calibri"/>
                <w:color w:val="000000" w:themeColor="dark1"/>
                <w:kern w:val="24"/>
                <w:sz w:val="22"/>
                <w:szCs w:val="22"/>
                <w:lang w:val="es-MX"/>
              </w:rPr>
            </w:pPr>
            <w:r w:rsidRPr="007E587C">
              <w:rPr>
                <w:rFonts w:ascii="Calibri" w:hAnsi="Calibri" w:cs="Calibri"/>
                <w:color w:val="000000" w:themeColor="dark1"/>
                <w:kern w:val="24"/>
                <w:sz w:val="22"/>
                <w:szCs w:val="22"/>
                <w:lang w:val="es-MX"/>
              </w:rPr>
              <w:t>1. Tasa de no respuesta después de imputación a nivel unidad de observación.</w:t>
            </w:r>
          </w:p>
          <w:p w14:paraId="3299F776" w14:textId="77777777" w:rsidR="007E587C" w:rsidRPr="007E587C" w:rsidRDefault="007E587C" w:rsidP="007E587C">
            <w:pPr>
              <w:pStyle w:val="NormalWeb"/>
              <w:spacing w:before="0" w:beforeAutospacing="0" w:after="0" w:afterAutospacing="0" w:line="257" w:lineRule="auto"/>
              <w:rPr>
                <w:rFonts w:ascii="Calibri" w:hAnsi="Calibri" w:cs="Calibri"/>
                <w:color w:val="000000" w:themeColor="dark1"/>
                <w:kern w:val="24"/>
                <w:sz w:val="22"/>
                <w:szCs w:val="22"/>
                <w:lang w:val="es-MX"/>
              </w:rPr>
            </w:pPr>
            <w:r w:rsidRPr="007E587C">
              <w:rPr>
                <w:rFonts w:ascii="Calibri" w:hAnsi="Calibri" w:cs="Calibri"/>
                <w:color w:val="000000" w:themeColor="dark1"/>
                <w:kern w:val="24"/>
                <w:sz w:val="22"/>
                <w:szCs w:val="22"/>
                <w:lang w:val="es-MX"/>
              </w:rPr>
              <w:t>2. Tasa de imputación a nivel unidad de observación.</w:t>
            </w:r>
          </w:p>
          <w:p w14:paraId="57B73C83" w14:textId="77777777" w:rsidR="007E587C" w:rsidRPr="007E587C" w:rsidRDefault="007E587C" w:rsidP="007E587C">
            <w:pPr>
              <w:pStyle w:val="NormalWeb"/>
              <w:spacing w:before="0" w:beforeAutospacing="0" w:after="0" w:afterAutospacing="0" w:line="257" w:lineRule="auto"/>
              <w:rPr>
                <w:rFonts w:ascii="Calibri" w:hAnsi="Calibri" w:cs="Calibri"/>
                <w:color w:val="000000" w:themeColor="dark1"/>
                <w:kern w:val="24"/>
                <w:sz w:val="22"/>
                <w:szCs w:val="22"/>
                <w:lang w:val="es-MX"/>
              </w:rPr>
            </w:pPr>
            <w:r w:rsidRPr="007E587C">
              <w:rPr>
                <w:rFonts w:ascii="Calibri" w:hAnsi="Calibri" w:cs="Calibri"/>
                <w:color w:val="000000" w:themeColor="dark1"/>
                <w:kern w:val="24"/>
                <w:sz w:val="22"/>
                <w:szCs w:val="22"/>
                <w:lang w:val="es-MX"/>
              </w:rPr>
              <w:t xml:space="preserve">3. Tasa de </w:t>
            </w:r>
            <w:proofErr w:type="spellStart"/>
            <w:r w:rsidRPr="007E587C">
              <w:rPr>
                <w:rFonts w:ascii="Calibri" w:hAnsi="Calibri" w:cs="Calibri"/>
                <w:color w:val="000000" w:themeColor="dark1"/>
                <w:kern w:val="24"/>
                <w:sz w:val="22"/>
                <w:szCs w:val="22"/>
                <w:lang w:val="es-MX"/>
              </w:rPr>
              <w:t>sobre-cobertura</w:t>
            </w:r>
            <w:proofErr w:type="spellEnd"/>
            <w:r w:rsidRPr="007E587C">
              <w:rPr>
                <w:rFonts w:ascii="Calibri" w:hAnsi="Calibri" w:cs="Calibri"/>
                <w:color w:val="000000" w:themeColor="dark1"/>
                <w:kern w:val="24"/>
                <w:sz w:val="22"/>
                <w:szCs w:val="22"/>
                <w:lang w:val="es-MX"/>
              </w:rPr>
              <w:t xml:space="preserve"> a nivel unidad de observación.</w:t>
            </w:r>
          </w:p>
          <w:p w14:paraId="2B9954D8" w14:textId="77777777" w:rsidR="007E587C" w:rsidRPr="007E587C" w:rsidRDefault="007E587C" w:rsidP="007E587C">
            <w:pPr>
              <w:pStyle w:val="NormalWeb"/>
              <w:spacing w:before="0" w:beforeAutospacing="0" w:after="0" w:afterAutospacing="0" w:line="257" w:lineRule="auto"/>
              <w:rPr>
                <w:rFonts w:ascii="Calibri" w:hAnsi="Calibri" w:cs="Calibri"/>
                <w:color w:val="000000" w:themeColor="dark1"/>
                <w:kern w:val="24"/>
                <w:sz w:val="22"/>
                <w:szCs w:val="22"/>
                <w:lang w:val="es-MX"/>
              </w:rPr>
            </w:pPr>
            <w:r w:rsidRPr="007E587C">
              <w:rPr>
                <w:rFonts w:ascii="Calibri" w:hAnsi="Calibri" w:cs="Calibri"/>
                <w:color w:val="000000" w:themeColor="dark1"/>
                <w:kern w:val="24"/>
                <w:sz w:val="22"/>
                <w:szCs w:val="22"/>
                <w:lang w:val="es-MX"/>
              </w:rPr>
              <w:t>4. Tasa de cumplimiento de la muestra mínima antes de imputación a nivel unidad de observación.</w:t>
            </w:r>
          </w:p>
          <w:p w14:paraId="6DE233D6" w14:textId="3458A17C" w:rsidR="007E587C" w:rsidRDefault="007E587C" w:rsidP="007E587C">
            <w:pPr>
              <w:pStyle w:val="NormalWeb"/>
              <w:spacing w:before="0" w:beforeAutospacing="0" w:after="0" w:afterAutospacing="0" w:line="257" w:lineRule="auto"/>
              <w:rPr>
                <w:rFonts w:ascii="Calibri" w:hAnsi="Calibri" w:cs="Calibri"/>
                <w:color w:val="000000" w:themeColor="dark1"/>
                <w:kern w:val="24"/>
                <w:sz w:val="22"/>
                <w:szCs w:val="22"/>
                <w:lang w:val="es-MX"/>
              </w:rPr>
            </w:pPr>
            <w:r w:rsidRPr="007E587C">
              <w:rPr>
                <w:rFonts w:ascii="Calibri" w:hAnsi="Calibri" w:cs="Calibri"/>
                <w:color w:val="000000" w:themeColor="dark1"/>
                <w:kern w:val="24"/>
                <w:sz w:val="22"/>
                <w:szCs w:val="22"/>
                <w:lang w:val="es-MX"/>
              </w:rPr>
              <w:t>Los indicadores enlistados se deberán reportar en los metadatos de cada programa y se calcularán conforme a las especificaciones de las Fichas Técnicas.</w:t>
            </w:r>
          </w:p>
          <w:p w14:paraId="5D718B02" w14:textId="4B7CBDB6" w:rsidR="007E587C" w:rsidRPr="00221B78" w:rsidRDefault="007E587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tc>
      </w:tr>
      <w:tr w:rsidR="00FF676F" w:rsidRPr="007521FA" w14:paraId="1110141E" w14:textId="77777777" w:rsidTr="00390115">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4D630E88" w14:textId="77777777" w:rsidR="00FF676F" w:rsidRPr="00221B78" w:rsidRDefault="00FF676F"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lastRenderedPageBreak/>
              <w:t>Documentos de interés:</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4C118CDE" w14:textId="77777777" w:rsidR="00FF676F" w:rsidRDefault="008C6642" w:rsidP="00B65CC7">
            <w:pPr>
              <w:pStyle w:val="Default"/>
              <w:numPr>
                <w:ilvl w:val="0"/>
                <w:numId w:val="5"/>
              </w:numPr>
              <w:ind w:left="324" w:hanging="324"/>
              <w:rPr>
                <w:rFonts w:ascii="Calibri" w:eastAsia="Calibri" w:hAnsi="Calibri"/>
                <w:color w:val="000000" w:themeColor="dark1"/>
                <w:kern w:val="24"/>
                <w:sz w:val="22"/>
                <w:szCs w:val="22"/>
                <w:lang w:val="es-MX"/>
              </w:rPr>
            </w:pPr>
            <w:r w:rsidRPr="008C6642">
              <w:rPr>
                <w:rFonts w:ascii="Calibri" w:eastAsia="Calibri" w:hAnsi="Calibri"/>
                <w:color w:val="000000" w:themeColor="dark1"/>
                <w:kern w:val="24"/>
                <w:sz w:val="22"/>
                <w:szCs w:val="22"/>
                <w:lang w:val="es-MX"/>
              </w:rPr>
              <w:t>Cochran William, Técnicas de Muestreo, 1991</w:t>
            </w:r>
          </w:p>
          <w:p w14:paraId="0707C498" w14:textId="77777777" w:rsidR="008C6642" w:rsidRDefault="008C6642" w:rsidP="00B65CC7">
            <w:pPr>
              <w:pStyle w:val="Default"/>
              <w:numPr>
                <w:ilvl w:val="0"/>
                <w:numId w:val="5"/>
              </w:numPr>
              <w:ind w:left="324" w:hanging="324"/>
              <w:rPr>
                <w:rFonts w:ascii="Calibri" w:eastAsia="Calibri" w:hAnsi="Calibri"/>
                <w:color w:val="000000" w:themeColor="dark1"/>
                <w:kern w:val="24"/>
                <w:sz w:val="22"/>
                <w:szCs w:val="22"/>
                <w:lang w:val="es-MX"/>
              </w:rPr>
            </w:pPr>
            <w:proofErr w:type="spellStart"/>
            <w:r w:rsidRPr="008C6642">
              <w:rPr>
                <w:rFonts w:ascii="Calibri" w:eastAsia="Calibri" w:hAnsi="Calibri"/>
                <w:color w:val="000000" w:themeColor="dark1"/>
                <w:kern w:val="24"/>
                <w:sz w:val="22"/>
                <w:szCs w:val="22"/>
                <w:lang w:val="es-MX"/>
              </w:rPr>
              <w:t>Kish</w:t>
            </w:r>
            <w:proofErr w:type="spellEnd"/>
            <w:r w:rsidRPr="008C6642">
              <w:rPr>
                <w:rFonts w:ascii="Calibri" w:eastAsia="Calibri" w:hAnsi="Calibri"/>
                <w:color w:val="000000" w:themeColor="dark1"/>
                <w:kern w:val="24"/>
                <w:sz w:val="22"/>
                <w:szCs w:val="22"/>
                <w:lang w:val="es-MX"/>
              </w:rPr>
              <w:t xml:space="preserve"> Leslie</w:t>
            </w:r>
            <w:r>
              <w:rPr>
                <w:rFonts w:ascii="Calibri" w:eastAsia="Calibri" w:hAnsi="Calibri"/>
                <w:color w:val="000000" w:themeColor="dark1"/>
                <w:kern w:val="24"/>
                <w:sz w:val="22"/>
                <w:szCs w:val="22"/>
                <w:lang w:val="es-MX"/>
              </w:rPr>
              <w:t xml:space="preserve">, </w:t>
            </w:r>
            <w:r w:rsidRPr="008C6642">
              <w:rPr>
                <w:rFonts w:ascii="Calibri" w:eastAsia="Calibri" w:hAnsi="Calibri"/>
                <w:color w:val="000000" w:themeColor="dark1"/>
                <w:kern w:val="24"/>
                <w:sz w:val="22"/>
                <w:szCs w:val="22"/>
                <w:lang w:val="es-MX"/>
              </w:rPr>
              <w:t>Muestreo de encuestas, 1972</w:t>
            </w:r>
          </w:p>
          <w:p w14:paraId="21FD6F91" w14:textId="77777777" w:rsidR="008C6642" w:rsidRDefault="008C6642" w:rsidP="00B65CC7">
            <w:pPr>
              <w:pStyle w:val="Default"/>
              <w:numPr>
                <w:ilvl w:val="0"/>
                <w:numId w:val="5"/>
              </w:numPr>
              <w:ind w:left="324" w:hanging="324"/>
              <w:rPr>
                <w:rFonts w:ascii="Calibri" w:eastAsia="Calibri" w:hAnsi="Calibri"/>
                <w:color w:val="000000" w:themeColor="dark1"/>
                <w:kern w:val="24"/>
                <w:sz w:val="22"/>
                <w:szCs w:val="22"/>
              </w:rPr>
            </w:pPr>
            <w:r w:rsidRPr="008C6642">
              <w:rPr>
                <w:rFonts w:ascii="Calibri" w:eastAsia="Calibri" w:hAnsi="Calibri"/>
                <w:color w:val="000000" w:themeColor="dark1"/>
                <w:kern w:val="24"/>
                <w:sz w:val="22"/>
                <w:szCs w:val="22"/>
              </w:rPr>
              <w:t xml:space="preserve">Carl‐Erik </w:t>
            </w:r>
            <w:proofErr w:type="spellStart"/>
            <w:r w:rsidRPr="008C6642">
              <w:rPr>
                <w:rFonts w:ascii="Calibri" w:eastAsia="Calibri" w:hAnsi="Calibri"/>
                <w:color w:val="000000" w:themeColor="dark1"/>
                <w:kern w:val="24"/>
                <w:sz w:val="22"/>
                <w:szCs w:val="22"/>
              </w:rPr>
              <w:t>Särndal</w:t>
            </w:r>
            <w:proofErr w:type="spellEnd"/>
            <w:r w:rsidRPr="008C6642">
              <w:rPr>
                <w:rFonts w:ascii="Calibri" w:eastAsia="Calibri" w:hAnsi="Calibri"/>
                <w:color w:val="000000" w:themeColor="dark1"/>
                <w:kern w:val="24"/>
                <w:sz w:val="22"/>
                <w:szCs w:val="22"/>
              </w:rPr>
              <w:t xml:space="preserve"> et al, Model Assisted Survey Sampling, 2003</w:t>
            </w:r>
            <w:r w:rsidR="003852BB">
              <w:rPr>
                <w:rFonts w:ascii="Calibri" w:eastAsia="Calibri" w:hAnsi="Calibri"/>
                <w:color w:val="000000" w:themeColor="dark1"/>
                <w:kern w:val="24"/>
                <w:sz w:val="22"/>
                <w:szCs w:val="22"/>
              </w:rPr>
              <w:t>.</w:t>
            </w:r>
          </w:p>
          <w:p w14:paraId="1D18C9D1" w14:textId="77777777" w:rsidR="00E565AB" w:rsidRDefault="00E565AB" w:rsidP="00E565AB">
            <w:pPr>
              <w:pStyle w:val="Default"/>
              <w:numPr>
                <w:ilvl w:val="0"/>
                <w:numId w:val="5"/>
              </w:numPr>
              <w:ind w:left="324" w:hanging="324"/>
              <w:rPr>
                <w:rFonts w:ascii="Calibri" w:eastAsia="Calibri" w:hAnsi="Calibri"/>
                <w:color w:val="000000" w:themeColor="dark1"/>
                <w:kern w:val="24"/>
                <w:sz w:val="22"/>
                <w:szCs w:val="22"/>
              </w:rPr>
            </w:pPr>
            <w:r w:rsidRPr="00E565AB">
              <w:rPr>
                <w:rFonts w:ascii="Calibri" w:eastAsia="Calibri" w:hAnsi="Calibri"/>
                <w:color w:val="000000" w:themeColor="dark1"/>
                <w:kern w:val="24"/>
                <w:sz w:val="22"/>
                <w:szCs w:val="22"/>
              </w:rPr>
              <w:t>Eurostat</w:t>
            </w:r>
            <w:r>
              <w:rPr>
                <w:rFonts w:ascii="Calibri" w:eastAsia="Calibri" w:hAnsi="Calibri"/>
                <w:color w:val="000000" w:themeColor="dark1"/>
                <w:kern w:val="24"/>
                <w:sz w:val="22"/>
                <w:szCs w:val="22"/>
              </w:rPr>
              <w:t xml:space="preserve">, </w:t>
            </w:r>
            <w:r w:rsidRPr="00E565AB">
              <w:rPr>
                <w:rFonts w:ascii="Calibri" w:eastAsia="Calibri" w:hAnsi="Calibri"/>
                <w:color w:val="000000" w:themeColor="dark1"/>
                <w:kern w:val="24"/>
                <w:sz w:val="22"/>
                <w:szCs w:val="22"/>
              </w:rPr>
              <w:t>ESS handbook for quality reports</w:t>
            </w:r>
            <w:r>
              <w:rPr>
                <w:rFonts w:ascii="Calibri" w:eastAsia="Calibri" w:hAnsi="Calibri"/>
                <w:color w:val="000000" w:themeColor="dark1"/>
                <w:kern w:val="24"/>
                <w:sz w:val="22"/>
                <w:szCs w:val="22"/>
              </w:rPr>
              <w:t>,</w:t>
            </w:r>
            <w:r w:rsidRPr="00E565AB">
              <w:rPr>
                <w:rFonts w:ascii="Calibri" w:eastAsia="Calibri" w:hAnsi="Calibri"/>
                <w:color w:val="000000" w:themeColor="dark1"/>
                <w:kern w:val="24"/>
                <w:sz w:val="22"/>
                <w:szCs w:val="22"/>
              </w:rPr>
              <w:t xml:space="preserve"> 2014.</w:t>
            </w:r>
          </w:p>
          <w:p w14:paraId="2064EF90" w14:textId="77777777" w:rsidR="00E565AB" w:rsidRDefault="00E565AB" w:rsidP="00E565AB">
            <w:pPr>
              <w:pStyle w:val="Default"/>
              <w:numPr>
                <w:ilvl w:val="0"/>
                <w:numId w:val="5"/>
              </w:numPr>
              <w:ind w:left="324" w:hanging="324"/>
              <w:rPr>
                <w:rFonts w:ascii="Calibri" w:eastAsia="Calibri" w:hAnsi="Calibri"/>
                <w:color w:val="000000" w:themeColor="dark1"/>
                <w:kern w:val="24"/>
                <w:sz w:val="22"/>
                <w:szCs w:val="22"/>
              </w:rPr>
            </w:pPr>
            <w:r w:rsidRPr="00E565AB">
              <w:rPr>
                <w:rFonts w:ascii="Calibri" w:eastAsia="Calibri" w:hAnsi="Calibri"/>
                <w:color w:val="000000" w:themeColor="dark1"/>
                <w:kern w:val="24"/>
                <w:sz w:val="22"/>
                <w:szCs w:val="22"/>
              </w:rPr>
              <w:t>Office for National Statistics, UK, Guidelines for Measuring Statistical Output Quality, 2013.</w:t>
            </w:r>
          </w:p>
          <w:p w14:paraId="5CAEE12E" w14:textId="77777777" w:rsidR="00E565AB" w:rsidRDefault="00E565AB" w:rsidP="00E565AB">
            <w:pPr>
              <w:pStyle w:val="Default"/>
              <w:numPr>
                <w:ilvl w:val="0"/>
                <w:numId w:val="5"/>
              </w:numPr>
              <w:ind w:left="260" w:hanging="260"/>
              <w:rPr>
                <w:rFonts w:ascii="Calibri" w:eastAsia="Calibri" w:hAnsi="Calibri"/>
                <w:color w:val="000000" w:themeColor="dark1"/>
                <w:kern w:val="24"/>
                <w:sz w:val="22"/>
                <w:szCs w:val="22"/>
              </w:rPr>
            </w:pPr>
            <w:r w:rsidRPr="00E565AB">
              <w:rPr>
                <w:rFonts w:ascii="Calibri" w:eastAsia="Calibri" w:hAnsi="Calibri"/>
                <w:color w:val="000000" w:themeColor="dark1"/>
                <w:kern w:val="24"/>
                <w:sz w:val="22"/>
                <w:szCs w:val="22"/>
              </w:rPr>
              <w:t>United Nations Economic Commission for Europe (UNECE), Quality Indicators for the Generic Statistical Business Process Model (GSBPM) ‐ For Statistics derived from</w:t>
            </w:r>
            <w:r>
              <w:rPr>
                <w:rFonts w:ascii="Calibri" w:eastAsia="Calibri" w:hAnsi="Calibri"/>
                <w:color w:val="000000" w:themeColor="dark1"/>
                <w:kern w:val="24"/>
                <w:sz w:val="22"/>
                <w:szCs w:val="22"/>
              </w:rPr>
              <w:t xml:space="preserve"> </w:t>
            </w:r>
            <w:r w:rsidRPr="00E565AB">
              <w:rPr>
                <w:rFonts w:ascii="Calibri" w:eastAsia="Calibri" w:hAnsi="Calibri"/>
                <w:color w:val="000000" w:themeColor="dark1"/>
                <w:kern w:val="24"/>
                <w:sz w:val="22"/>
                <w:szCs w:val="22"/>
              </w:rPr>
              <w:t>Surveys</w:t>
            </w:r>
            <w:r>
              <w:rPr>
                <w:rFonts w:ascii="Calibri" w:eastAsia="Calibri" w:hAnsi="Calibri"/>
                <w:color w:val="000000" w:themeColor="dark1"/>
                <w:kern w:val="24"/>
                <w:sz w:val="22"/>
                <w:szCs w:val="22"/>
              </w:rPr>
              <w:t>,</w:t>
            </w:r>
            <w:r w:rsidRPr="00E565AB">
              <w:rPr>
                <w:rFonts w:ascii="Calibri" w:eastAsia="Calibri" w:hAnsi="Calibri"/>
                <w:color w:val="000000" w:themeColor="dark1"/>
                <w:kern w:val="24"/>
                <w:sz w:val="22"/>
                <w:szCs w:val="22"/>
              </w:rPr>
              <w:t xml:space="preserve"> 2016</w:t>
            </w:r>
            <w:r>
              <w:rPr>
                <w:rFonts w:ascii="Calibri" w:eastAsia="Calibri" w:hAnsi="Calibri"/>
                <w:color w:val="000000" w:themeColor="dark1"/>
                <w:kern w:val="24"/>
                <w:sz w:val="22"/>
                <w:szCs w:val="22"/>
              </w:rPr>
              <w:t>.</w:t>
            </w:r>
          </w:p>
          <w:p w14:paraId="79281BF7" w14:textId="12C5C60C" w:rsidR="00E565AB" w:rsidRDefault="00E565AB" w:rsidP="00E565AB">
            <w:pPr>
              <w:pStyle w:val="Default"/>
              <w:numPr>
                <w:ilvl w:val="0"/>
                <w:numId w:val="5"/>
              </w:numPr>
              <w:ind w:left="260" w:hanging="260"/>
              <w:rPr>
                <w:rFonts w:ascii="Calibri" w:eastAsia="Calibri" w:hAnsi="Calibri"/>
                <w:color w:val="000000" w:themeColor="dark1"/>
                <w:kern w:val="24"/>
                <w:sz w:val="22"/>
                <w:szCs w:val="22"/>
              </w:rPr>
            </w:pPr>
            <w:r w:rsidRPr="00E565AB">
              <w:rPr>
                <w:rFonts w:ascii="Calibri" w:eastAsia="Calibri" w:hAnsi="Calibri"/>
                <w:color w:val="000000" w:themeColor="dark1"/>
                <w:kern w:val="24"/>
                <w:sz w:val="22"/>
                <w:szCs w:val="22"/>
              </w:rPr>
              <w:t xml:space="preserve">Carl‐Erik </w:t>
            </w:r>
            <w:proofErr w:type="spellStart"/>
            <w:r w:rsidRPr="00E565AB">
              <w:rPr>
                <w:rFonts w:ascii="Calibri" w:eastAsia="Calibri" w:hAnsi="Calibri"/>
                <w:color w:val="000000" w:themeColor="dark1"/>
                <w:kern w:val="24"/>
                <w:sz w:val="22"/>
                <w:szCs w:val="22"/>
              </w:rPr>
              <w:t>Särndal</w:t>
            </w:r>
            <w:proofErr w:type="spellEnd"/>
            <w:r w:rsidRPr="00E565AB">
              <w:rPr>
                <w:rFonts w:ascii="Calibri" w:eastAsia="Calibri" w:hAnsi="Calibri"/>
                <w:color w:val="000000" w:themeColor="dark1"/>
                <w:kern w:val="24"/>
                <w:sz w:val="22"/>
                <w:szCs w:val="22"/>
              </w:rPr>
              <w:t xml:space="preserve"> et al, Model Assisted Survey Sampling, 2003</w:t>
            </w:r>
            <w:r>
              <w:rPr>
                <w:rFonts w:ascii="Calibri" w:eastAsia="Calibri" w:hAnsi="Calibri"/>
                <w:color w:val="000000" w:themeColor="dark1"/>
                <w:kern w:val="24"/>
                <w:sz w:val="22"/>
                <w:szCs w:val="22"/>
              </w:rPr>
              <w:t>.</w:t>
            </w:r>
          </w:p>
          <w:p w14:paraId="70D75CCD" w14:textId="60C36D68" w:rsidR="00E565AB" w:rsidRPr="00E565AB" w:rsidRDefault="00E565AB" w:rsidP="00E565AB">
            <w:pPr>
              <w:pStyle w:val="Default"/>
              <w:numPr>
                <w:ilvl w:val="0"/>
                <w:numId w:val="5"/>
              </w:numPr>
              <w:ind w:left="260" w:hanging="260"/>
              <w:rPr>
                <w:rFonts w:ascii="Calibri" w:eastAsia="Calibri" w:hAnsi="Calibri"/>
                <w:color w:val="000000" w:themeColor="dark1"/>
                <w:kern w:val="24"/>
                <w:sz w:val="22"/>
                <w:szCs w:val="22"/>
              </w:rPr>
            </w:pPr>
            <w:r w:rsidRPr="00E565AB">
              <w:rPr>
                <w:rFonts w:ascii="Calibri" w:eastAsia="Calibri" w:hAnsi="Calibri"/>
                <w:color w:val="000000" w:themeColor="dark1"/>
                <w:kern w:val="24"/>
                <w:sz w:val="22"/>
                <w:szCs w:val="22"/>
              </w:rPr>
              <w:t xml:space="preserve">Carl‐Erik </w:t>
            </w:r>
            <w:proofErr w:type="spellStart"/>
            <w:r w:rsidRPr="00E565AB">
              <w:rPr>
                <w:rFonts w:ascii="Calibri" w:eastAsia="Calibri" w:hAnsi="Calibri"/>
                <w:color w:val="000000" w:themeColor="dark1"/>
                <w:kern w:val="24"/>
                <w:sz w:val="22"/>
                <w:szCs w:val="22"/>
              </w:rPr>
              <w:t>Särndal</w:t>
            </w:r>
            <w:proofErr w:type="spellEnd"/>
            <w:r w:rsidRPr="00E565AB">
              <w:rPr>
                <w:rFonts w:ascii="Calibri" w:eastAsia="Calibri" w:hAnsi="Calibri"/>
                <w:color w:val="000000" w:themeColor="dark1"/>
                <w:kern w:val="24"/>
                <w:sz w:val="22"/>
                <w:szCs w:val="22"/>
              </w:rPr>
              <w:t xml:space="preserve"> y </w:t>
            </w:r>
            <w:proofErr w:type="spellStart"/>
            <w:r w:rsidRPr="00E565AB">
              <w:rPr>
                <w:rFonts w:ascii="Calibri" w:eastAsia="Calibri" w:hAnsi="Calibri"/>
                <w:color w:val="000000" w:themeColor="dark1"/>
                <w:kern w:val="24"/>
                <w:sz w:val="22"/>
                <w:szCs w:val="22"/>
              </w:rPr>
              <w:t>Sixten</w:t>
            </w:r>
            <w:proofErr w:type="spellEnd"/>
            <w:r w:rsidRPr="00E565AB">
              <w:rPr>
                <w:rFonts w:ascii="Calibri" w:eastAsia="Calibri" w:hAnsi="Calibri"/>
                <w:color w:val="000000" w:themeColor="dark1"/>
                <w:kern w:val="24"/>
                <w:sz w:val="22"/>
                <w:szCs w:val="22"/>
              </w:rPr>
              <w:t xml:space="preserve"> Lundström, Estimation in surveys with nonresponse,</w:t>
            </w:r>
            <w:r>
              <w:rPr>
                <w:rFonts w:ascii="Calibri" w:eastAsia="Calibri" w:hAnsi="Calibri"/>
                <w:color w:val="000000" w:themeColor="dark1"/>
                <w:kern w:val="24"/>
                <w:sz w:val="22"/>
                <w:szCs w:val="22"/>
              </w:rPr>
              <w:t xml:space="preserve"> </w:t>
            </w:r>
            <w:r w:rsidRPr="00E565AB">
              <w:rPr>
                <w:rFonts w:ascii="Calibri" w:eastAsia="Calibri" w:hAnsi="Calibri"/>
                <w:color w:val="000000" w:themeColor="dark1"/>
                <w:kern w:val="24"/>
                <w:sz w:val="22"/>
                <w:szCs w:val="22"/>
              </w:rPr>
              <w:t>2005</w:t>
            </w:r>
            <w:r>
              <w:rPr>
                <w:rFonts w:ascii="Calibri" w:eastAsia="Calibri" w:hAnsi="Calibri"/>
                <w:color w:val="000000" w:themeColor="dark1"/>
                <w:kern w:val="24"/>
                <w:sz w:val="22"/>
                <w:szCs w:val="22"/>
              </w:rPr>
              <w:t>.</w:t>
            </w:r>
          </w:p>
        </w:tc>
      </w:tr>
      <w:tr w:rsidR="00FF676F" w:rsidRPr="008E50C0" w14:paraId="2DF6D0E5" w14:textId="77777777" w:rsidTr="00390115">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30E08F40" w14:textId="77777777" w:rsidR="00FF676F" w:rsidRDefault="00FF676F"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Resultados del grupo</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31E4679D" w14:textId="77777777" w:rsidR="00FF676F" w:rsidRDefault="00FF676F" w:rsidP="00B65CC7">
            <w:pPr>
              <w:pStyle w:val="Default"/>
              <w:rPr>
                <w:rFonts w:ascii="Calibri" w:eastAsia="Calibri" w:hAnsi="Calibri"/>
                <w:color w:val="000000" w:themeColor="dark1"/>
                <w:kern w:val="24"/>
              </w:rPr>
            </w:pPr>
            <w:proofErr w:type="spellStart"/>
            <w:r>
              <w:rPr>
                <w:rFonts w:ascii="Calibri" w:eastAsia="Calibri" w:hAnsi="Calibri"/>
                <w:color w:val="000000" w:themeColor="dark1"/>
                <w:kern w:val="24"/>
              </w:rPr>
              <w:t>Fichas</w:t>
            </w:r>
            <w:proofErr w:type="spellEnd"/>
            <w:r>
              <w:rPr>
                <w:rFonts w:ascii="Calibri" w:eastAsia="Calibri" w:hAnsi="Calibri"/>
                <w:color w:val="000000" w:themeColor="dark1"/>
                <w:kern w:val="24"/>
              </w:rPr>
              <w:t xml:space="preserve"> de los indicadores:</w:t>
            </w:r>
          </w:p>
          <w:p w14:paraId="30394860" w14:textId="77777777" w:rsidR="00FF676F" w:rsidRDefault="008C6642" w:rsidP="00B65CC7">
            <w:pPr>
              <w:pStyle w:val="Default"/>
              <w:numPr>
                <w:ilvl w:val="0"/>
                <w:numId w:val="5"/>
              </w:numPr>
              <w:ind w:left="324" w:hanging="324"/>
              <w:rPr>
                <w:rFonts w:ascii="Calibri" w:eastAsia="Calibri" w:hAnsi="Calibri"/>
                <w:color w:val="000000" w:themeColor="dark1"/>
                <w:kern w:val="24"/>
                <w:lang w:val="es-MX"/>
              </w:rPr>
            </w:pPr>
            <w:r>
              <w:rPr>
                <w:rFonts w:ascii="Calibri" w:eastAsia="Calibri" w:hAnsi="Calibri"/>
                <w:color w:val="000000" w:themeColor="dark1"/>
                <w:kern w:val="24"/>
                <w:lang w:val="es-MX"/>
              </w:rPr>
              <w:t>Coeficiente de Variación</w:t>
            </w:r>
          </w:p>
          <w:p w14:paraId="7A4BDE2F" w14:textId="77777777" w:rsidR="008C6642" w:rsidRDefault="008C6642" w:rsidP="00B65CC7">
            <w:pPr>
              <w:pStyle w:val="Default"/>
              <w:numPr>
                <w:ilvl w:val="0"/>
                <w:numId w:val="5"/>
              </w:numPr>
              <w:ind w:left="324" w:hanging="324"/>
              <w:rPr>
                <w:rFonts w:ascii="Calibri" w:eastAsia="Calibri" w:hAnsi="Calibri"/>
                <w:color w:val="000000" w:themeColor="dark1"/>
                <w:kern w:val="24"/>
                <w:lang w:val="es-MX"/>
              </w:rPr>
            </w:pPr>
            <w:r>
              <w:rPr>
                <w:rFonts w:ascii="Calibri" w:eastAsia="Calibri" w:hAnsi="Calibri"/>
                <w:color w:val="000000" w:themeColor="dark1"/>
                <w:kern w:val="24"/>
                <w:lang w:val="es-MX"/>
              </w:rPr>
              <w:t>Error Estándar</w:t>
            </w:r>
          </w:p>
          <w:p w14:paraId="53BC3EAC" w14:textId="77777777" w:rsidR="008C6642" w:rsidRDefault="008C6642" w:rsidP="00B65CC7">
            <w:pPr>
              <w:pStyle w:val="Default"/>
              <w:numPr>
                <w:ilvl w:val="0"/>
                <w:numId w:val="5"/>
              </w:numPr>
              <w:ind w:left="324" w:hanging="324"/>
              <w:rPr>
                <w:rFonts w:ascii="Calibri" w:eastAsia="Calibri" w:hAnsi="Calibri"/>
                <w:color w:val="000000" w:themeColor="dark1"/>
                <w:kern w:val="24"/>
                <w:lang w:val="es-MX"/>
              </w:rPr>
            </w:pPr>
            <w:r>
              <w:rPr>
                <w:rFonts w:ascii="Calibri" w:eastAsia="Calibri" w:hAnsi="Calibri"/>
                <w:color w:val="000000" w:themeColor="dark1"/>
                <w:kern w:val="24"/>
                <w:lang w:val="es-MX"/>
              </w:rPr>
              <w:t>Intervalo de Confianza</w:t>
            </w:r>
          </w:p>
          <w:p w14:paraId="46CB5762" w14:textId="77777777" w:rsidR="008C6642" w:rsidRDefault="008C6642" w:rsidP="00B65CC7">
            <w:pPr>
              <w:pStyle w:val="Default"/>
              <w:numPr>
                <w:ilvl w:val="0"/>
                <w:numId w:val="5"/>
              </w:numPr>
              <w:ind w:left="324" w:hanging="324"/>
              <w:rPr>
                <w:rFonts w:ascii="Calibri" w:eastAsia="Calibri" w:hAnsi="Calibri"/>
                <w:color w:val="000000" w:themeColor="dark1"/>
                <w:kern w:val="24"/>
                <w:lang w:val="es-MX"/>
              </w:rPr>
            </w:pPr>
            <w:r>
              <w:rPr>
                <w:rFonts w:ascii="Calibri" w:eastAsia="Calibri" w:hAnsi="Calibri"/>
                <w:color w:val="000000" w:themeColor="dark1"/>
                <w:kern w:val="24"/>
                <w:lang w:val="es-MX"/>
              </w:rPr>
              <w:t>Tasa de no respuesta antes de imputación a nivel unidad de observación</w:t>
            </w:r>
          </w:p>
          <w:p w14:paraId="0442D0F9" w14:textId="77777777" w:rsidR="008C6642" w:rsidRDefault="008C6642" w:rsidP="00B65CC7">
            <w:pPr>
              <w:pStyle w:val="Default"/>
              <w:numPr>
                <w:ilvl w:val="0"/>
                <w:numId w:val="5"/>
              </w:numPr>
              <w:ind w:left="324" w:hanging="324"/>
              <w:rPr>
                <w:rFonts w:ascii="Calibri" w:eastAsia="Calibri" w:hAnsi="Calibri"/>
                <w:color w:val="000000" w:themeColor="dark1"/>
                <w:kern w:val="24"/>
                <w:lang w:val="es-MX"/>
              </w:rPr>
            </w:pPr>
            <w:r>
              <w:rPr>
                <w:rFonts w:ascii="Calibri" w:eastAsia="Calibri" w:hAnsi="Calibri"/>
                <w:color w:val="000000" w:themeColor="dark1"/>
                <w:kern w:val="24"/>
                <w:lang w:val="es-MX"/>
              </w:rPr>
              <w:t>Cobertura de la variable de diseño en programas con muestreo no probabilístico</w:t>
            </w:r>
          </w:p>
          <w:p w14:paraId="778F5A46" w14:textId="77777777" w:rsidR="008C6642" w:rsidRDefault="008C6642" w:rsidP="00B65CC7">
            <w:pPr>
              <w:pStyle w:val="Default"/>
              <w:numPr>
                <w:ilvl w:val="0"/>
                <w:numId w:val="5"/>
              </w:numPr>
              <w:ind w:left="324" w:hanging="324"/>
              <w:rPr>
                <w:rFonts w:ascii="Calibri" w:eastAsia="Calibri" w:hAnsi="Calibri"/>
                <w:color w:val="000000" w:themeColor="dark1"/>
                <w:kern w:val="24"/>
                <w:lang w:val="es-MX"/>
              </w:rPr>
            </w:pPr>
            <w:r>
              <w:rPr>
                <w:rFonts w:ascii="Calibri" w:eastAsia="Calibri" w:hAnsi="Calibri"/>
                <w:color w:val="000000" w:themeColor="dark1"/>
                <w:kern w:val="24"/>
                <w:lang w:val="es-MX"/>
              </w:rPr>
              <w:t>Tasa de no respuesta después de imputación a nivel unidad de observación</w:t>
            </w:r>
          </w:p>
          <w:p w14:paraId="6DEFD1D2" w14:textId="77777777" w:rsidR="008C6642" w:rsidRDefault="008C6642" w:rsidP="00B65CC7">
            <w:pPr>
              <w:pStyle w:val="Default"/>
              <w:numPr>
                <w:ilvl w:val="0"/>
                <w:numId w:val="5"/>
              </w:numPr>
              <w:ind w:left="324" w:hanging="324"/>
              <w:rPr>
                <w:rFonts w:ascii="Calibri" w:eastAsia="Calibri" w:hAnsi="Calibri"/>
                <w:color w:val="000000" w:themeColor="dark1"/>
                <w:kern w:val="24"/>
                <w:lang w:val="es-MX"/>
              </w:rPr>
            </w:pPr>
            <w:r>
              <w:rPr>
                <w:rFonts w:ascii="Calibri" w:eastAsia="Calibri" w:hAnsi="Calibri"/>
                <w:color w:val="000000" w:themeColor="dark1"/>
                <w:kern w:val="24"/>
                <w:lang w:val="es-MX"/>
              </w:rPr>
              <w:t>Tasa de imputación a nivel unidad de observación</w:t>
            </w:r>
          </w:p>
          <w:p w14:paraId="011E871D" w14:textId="77777777" w:rsidR="008C6642" w:rsidRDefault="008C6642" w:rsidP="00B65CC7">
            <w:pPr>
              <w:pStyle w:val="Default"/>
              <w:numPr>
                <w:ilvl w:val="0"/>
                <w:numId w:val="5"/>
              </w:numPr>
              <w:ind w:left="324" w:hanging="324"/>
              <w:rPr>
                <w:rFonts w:ascii="Calibri" w:eastAsia="Calibri" w:hAnsi="Calibri"/>
                <w:color w:val="000000" w:themeColor="dark1"/>
                <w:kern w:val="24"/>
                <w:lang w:val="es-MX"/>
              </w:rPr>
            </w:pPr>
            <w:r>
              <w:rPr>
                <w:rFonts w:ascii="Calibri" w:eastAsia="Calibri" w:hAnsi="Calibri"/>
                <w:color w:val="000000" w:themeColor="dark1"/>
                <w:kern w:val="24"/>
                <w:lang w:val="es-MX"/>
              </w:rPr>
              <w:t>Tasa de sobrecobertura a nivel unidad de observación</w:t>
            </w:r>
          </w:p>
          <w:p w14:paraId="6BCCE194" w14:textId="11F1EF8B" w:rsidR="008C6642" w:rsidRPr="00E12109" w:rsidRDefault="008C6642" w:rsidP="00B65CC7">
            <w:pPr>
              <w:pStyle w:val="Default"/>
              <w:numPr>
                <w:ilvl w:val="0"/>
                <w:numId w:val="5"/>
              </w:numPr>
              <w:ind w:left="324" w:hanging="324"/>
              <w:rPr>
                <w:rFonts w:ascii="Calibri" w:eastAsia="Calibri" w:hAnsi="Calibri"/>
                <w:color w:val="000000" w:themeColor="dark1"/>
                <w:kern w:val="24"/>
                <w:lang w:val="es-MX"/>
              </w:rPr>
            </w:pPr>
            <w:r>
              <w:rPr>
                <w:rFonts w:ascii="Calibri" w:eastAsia="Calibri" w:hAnsi="Calibri"/>
                <w:color w:val="000000" w:themeColor="dark1"/>
                <w:kern w:val="24"/>
                <w:lang w:val="es-MX"/>
              </w:rPr>
              <w:t>Tasa de cumplimiento de la muestra mínima a nivel unidad de observación</w:t>
            </w:r>
          </w:p>
        </w:tc>
      </w:tr>
    </w:tbl>
    <w:p w14:paraId="70B8AAD8" w14:textId="77777777" w:rsidR="00FF676F" w:rsidRPr="00E12109" w:rsidRDefault="00FF676F" w:rsidP="00FF676F">
      <w:pPr>
        <w:spacing w:after="0"/>
      </w:pPr>
      <w:bookmarkStart w:id="0" w:name="_GoBack"/>
      <w:bookmarkEnd w:id="0"/>
    </w:p>
    <w:sectPr w:rsidR="00FF676F" w:rsidRPr="00E121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51A1"/>
    <w:multiLevelType w:val="hybridMultilevel"/>
    <w:tmpl w:val="A0FE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26B6"/>
    <w:multiLevelType w:val="hybridMultilevel"/>
    <w:tmpl w:val="AECC476E"/>
    <w:lvl w:ilvl="0" w:tplc="BB94AD44">
      <w:start w:val="1"/>
      <w:numFmt w:val="bullet"/>
      <w:lvlText w:val="•"/>
      <w:lvlJc w:val="left"/>
      <w:pPr>
        <w:tabs>
          <w:tab w:val="num" w:pos="720"/>
        </w:tabs>
        <w:ind w:left="720" w:hanging="360"/>
      </w:pPr>
      <w:rPr>
        <w:rFonts w:ascii="Arial" w:hAnsi="Arial" w:hint="default"/>
      </w:rPr>
    </w:lvl>
    <w:lvl w:ilvl="1" w:tplc="7C646568" w:tentative="1">
      <w:start w:val="1"/>
      <w:numFmt w:val="bullet"/>
      <w:lvlText w:val="•"/>
      <w:lvlJc w:val="left"/>
      <w:pPr>
        <w:tabs>
          <w:tab w:val="num" w:pos="1440"/>
        </w:tabs>
        <w:ind w:left="1440" w:hanging="360"/>
      </w:pPr>
      <w:rPr>
        <w:rFonts w:ascii="Arial" w:hAnsi="Arial" w:hint="default"/>
      </w:rPr>
    </w:lvl>
    <w:lvl w:ilvl="2" w:tplc="CAEC5EAE" w:tentative="1">
      <w:start w:val="1"/>
      <w:numFmt w:val="bullet"/>
      <w:lvlText w:val="•"/>
      <w:lvlJc w:val="left"/>
      <w:pPr>
        <w:tabs>
          <w:tab w:val="num" w:pos="2160"/>
        </w:tabs>
        <w:ind w:left="2160" w:hanging="360"/>
      </w:pPr>
      <w:rPr>
        <w:rFonts w:ascii="Arial" w:hAnsi="Arial" w:hint="default"/>
      </w:rPr>
    </w:lvl>
    <w:lvl w:ilvl="3" w:tplc="8EEC8D26" w:tentative="1">
      <w:start w:val="1"/>
      <w:numFmt w:val="bullet"/>
      <w:lvlText w:val="•"/>
      <w:lvlJc w:val="left"/>
      <w:pPr>
        <w:tabs>
          <w:tab w:val="num" w:pos="2880"/>
        </w:tabs>
        <w:ind w:left="2880" w:hanging="360"/>
      </w:pPr>
      <w:rPr>
        <w:rFonts w:ascii="Arial" w:hAnsi="Arial" w:hint="default"/>
      </w:rPr>
    </w:lvl>
    <w:lvl w:ilvl="4" w:tplc="6428E854" w:tentative="1">
      <w:start w:val="1"/>
      <w:numFmt w:val="bullet"/>
      <w:lvlText w:val="•"/>
      <w:lvlJc w:val="left"/>
      <w:pPr>
        <w:tabs>
          <w:tab w:val="num" w:pos="3600"/>
        </w:tabs>
        <w:ind w:left="3600" w:hanging="360"/>
      </w:pPr>
      <w:rPr>
        <w:rFonts w:ascii="Arial" w:hAnsi="Arial" w:hint="default"/>
      </w:rPr>
    </w:lvl>
    <w:lvl w:ilvl="5" w:tplc="985EB898" w:tentative="1">
      <w:start w:val="1"/>
      <w:numFmt w:val="bullet"/>
      <w:lvlText w:val="•"/>
      <w:lvlJc w:val="left"/>
      <w:pPr>
        <w:tabs>
          <w:tab w:val="num" w:pos="4320"/>
        </w:tabs>
        <w:ind w:left="4320" w:hanging="360"/>
      </w:pPr>
      <w:rPr>
        <w:rFonts w:ascii="Arial" w:hAnsi="Arial" w:hint="default"/>
      </w:rPr>
    </w:lvl>
    <w:lvl w:ilvl="6" w:tplc="52005784" w:tentative="1">
      <w:start w:val="1"/>
      <w:numFmt w:val="bullet"/>
      <w:lvlText w:val="•"/>
      <w:lvlJc w:val="left"/>
      <w:pPr>
        <w:tabs>
          <w:tab w:val="num" w:pos="5040"/>
        </w:tabs>
        <w:ind w:left="5040" w:hanging="360"/>
      </w:pPr>
      <w:rPr>
        <w:rFonts w:ascii="Arial" w:hAnsi="Arial" w:hint="default"/>
      </w:rPr>
    </w:lvl>
    <w:lvl w:ilvl="7" w:tplc="C802A904" w:tentative="1">
      <w:start w:val="1"/>
      <w:numFmt w:val="bullet"/>
      <w:lvlText w:val="•"/>
      <w:lvlJc w:val="left"/>
      <w:pPr>
        <w:tabs>
          <w:tab w:val="num" w:pos="5760"/>
        </w:tabs>
        <w:ind w:left="5760" w:hanging="360"/>
      </w:pPr>
      <w:rPr>
        <w:rFonts w:ascii="Arial" w:hAnsi="Arial" w:hint="default"/>
      </w:rPr>
    </w:lvl>
    <w:lvl w:ilvl="8" w:tplc="A148C1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8576D2"/>
    <w:multiLevelType w:val="hybridMultilevel"/>
    <w:tmpl w:val="5552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91769"/>
    <w:multiLevelType w:val="hybridMultilevel"/>
    <w:tmpl w:val="8A847EF2"/>
    <w:lvl w:ilvl="0" w:tplc="B2C82C88">
      <w:start w:val="1"/>
      <w:numFmt w:val="bullet"/>
      <w:lvlText w:val="•"/>
      <w:lvlJc w:val="left"/>
      <w:pPr>
        <w:tabs>
          <w:tab w:val="num" w:pos="720"/>
        </w:tabs>
        <w:ind w:left="720" w:hanging="360"/>
      </w:pPr>
      <w:rPr>
        <w:rFonts w:ascii="Arial" w:hAnsi="Arial" w:hint="default"/>
      </w:rPr>
    </w:lvl>
    <w:lvl w:ilvl="1" w:tplc="B87C2446" w:tentative="1">
      <w:start w:val="1"/>
      <w:numFmt w:val="bullet"/>
      <w:lvlText w:val="•"/>
      <w:lvlJc w:val="left"/>
      <w:pPr>
        <w:tabs>
          <w:tab w:val="num" w:pos="1440"/>
        </w:tabs>
        <w:ind w:left="1440" w:hanging="360"/>
      </w:pPr>
      <w:rPr>
        <w:rFonts w:ascii="Arial" w:hAnsi="Arial" w:hint="default"/>
      </w:rPr>
    </w:lvl>
    <w:lvl w:ilvl="2" w:tplc="1034E270" w:tentative="1">
      <w:start w:val="1"/>
      <w:numFmt w:val="bullet"/>
      <w:lvlText w:val="•"/>
      <w:lvlJc w:val="left"/>
      <w:pPr>
        <w:tabs>
          <w:tab w:val="num" w:pos="2160"/>
        </w:tabs>
        <w:ind w:left="2160" w:hanging="360"/>
      </w:pPr>
      <w:rPr>
        <w:rFonts w:ascii="Arial" w:hAnsi="Arial" w:hint="default"/>
      </w:rPr>
    </w:lvl>
    <w:lvl w:ilvl="3" w:tplc="70026C9C" w:tentative="1">
      <w:start w:val="1"/>
      <w:numFmt w:val="bullet"/>
      <w:lvlText w:val="•"/>
      <w:lvlJc w:val="left"/>
      <w:pPr>
        <w:tabs>
          <w:tab w:val="num" w:pos="2880"/>
        </w:tabs>
        <w:ind w:left="2880" w:hanging="360"/>
      </w:pPr>
      <w:rPr>
        <w:rFonts w:ascii="Arial" w:hAnsi="Arial" w:hint="default"/>
      </w:rPr>
    </w:lvl>
    <w:lvl w:ilvl="4" w:tplc="2D0231DE" w:tentative="1">
      <w:start w:val="1"/>
      <w:numFmt w:val="bullet"/>
      <w:lvlText w:val="•"/>
      <w:lvlJc w:val="left"/>
      <w:pPr>
        <w:tabs>
          <w:tab w:val="num" w:pos="3600"/>
        </w:tabs>
        <w:ind w:left="3600" w:hanging="360"/>
      </w:pPr>
      <w:rPr>
        <w:rFonts w:ascii="Arial" w:hAnsi="Arial" w:hint="default"/>
      </w:rPr>
    </w:lvl>
    <w:lvl w:ilvl="5" w:tplc="98CA0BF8" w:tentative="1">
      <w:start w:val="1"/>
      <w:numFmt w:val="bullet"/>
      <w:lvlText w:val="•"/>
      <w:lvlJc w:val="left"/>
      <w:pPr>
        <w:tabs>
          <w:tab w:val="num" w:pos="4320"/>
        </w:tabs>
        <w:ind w:left="4320" w:hanging="360"/>
      </w:pPr>
      <w:rPr>
        <w:rFonts w:ascii="Arial" w:hAnsi="Arial" w:hint="default"/>
      </w:rPr>
    </w:lvl>
    <w:lvl w:ilvl="6" w:tplc="72360932" w:tentative="1">
      <w:start w:val="1"/>
      <w:numFmt w:val="bullet"/>
      <w:lvlText w:val="•"/>
      <w:lvlJc w:val="left"/>
      <w:pPr>
        <w:tabs>
          <w:tab w:val="num" w:pos="5040"/>
        </w:tabs>
        <w:ind w:left="5040" w:hanging="360"/>
      </w:pPr>
      <w:rPr>
        <w:rFonts w:ascii="Arial" w:hAnsi="Arial" w:hint="default"/>
      </w:rPr>
    </w:lvl>
    <w:lvl w:ilvl="7" w:tplc="391EB858" w:tentative="1">
      <w:start w:val="1"/>
      <w:numFmt w:val="bullet"/>
      <w:lvlText w:val="•"/>
      <w:lvlJc w:val="left"/>
      <w:pPr>
        <w:tabs>
          <w:tab w:val="num" w:pos="5760"/>
        </w:tabs>
        <w:ind w:left="5760" w:hanging="360"/>
      </w:pPr>
      <w:rPr>
        <w:rFonts w:ascii="Arial" w:hAnsi="Arial" w:hint="default"/>
      </w:rPr>
    </w:lvl>
    <w:lvl w:ilvl="8" w:tplc="977E58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404CC0"/>
    <w:multiLevelType w:val="hybridMultilevel"/>
    <w:tmpl w:val="4ADC3B82"/>
    <w:lvl w:ilvl="0" w:tplc="37E820EA">
      <w:start w:val="1"/>
      <w:numFmt w:val="bullet"/>
      <w:lvlText w:val="•"/>
      <w:lvlJc w:val="left"/>
      <w:pPr>
        <w:tabs>
          <w:tab w:val="num" w:pos="720"/>
        </w:tabs>
        <w:ind w:left="720" w:hanging="360"/>
      </w:pPr>
      <w:rPr>
        <w:rFonts w:ascii="Arial" w:hAnsi="Arial" w:hint="default"/>
      </w:rPr>
    </w:lvl>
    <w:lvl w:ilvl="1" w:tplc="39F01284" w:tentative="1">
      <w:start w:val="1"/>
      <w:numFmt w:val="bullet"/>
      <w:lvlText w:val="•"/>
      <w:lvlJc w:val="left"/>
      <w:pPr>
        <w:tabs>
          <w:tab w:val="num" w:pos="1440"/>
        </w:tabs>
        <w:ind w:left="1440" w:hanging="360"/>
      </w:pPr>
      <w:rPr>
        <w:rFonts w:ascii="Arial" w:hAnsi="Arial" w:hint="default"/>
      </w:rPr>
    </w:lvl>
    <w:lvl w:ilvl="2" w:tplc="C38C8132" w:tentative="1">
      <w:start w:val="1"/>
      <w:numFmt w:val="bullet"/>
      <w:lvlText w:val="•"/>
      <w:lvlJc w:val="left"/>
      <w:pPr>
        <w:tabs>
          <w:tab w:val="num" w:pos="2160"/>
        </w:tabs>
        <w:ind w:left="2160" w:hanging="360"/>
      </w:pPr>
      <w:rPr>
        <w:rFonts w:ascii="Arial" w:hAnsi="Arial" w:hint="default"/>
      </w:rPr>
    </w:lvl>
    <w:lvl w:ilvl="3" w:tplc="FF0E7A2E" w:tentative="1">
      <w:start w:val="1"/>
      <w:numFmt w:val="bullet"/>
      <w:lvlText w:val="•"/>
      <w:lvlJc w:val="left"/>
      <w:pPr>
        <w:tabs>
          <w:tab w:val="num" w:pos="2880"/>
        </w:tabs>
        <w:ind w:left="2880" w:hanging="360"/>
      </w:pPr>
      <w:rPr>
        <w:rFonts w:ascii="Arial" w:hAnsi="Arial" w:hint="default"/>
      </w:rPr>
    </w:lvl>
    <w:lvl w:ilvl="4" w:tplc="B13251BE" w:tentative="1">
      <w:start w:val="1"/>
      <w:numFmt w:val="bullet"/>
      <w:lvlText w:val="•"/>
      <w:lvlJc w:val="left"/>
      <w:pPr>
        <w:tabs>
          <w:tab w:val="num" w:pos="3600"/>
        </w:tabs>
        <w:ind w:left="3600" w:hanging="360"/>
      </w:pPr>
      <w:rPr>
        <w:rFonts w:ascii="Arial" w:hAnsi="Arial" w:hint="default"/>
      </w:rPr>
    </w:lvl>
    <w:lvl w:ilvl="5" w:tplc="4F2CD65E" w:tentative="1">
      <w:start w:val="1"/>
      <w:numFmt w:val="bullet"/>
      <w:lvlText w:val="•"/>
      <w:lvlJc w:val="left"/>
      <w:pPr>
        <w:tabs>
          <w:tab w:val="num" w:pos="4320"/>
        </w:tabs>
        <w:ind w:left="4320" w:hanging="360"/>
      </w:pPr>
      <w:rPr>
        <w:rFonts w:ascii="Arial" w:hAnsi="Arial" w:hint="default"/>
      </w:rPr>
    </w:lvl>
    <w:lvl w:ilvl="6" w:tplc="6D48FC9C" w:tentative="1">
      <w:start w:val="1"/>
      <w:numFmt w:val="bullet"/>
      <w:lvlText w:val="•"/>
      <w:lvlJc w:val="left"/>
      <w:pPr>
        <w:tabs>
          <w:tab w:val="num" w:pos="5040"/>
        </w:tabs>
        <w:ind w:left="5040" w:hanging="360"/>
      </w:pPr>
      <w:rPr>
        <w:rFonts w:ascii="Arial" w:hAnsi="Arial" w:hint="default"/>
      </w:rPr>
    </w:lvl>
    <w:lvl w:ilvl="7" w:tplc="A23C4870" w:tentative="1">
      <w:start w:val="1"/>
      <w:numFmt w:val="bullet"/>
      <w:lvlText w:val="•"/>
      <w:lvlJc w:val="left"/>
      <w:pPr>
        <w:tabs>
          <w:tab w:val="num" w:pos="5760"/>
        </w:tabs>
        <w:ind w:left="5760" w:hanging="360"/>
      </w:pPr>
      <w:rPr>
        <w:rFonts w:ascii="Arial" w:hAnsi="Arial" w:hint="default"/>
      </w:rPr>
    </w:lvl>
    <w:lvl w:ilvl="8" w:tplc="64C44F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747AE1"/>
    <w:multiLevelType w:val="hybridMultilevel"/>
    <w:tmpl w:val="9CB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E4D99"/>
    <w:multiLevelType w:val="hybridMultilevel"/>
    <w:tmpl w:val="C7907044"/>
    <w:lvl w:ilvl="0" w:tplc="709C7FC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B78"/>
    <w:rsid w:val="000041B1"/>
    <w:rsid w:val="00004F8D"/>
    <w:rsid w:val="00010646"/>
    <w:rsid w:val="00011C3F"/>
    <w:rsid w:val="00012DA2"/>
    <w:rsid w:val="00031CA6"/>
    <w:rsid w:val="0004083F"/>
    <w:rsid w:val="000413B5"/>
    <w:rsid w:val="00045555"/>
    <w:rsid w:val="00045F8D"/>
    <w:rsid w:val="00052521"/>
    <w:rsid w:val="00077277"/>
    <w:rsid w:val="000813CD"/>
    <w:rsid w:val="000841FC"/>
    <w:rsid w:val="000B4E0D"/>
    <w:rsid w:val="000C2948"/>
    <w:rsid w:val="000F02AC"/>
    <w:rsid w:val="000F7CC6"/>
    <w:rsid w:val="00101BA0"/>
    <w:rsid w:val="00114277"/>
    <w:rsid w:val="00114687"/>
    <w:rsid w:val="00131DE7"/>
    <w:rsid w:val="00145340"/>
    <w:rsid w:val="001463B3"/>
    <w:rsid w:val="00146D9B"/>
    <w:rsid w:val="0014714F"/>
    <w:rsid w:val="00147FA1"/>
    <w:rsid w:val="00152BD2"/>
    <w:rsid w:val="001537F0"/>
    <w:rsid w:val="00157C47"/>
    <w:rsid w:val="001632E5"/>
    <w:rsid w:val="0016536D"/>
    <w:rsid w:val="00190BBD"/>
    <w:rsid w:val="00191B1E"/>
    <w:rsid w:val="001A2669"/>
    <w:rsid w:val="001A2BC5"/>
    <w:rsid w:val="001A7AC5"/>
    <w:rsid w:val="001B2FA3"/>
    <w:rsid w:val="001B3B92"/>
    <w:rsid w:val="001E551C"/>
    <w:rsid w:val="001E5DF5"/>
    <w:rsid w:val="001F44F1"/>
    <w:rsid w:val="00200D7B"/>
    <w:rsid w:val="00204461"/>
    <w:rsid w:val="002129D2"/>
    <w:rsid w:val="00221B78"/>
    <w:rsid w:val="002329F8"/>
    <w:rsid w:val="00275E5E"/>
    <w:rsid w:val="002965F2"/>
    <w:rsid w:val="002A453E"/>
    <w:rsid w:val="002A7580"/>
    <w:rsid w:val="002B2008"/>
    <w:rsid w:val="002D7300"/>
    <w:rsid w:val="002F5C7B"/>
    <w:rsid w:val="00303E96"/>
    <w:rsid w:val="00313B60"/>
    <w:rsid w:val="00331258"/>
    <w:rsid w:val="003405A0"/>
    <w:rsid w:val="00353173"/>
    <w:rsid w:val="00356B31"/>
    <w:rsid w:val="003634D2"/>
    <w:rsid w:val="003731BA"/>
    <w:rsid w:val="003852BB"/>
    <w:rsid w:val="00390115"/>
    <w:rsid w:val="003926E4"/>
    <w:rsid w:val="00396C0F"/>
    <w:rsid w:val="00397298"/>
    <w:rsid w:val="003A1C46"/>
    <w:rsid w:val="003B3AB7"/>
    <w:rsid w:val="003B63D5"/>
    <w:rsid w:val="003C42D1"/>
    <w:rsid w:val="003D6677"/>
    <w:rsid w:val="003F0863"/>
    <w:rsid w:val="00415064"/>
    <w:rsid w:val="004223D0"/>
    <w:rsid w:val="004350BA"/>
    <w:rsid w:val="00435D4B"/>
    <w:rsid w:val="0044208B"/>
    <w:rsid w:val="004431E2"/>
    <w:rsid w:val="00470579"/>
    <w:rsid w:val="00474DA7"/>
    <w:rsid w:val="00475366"/>
    <w:rsid w:val="00481797"/>
    <w:rsid w:val="00483C5A"/>
    <w:rsid w:val="0049292A"/>
    <w:rsid w:val="004A7A5F"/>
    <w:rsid w:val="004B35CA"/>
    <w:rsid w:val="004B616D"/>
    <w:rsid w:val="004C471E"/>
    <w:rsid w:val="004F3190"/>
    <w:rsid w:val="00516B70"/>
    <w:rsid w:val="00520B00"/>
    <w:rsid w:val="00522BBC"/>
    <w:rsid w:val="00555487"/>
    <w:rsid w:val="0055657F"/>
    <w:rsid w:val="00573097"/>
    <w:rsid w:val="00582246"/>
    <w:rsid w:val="00582807"/>
    <w:rsid w:val="0058304B"/>
    <w:rsid w:val="005838DD"/>
    <w:rsid w:val="00585A46"/>
    <w:rsid w:val="00590F28"/>
    <w:rsid w:val="00594814"/>
    <w:rsid w:val="005D21FE"/>
    <w:rsid w:val="005F4249"/>
    <w:rsid w:val="00650FE6"/>
    <w:rsid w:val="0065325D"/>
    <w:rsid w:val="0065780B"/>
    <w:rsid w:val="00661CBF"/>
    <w:rsid w:val="00664D8C"/>
    <w:rsid w:val="0068150B"/>
    <w:rsid w:val="00690FFB"/>
    <w:rsid w:val="0069320E"/>
    <w:rsid w:val="00697303"/>
    <w:rsid w:val="006B0548"/>
    <w:rsid w:val="006B2857"/>
    <w:rsid w:val="006D08F0"/>
    <w:rsid w:val="006E3A68"/>
    <w:rsid w:val="006F6643"/>
    <w:rsid w:val="007057F9"/>
    <w:rsid w:val="00734DDF"/>
    <w:rsid w:val="00735AC8"/>
    <w:rsid w:val="00742016"/>
    <w:rsid w:val="00746470"/>
    <w:rsid w:val="007521FA"/>
    <w:rsid w:val="00782D09"/>
    <w:rsid w:val="00790248"/>
    <w:rsid w:val="00792CFF"/>
    <w:rsid w:val="007B08C1"/>
    <w:rsid w:val="007B466F"/>
    <w:rsid w:val="007B6229"/>
    <w:rsid w:val="007C238C"/>
    <w:rsid w:val="007D2C56"/>
    <w:rsid w:val="007D7954"/>
    <w:rsid w:val="007E587C"/>
    <w:rsid w:val="0080025E"/>
    <w:rsid w:val="00803831"/>
    <w:rsid w:val="008053D9"/>
    <w:rsid w:val="0080578E"/>
    <w:rsid w:val="00806497"/>
    <w:rsid w:val="00806B01"/>
    <w:rsid w:val="008210F2"/>
    <w:rsid w:val="0082672D"/>
    <w:rsid w:val="008439D9"/>
    <w:rsid w:val="00853796"/>
    <w:rsid w:val="0087656E"/>
    <w:rsid w:val="008954F5"/>
    <w:rsid w:val="00897506"/>
    <w:rsid w:val="008C6642"/>
    <w:rsid w:val="008D43D8"/>
    <w:rsid w:val="008E0279"/>
    <w:rsid w:val="008E4A1B"/>
    <w:rsid w:val="008E50C0"/>
    <w:rsid w:val="008E7421"/>
    <w:rsid w:val="008F1D6D"/>
    <w:rsid w:val="00901BB2"/>
    <w:rsid w:val="00910538"/>
    <w:rsid w:val="00910DFA"/>
    <w:rsid w:val="00914232"/>
    <w:rsid w:val="0093792D"/>
    <w:rsid w:val="0094289F"/>
    <w:rsid w:val="00954DF4"/>
    <w:rsid w:val="009713C6"/>
    <w:rsid w:val="0097630C"/>
    <w:rsid w:val="00993305"/>
    <w:rsid w:val="00996989"/>
    <w:rsid w:val="009A71AD"/>
    <w:rsid w:val="009A7EAB"/>
    <w:rsid w:val="009C02BD"/>
    <w:rsid w:val="009C4F83"/>
    <w:rsid w:val="009E5D2E"/>
    <w:rsid w:val="009F19B2"/>
    <w:rsid w:val="009F2640"/>
    <w:rsid w:val="009F3179"/>
    <w:rsid w:val="009F63AD"/>
    <w:rsid w:val="00A04EFA"/>
    <w:rsid w:val="00A05C21"/>
    <w:rsid w:val="00A14869"/>
    <w:rsid w:val="00A14FDB"/>
    <w:rsid w:val="00A2302E"/>
    <w:rsid w:val="00A32418"/>
    <w:rsid w:val="00A375D5"/>
    <w:rsid w:val="00A41013"/>
    <w:rsid w:val="00A43D2A"/>
    <w:rsid w:val="00A52D7B"/>
    <w:rsid w:val="00A60CFF"/>
    <w:rsid w:val="00A64BAF"/>
    <w:rsid w:val="00A650E3"/>
    <w:rsid w:val="00A76242"/>
    <w:rsid w:val="00A77BD7"/>
    <w:rsid w:val="00A924A0"/>
    <w:rsid w:val="00A931A7"/>
    <w:rsid w:val="00AA5C1C"/>
    <w:rsid w:val="00AE12A5"/>
    <w:rsid w:val="00AE3199"/>
    <w:rsid w:val="00AE3342"/>
    <w:rsid w:val="00AF1D16"/>
    <w:rsid w:val="00B027F5"/>
    <w:rsid w:val="00B1415A"/>
    <w:rsid w:val="00B239BB"/>
    <w:rsid w:val="00B245FF"/>
    <w:rsid w:val="00B31E23"/>
    <w:rsid w:val="00B36BBC"/>
    <w:rsid w:val="00B41035"/>
    <w:rsid w:val="00B454BE"/>
    <w:rsid w:val="00B54B74"/>
    <w:rsid w:val="00B55951"/>
    <w:rsid w:val="00B65CC7"/>
    <w:rsid w:val="00B7754E"/>
    <w:rsid w:val="00B81569"/>
    <w:rsid w:val="00B84DC0"/>
    <w:rsid w:val="00B96B2C"/>
    <w:rsid w:val="00B96E27"/>
    <w:rsid w:val="00B972C0"/>
    <w:rsid w:val="00BA7EED"/>
    <w:rsid w:val="00BB4E33"/>
    <w:rsid w:val="00BC1BDA"/>
    <w:rsid w:val="00BE36DB"/>
    <w:rsid w:val="00BF4BD5"/>
    <w:rsid w:val="00C03572"/>
    <w:rsid w:val="00C14ADE"/>
    <w:rsid w:val="00C24C4B"/>
    <w:rsid w:val="00C311AF"/>
    <w:rsid w:val="00C34F2D"/>
    <w:rsid w:val="00C4693A"/>
    <w:rsid w:val="00C631BE"/>
    <w:rsid w:val="00C75181"/>
    <w:rsid w:val="00C93AFF"/>
    <w:rsid w:val="00C9537C"/>
    <w:rsid w:val="00C972DC"/>
    <w:rsid w:val="00CB4997"/>
    <w:rsid w:val="00CB4B54"/>
    <w:rsid w:val="00CC1208"/>
    <w:rsid w:val="00CC4952"/>
    <w:rsid w:val="00D01C90"/>
    <w:rsid w:val="00D02754"/>
    <w:rsid w:val="00D04B98"/>
    <w:rsid w:val="00D07AF7"/>
    <w:rsid w:val="00D12B30"/>
    <w:rsid w:val="00D165F2"/>
    <w:rsid w:val="00D434B8"/>
    <w:rsid w:val="00D70DA8"/>
    <w:rsid w:val="00D870F5"/>
    <w:rsid w:val="00D87791"/>
    <w:rsid w:val="00D971A1"/>
    <w:rsid w:val="00DB3C46"/>
    <w:rsid w:val="00DB4F5C"/>
    <w:rsid w:val="00DD4418"/>
    <w:rsid w:val="00DE1B2D"/>
    <w:rsid w:val="00DF06CF"/>
    <w:rsid w:val="00E007A8"/>
    <w:rsid w:val="00E04612"/>
    <w:rsid w:val="00E12109"/>
    <w:rsid w:val="00E30F07"/>
    <w:rsid w:val="00E4072C"/>
    <w:rsid w:val="00E46F52"/>
    <w:rsid w:val="00E47A74"/>
    <w:rsid w:val="00E5481B"/>
    <w:rsid w:val="00E55838"/>
    <w:rsid w:val="00E565AB"/>
    <w:rsid w:val="00E56EAB"/>
    <w:rsid w:val="00E605C0"/>
    <w:rsid w:val="00E669F0"/>
    <w:rsid w:val="00E67DAA"/>
    <w:rsid w:val="00E708BC"/>
    <w:rsid w:val="00E91C48"/>
    <w:rsid w:val="00E923F0"/>
    <w:rsid w:val="00EA18AE"/>
    <w:rsid w:val="00EA6890"/>
    <w:rsid w:val="00EB71C0"/>
    <w:rsid w:val="00EC0E13"/>
    <w:rsid w:val="00EC2DD4"/>
    <w:rsid w:val="00EE21D6"/>
    <w:rsid w:val="00EE530A"/>
    <w:rsid w:val="00EF2D24"/>
    <w:rsid w:val="00F02DB4"/>
    <w:rsid w:val="00F04121"/>
    <w:rsid w:val="00F25558"/>
    <w:rsid w:val="00F27FB1"/>
    <w:rsid w:val="00F305F6"/>
    <w:rsid w:val="00F413DB"/>
    <w:rsid w:val="00F435DC"/>
    <w:rsid w:val="00F66AED"/>
    <w:rsid w:val="00F67DCE"/>
    <w:rsid w:val="00F7147F"/>
    <w:rsid w:val="00F73095"/>
    <w:rsid w:val="00F87768"/>
    <w:rsid w:val="00F95EE2"/>
    <w:rsid w:val="00F97392"/>
    <w:rsid w:val="00FA481D"/>
    <w:rsid w:val="00FA7CFE"/>
    <w:rsid w:val="00FB4FED"/>
    <w:rsid w:val="00FD388D"/>
    <w:rsid w:val="00FE1C18"/>
    <w:rsid w:val="00FF25ED"/>
    <w:rsid w:val="00FF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0EA4"/>
  <w15:chartTrackingRefBased/>
  <w15:docId w15:val="{E7753F95-27C6-4020-9D76-257289E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2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1B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221B7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415064"/>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16536D"/>
    <w:rPr>
      <w:color w:val="0563C1" w:themeColor="hyperlink"/>
      <w:u w:val="single"/>
    </w:rPr>
  </w:style>
  <w:style w:type="character" w:styleId="Mencinsinresolver">
    <w:name w:val="Unresolved Mention"/>
    <w:basedOn w:val="Fuentedeprrafopredeter"/>
    <w:uiPriority w:val="99"/>
    <w:semiHidden/>
    <w:unhideWhenUsed/>
    <w:rsid w:val="00165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9095">
      <w:bodyDiv w:val="1"/>
      <w:marLeft w:val="0"/>
      <w:marRight w:val="0"/>
      <w:marTop w:val="0"/>
      <w:marBottom w:val="0"/>
      <w:divBdr>
        <w:top w:val="none" w:sz="0" w:space="0" w:color="auto"/>
        <w:left w:val="none" w:sz="0" w:space="0" w:color="auto"/>
        <w:bottom w:val="none" w:sz="0" w:space="0" w:color="auto"/>
        <w:right w:val="none" w:sz="0" w:space="0" w:color="auto"/>
      </w:divBdr>
    </w:div>
    <w:div w:id="256986893">
      <w:bodyDiv w:val="1"/>
      <w:marLeft w:val="0"/>
      <w:marRight w:val="0"/>
      <w:marTop w:val="0"/>
      <w:marBottom w:val="0"/>
      <w:divBdr>
        <w:top w:val="none" w:sz="0" w:space="0" w:color="auto"/>
        <w:left w:val="none" w:sz="0" w:space="0" w:color="auto"/>
        <w:bottom w:val="none" w:sz="0" w:space="0" w:color="auto"/>
        <w:right w:val="none" w:sz="0" w:space="0" w:color="auto"/>
      </w:divBdr>
    </w:div>
    <w:div w:id="607585930">
      <w:bodyDiv w:val="1"/>
      <w:marLeft w:val="0"/>
      <w:marRight w:val="0"/>
      <w:marTop w:val="0"/>
      <w:marBottom w:val="0"/>
      <w:divBdr>
        <w:top w:val="none" w:sz="0" w:space="0" w:color="auto"/>
        <w:left w:val="none" w:sz="0" w:space="0" w:color="auto"/>
        <w:bottom w:val="none" w:sz="0" w:space="0" w:color="auto"/>
        <w:right w:val="none" w:sz="0" w:space="0" w:color="auto"/>
      </w:divBdr>
    </w:div>
    <w:div w:id="884609423">
      <w:bodyDiv w:val="1"/>
      <w:marLeft w:val="0"/>
      <w:marRight w:val="0"/>
      <w:marTop w:val="0"/>
      <w:marBottom w:val="0"/>
      <w:divBdr>
        <w:top w:val="none" w:sz="0" w:space="0" w:color="auto"/>
        <w:left w:val="none" w:sz="0" w:space="0" w:color="auto"/>
        <w:bottom w:val="none" w:sz="0" w:space="0" w:color="auto"/>
        <w:right w:val="none" w:sz="0" w:space="0" w:color="auto"/>
      </w:divBdr>
    </w:div>
    <w:div w:id="1058475273">
      <w:bodyDiv w:val="1"/>
      <w:marLeft w:val="0"/>
      <w:marRight w:val="0"/>
      <w:marTop w:val="0"/>
      <w:marBottom w:val="0"/>
      <w:divBdr>
        <w:top w:val="none" w:sz="0" w:space="0" w:color="auto"/>
        <w:left w:val="none" w:sz="0" w:space="0" w:color="auto"/>
        <w:bottom w:val="none" w:sz="0" w:space="0" w:color="auto"/>
        <w:right w:val="none" w:sz="0" w:space="0" w:color="auto"/>
      </w:divBdr>
    </w:div>
    <w:div w:id="1754669841">
      <w:bodyDiv w:val="1"/>
      <w:marLeft w:val="0"/>
      <w:marRight w:val="0"/>
      <w:marTop w:val="0"/>
      <w:marBottom w:val="0"/>
      <w:divBdr>
        <w:top w:val="none" w:sz="0" w:space="0" w:color="auto"/>
        <w:left w:val="none" w:sz="0" w:space="0" w:color="auto"/>
        <w:bottom w:val="none" w:sz="0" w:space="0" w:color="auto"/>
        <w:right w:val="none" w:sz="0" w:space="0" w:color="auto"/>
      </w:divBdr>
    </w:div>
    <w:div w:id="1797484080">
      <w:bodyDiv w:val="1"/>
      <w:marLeft w:val="0"/>
      <w:marRight w:val="0"/>
      <w:marTop w:val="0"/>
      <w:marBottom w:val="0"/>
      <w:divBdr>
        <w:top w:val="none" w:sz="0" w:space="0" w:color="auto"/>
        <w:left w:val="none" w:sz="0" w:space="0" w:color="auto"/>
        <w:bottom w:val="none" w:sz="0" w:space="0" w:color="auto"/>
        <w:right w:val="none" w:sz="0" w:space="0" w:color="auto"/>
      </w:divBdr>
    </w:div>
    <w:div w:id="1855338099">
      <w:bodyDiv w:val="1"/>
      <w:marLeft w:val="0"/>
      <w:marRight w:val="0"/>
      <w:marTop w:val="0"/>
      <w:marBottom w:val="0"/>
      <w:divBdr>
        <w:top w:val="none" w:sz="0" w:space="0" w:color="auto"/>
        <w:left w:val="none" w:sz="0" w:space="0" w:color="auto"/>
        <w:bottom w:val="none" w:sz="0" w:space="0" w:color="auto"/>
        <w:right w:val="none" w:sz="0" w:space="0" w:color="auto"/>
      </w:divBdr>
      <w:divsChild>
        <w:div w:id="571431057">
          <w:marLeft w:val="446"/>
          <w:marRight w:val="0"/>
          <w:marTop w:val="0"/>
          <w:marBottom w:val="160"/>
          <w:divBdr>
            <w:top w:val="none" w:sz="0" w:space="0" w:color="auto"/>
            <w:left w:val="none" w:sz="0" w:space="0" w:color="auto"/>
            <w:bottom w:val="none" w:sz="0" w:space="0" w:color="auto"/>
            <w:right w:val="none" w:sz="0" w:space="0" w:color="auto"/>
          </w:divBdr>
        </w:div>
        <w:div w:id="35159572">
          <w:marLeft w:val="446"/>
          <w:marRight w:val="0"/>
          <w:marTop w:val="0"/>
          <w:marBottom w:val="160"/>
          <w:divBdr>
            <w:top w:val="none" w:sz="0" w:space="0" w:color="auto"/>
            <w:left w:val="none" w:sz="0" w:space="0" w:color="auto"/>
            <w:bottom w:val="none" w:sz="0" w:space="0" w:color="auto"/>
            <w:right w:val="none" w:sz="0" w:space="0" w:color="auto"/>
          </w:divBdr>
        </w:div>
        <w:div w:id="1191799958">
          <w:marLeft w:val="446"/>
          <w:marRight w:val="0"/>
          <w:marTop w:val="0"/>
          <w:marBottom w:val="160"/>
          <w:divBdr>
            <w:top w:val="none" w:sz="0" w:space="0" w:color="auto"/>
            <w:left w:val="none" w:sz="0" w:space="0" w:color="auto"/>
            <w:bottom w:val="none" w:sz="0" w:space="0" w:color="auto"/>
            <w:right w:val="none" w:sz="0" w:space="0" w:color="auto"/>
          </w:divBdr>
        </w:div>
        <w:div w:id="2019964969">
          <w:marLeft w:val="446"/>
          <w:marRight w:val="0"/>
          <w:marTop w:val="0"/>
          <w:marBottom w:val="160"/>
          <w:divBdr>
            <w:top w:val="none" w:sz="0" w:space="0" w:color="auto"/>
            <w:left w:val="none" w:sz="0" w:space="0" w:color="auto"/>
            <w:bottom w:val="none" w:sz="0" w:space="0" w:color="auto"/>
            <w:right w:val="none" w:sz="0" w:space="0" w:color="auto"/>
          </w:divBdr>
        </w:div>
        <w:div w:id="2038195781">
          <w:marLeft w:val="446"/>
          <w:marRight w:val="0"/>
          <w:marTop w:val="0"/>
          <w:marBottom w:val="160"/>
          <w:divBdr>
            <w:top w:val="none" w:sz="0" w:space="0" w:color="auto"/>
            <w:left w:val="none" w:sz="0" w:space="0" w:color="auto"/>
            <w:bottom w:val="none" w:sz="0" w:space="0" w:color="auto"/>
            <w:right w:val="none" w:sz="0" w:space="0" w:color="auto"/>
          </w:divBdr>
        </w:div>
      </w:divsChild>
    </w:div>
    <w:div w:id="1861582562">
      <w:bodyDiv w:val="1"/>
      <w:marLeft w:val="0"/>
      <w:marRight w:val="0"/>
      <w:marTop w:val="0"/>
      <w:marBottom w:val="0"/>
      <w:divBdr>
        <w:top w:val="none" w:sz="0" w:space="0" w:color="auto"/>
        <w:left w:val="none" w:sz="0" w:space="0" w:color="auto"/>
        <w:bottom w:val="none" w:sz="0" w:space="0" w:color="auto"/>
        <w:right w:val="none" w:sz="0" w:space="0" w:color="auto"/>
      </w:divBdr>
    </w:div>
    <w:div w:id="2032099666">
      <w:bodyDiv w:val="1"/>
      <w:marLeft w:val="0"/>
      <w:marRight w:val="0"/>
      <w:marTop w:val="0"/>
      <w:marBottom w:val="0"/>
      <w:divBdr>
        <w:top w:val="none" w:sz="0" w:space="0" w:color="auto"/>
        <w:left w:val="none" w:sz="0" w:space="0" w:color="auto"/>
        <w:bottom w:val="none" w:sz="0" w:space="0" w:color="auto"/>
        <w:right w:val="none" w:sz="0" w:space="0" w:color="auto"/>
      </w:divBdr>
      <w:divsChild>
        <w:div w:id="1976786619">
          <w:marLeft w:val="446"/>
          <w:marRight w:val="0"/>
          <w:marTop w:val="0"/>
          <w:marBottom w:val="160"/>
          <w:divBdr>
            <w:top w:val="none" w:sz="0" w:space="0" w:color="auto"/>
            <w:left w:val="none" w:sz="0" w:space="0" w:color="auto"/>
            <w:bottom w:val="none" w:sz="0" w:space="0" w:color="auto"/>
            <w:right w:val="none" w:sz="0" w:space="0" w:color="auto"/>
          </w:divBdr>
        </w:div>
        <w:div w:id="1209995209">
          <w:marLeft w:val="446"/>
          <w:marRight w:val="0"/>
          <w:marTop w:val="0"/>
          <w:marBottom w:val="160"/>
          <w:divBdr>
            <w:top w:val="none" w:sz="0" w:space="0" w:color="auto"/>
            <w:left w:val="none" w:sz="0" w:space="0" w:color="auto"/>
            <w:bottom w:val="none" w:sz="0" w:space="0" w:color="auto"/>
            <w:right w:val="none" w:sz="0" w:space="0" w:color="auto"/>
          </w:divBdr>
        </w:div>
        <w:div w:id="545989388">
          <w:marLeft w:val="446"/>
          <w:marRight w:val="0"/>
          <w:marTop w:val="0"/>
          <w:marBottom w:val="160"/>
          <w:divBdr>
            <w:top w:val="none" w:sz="0" w:space="0" w:color="auto"/>
            <w:left w:val="none" w:sz="0" w:space="0" w:color="auto"/>
            <w:bottom w:val="none" w:sz="0" w:space="0" w:color="auto"/>
            <w:right w:val="none" w:sz="0" w:space="0" w:color="auto"/>
          </w:divBdr>
        </w:div>
        <w:div w:id="1948657422">
          <w:marLeft w:val="446"/>
          <w:marRight w:val="0"/>
          <w:marTop w:val="0"/>
          <w:marBottom w:val="160"/>
          <w:divBdr>
            <w:top w:val="none" w:sz="0" w:space="0" w:color="auto"/>
            <w:left w:val="none" w:sz="0" w:space="0" w:color="auto"/>
            <w:bottom w:val="none" w:sz="0" w:space="0" w:color="auto"/>
            <w:right w:val="none" w:sz="0" w:space="0" w:color="auto"/>
          </w:divBdr>
        </w:div>
        <w:div w:id="1804227001">
          <w:marLeft w:val="446"/>
          <w:marRight w:val="0"/>
          <w:marTop w:val="0"/>
          <w:marBottom w:val="160"/>
          <w:divBdr>
            <w:top w:val="none" w:sz="0" w:space="0" w:color="auto"/>
            <w:left w:val="none" w:sz="0" w:space="0" w:color="auto"/>
            <w:bottom w:val="none" w:sz="0" w:space="0" w:color="auto"/>
            <w:right w:val="none" w:sz="0" w:space="0" w:color="auto"/>
          </w:divBdr>
        </w:div>
      </w:divsChild>
    </w:div>
    <w:div w:id="20431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2491</TotalTime>
  <Pages>2</Pages>
  <Words>834</Words>
  <Characters>4593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TAPIA MENDOZA ALFONSO</cp:lastModifiedBy>
  <cp:revision>162</cp:revision>
  <dcterms:created xsi:type="dcterms:W3CDTF">2021-06-29T23:04:00Z</dcterms:created>
  <dcterms:modified xsi:type="dcterms:W3CDTF">2021-07-09T16:45:00Z</dcterms:modified>
</cp:coreProperties>
</file>