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0"/>
        <w:gridCol w:w="7458"/>
      </w:tblGrid>
      <w:tr w:rsidR="001A7AC5" w:rsidRPr="00191B1E" w14:paraId="29F1B1A6" w14:textId="77777777" w:rsidTr="00B146D7">
        <w:trPr>
          <w:trHeight w:val="553"/>
        </w:trPr>
        <w:tc>
          <w:tcPr>
            <w:tcW w:w="3174" w:type="dxa"/>
            <w:gridSpan w:val="3"/>
            <w:tcBorders>
              <w:bottom w:val="single" w:sz="4" w:space="0" w:color="BFBFBF" w:themeColor="background1" w:themeShade="BF"/>
            </w:tcBorders>
            <w:shd w:val="clear" w:color="auto" w:fill="808080" w:themeFill="background1" w:themeFillShade="80"/>
            <w:vAlign w:val="center"/>
          </w:tcPr>
          <w:p w14:paraId="7E498C81" w14:textId="77777777" w:rsidR="001A7AC5" w:rsidRPr="00191B1E" w:rsidRDefault="001A7AC5"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8" w:type="dxa"/>
            <w:tcBorders>
              <w:bottom w:val="single" w:sz="4" w:space="0" w:color="BFBFBF" w:themeColor="background1" w:themeShade="BF"/>
            </w:tcBorders>
            <w:shd w:val="clear" w:color="auto" w:fill="808080" w:themeFill="background1" w:themeFillShade="80"/>
            <w:vAlign w:val="center"/>
          </w:tcPr>
          <w:p w14:paraId="66A02D2B" w14:textId="77777777" w:rsidR="001A7AC5" w:rsidRPr="002129D2" w:rsidRDefault="002129D2" w:rsidP="002129D2">
            <w:pPr>
              <w:pStyle w:val="NormalWeb"/>
              <w:spacing w:before="0" w:beforeAutospacing="0" w:after="0" w:afterAutospacing="0" w:line="256" w:lineRule="auto"/>
              <w:rPr>
                <w:rFonts w:ascii="Arial" w:hAnsi="Arial" w:cs="Arial"/>
                <w:sz w:val="22"/>
                <w:szCs w:val="22"/>
                <w:lang w:val="es-MX"/>
              </w:rPr>
            </w:pPr>
            <w:r w:rsidRPr="002129D2">
              <w:rPr>
                <w:rFonts w:asciiTheme="minorHAnsi" w:eastAsia="Calibri" w:hAnsi="Calibri"/>
                <w:color w:val="FFFFFF" w:themeColor="background1"/>
                <w:kern w:val="24"/>
                <w:sz w:val="22"/>
                <w:szCs w:val="22"/>
                <w:lang w:val="es-MX"/>
              </w:rPr>
              <w:t>Confidencialidad y reserva de datos</w:t>
            </w:r>
          </w:p>
        </w:tc>
      </w:tr>
      <w:tr w:rsidR="001A7AC5" w:rsidRPr="00191B1E" w14:paraId="4A1AC597" w14:textId="77777777" w:rsidTr="00B146D7">
        <w:trPr>
          <w:trHeight w:val="553"/>
        </w:trPr>
        <w:tc>
          <w:tcPr>
            <w:tcW w:w="3174"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3838FDC7" w14:textId="77777777" w:rsidR="001A7AC5" w:rsidRPr="00191B1E" w:rsidRDefault="001A7AC5" w:rsidP="00B65CC7">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8"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D6C9847" w14:textId="77777777" w:rsidR="001A7AC5" w:rsidRPr="00191B1E" w:rsidRDefault="002129D2"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Establecer controles de calidad en procesos estandarizados y documentados</w:t>
            </w:r>
          </w:p>
        </w:tc>
      </w:tr>
      <w:tr w:rsidR="001A7AC5" w:rsidRPr="00191B1E" w14:paraId="319E12F5" w14:textId="77777777" w:rsidTr="00B146D7">
        <w:trPr>
          <w:trHeight w:val="415"/>
        </w:trPr>
        <w:tc>
          <w:tcPr>
            <w:tcW w:w="3174" w:type="dxa"/>
            <w:gridSpan w:val="3"/>
            <w:tcBorders>
              <w:top w:val="single" w:sz="4" w:space="0" w:color="BFBFBF" w:themeColor="background1" w:themeShade="BF"/>
            </w:tcBorders>
            <w:shd w:val="clear" w:color="auto" w:fill="808080" w:themeFill="background1" w:themeFillShade="80"/>
            <w:vAlign w:val="center"/>
          </w:tcPr>
          <w:p w14:paraId="001B1DFB" w14:textId="77777777" w:rsidR="001A7AC5" w:rsidRPr="00191B1E" w:rsidRDefault="001A7AC5"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8" w:type="dxa"/>
            <w:tcBorders>
              <w:top w:val="single" w:sz="4" w:space="0" w:color="BFBFBF" w:themeColor="background1" w:themeShade="BF"/>
            </w:tcBorders>
            <w:shd w:val="clear" w:color="auto" w:fill="808080" w:themeFill="background1" w:themeFillShade="80"/>
            <w:vAlign w:val="center"/>
          </w:tcPr>
          <w:p w14:paraId="2B59DDC8" w14:textId="77777777" w:rsidR="001A7AC5" w:rsidRPr="00191B1E" w:rsidRDefault="002129D2" w:rsidP="002129D2">
            <w:pPr>
              <w:pStyle w:val="NormalWeb"/>
              <w:spacing w:before="0" w:beforeAutospacing="0" w:after="0" w:afterAutospacing="0" w:line="256" w:lineRule="auto"/>
              <w:rPr>
                <w:rFonts w:ascii="Arial" w:hAnsi="Arial" w:cs="Arial"/>
                <w:sz w:val="22"/>
                <w:szCs w:val="22"/>
                <w:lang w:val="es-MX"/>
              </w:rPr>
            </w:pPr>
            <w:r w:rsidRPr="002129D2">
              <w:rPr>
                <w:rFonts w:asciiTheme="minorHAnsi" w:hAnsi="Calibri" w:cs="Calibri"/>
                <w:color w:val="FFFFFF" w:themeColor="background1"/>
                <w:kern w:val="24"/>
                <w:sz w:val="22"/>
                <w:szCs w:val="22"/>
                <w:lang w:val="es-MX"/>
              </w:rPr>
              <w:t>Propuesta de instrumentos normativos para continuar salvaguardando la confidencialidad de los informantes</w:t>
            </w:r>
            <w:r w:rsidR="001A7AC5" w:rsidRPr="00191B1E">
              <w:rPr>
                <w:rFonts w:asciiTheme="minorHAnsi" w:hAnsi="Calibri" w:cs="Calibri"/>
                <w:color w:val="FFFFFF" w:themeColor="background1"/>
                <w:kern w:val="24"/>
                <w:sz w:val="22"/>
                <w:szCs w:val="22"/>
                <w:lang w:val="es-MX"/>
              </w:rPr>
              <w:t>.</w:t>
            </w:r>
          </w:p>
        </w:tc>
      </w:tr>
      <w:tr w:rsidR="001A7AC5" w14:paraId="2E3FB0F9" w14:textId="77777777" w:rsidTr="00B146D7">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184A05F1" w14:textId="77777777" w:rsidR="001A7AC5" w:rsidRPr="00221B78" w:rsidRDefault="001A7AC5"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6AD2A638" w14:textId="77777777" w:rsidR="001A7AC5" w:rsidRPr="00221B78" w:rsidRDefault="005F4249" w:rsidP="00B65CC7">
            <w:pPr>
              <w:pStyle w:val="NormalWeb"/>
              <w:spacing w:before="0" w:beforeAutospacing="0" w:after="0" w:afterAutospacing="0" w:line="256" w:lineRule="auto"/>
              <w:rPr>
                <w:rFonts w:ascii="Arial" w:hAnsi="Arial" w:cs="Arial"/>
                <w:sz w:val="22"/>
                <w:szCs w:val="22"/>
                <w:lang w:val="es-MX"/>
              </w:rPr>
            </w:pPr>
            <w:r>
              <w:rPr>
                <w:rFonts w:ascii="Calibri" w:hAnsi="Calibri" w:cs="Calibri"/>
                <w:color w:val="000000" w:themeColor="dark1"/>
                <w:kern w:val="24"/>
                <w:sz w:val="22"/>
                <w:szCs w:val="22"/>
                <w:lang w:val="es-MX"/>
              </w:rPr>
              <w:t xml:space="preserve">Manuel Cuellar, </w:t>
            </w:r>
            <w:r w:rsidR="009F2640">
              <w:rPr>
                <w:rFonts w:ascii="Calibri" w:hAnsi="Calibri" w:cs="Calibri"/>
                <w:color w:val="000000" w:themeColor="dark1"/>
                <w:kern w:val="24"/>
                <w:sz w:val="22"/>
                <w:szCs w:val="22"/>
                <w:lang w:val="es-MX"/>
              </w:rPr>
              <w:t>Director General Adjunto de Integración de Información</w:t>
            </w:r>
          </w:p>
        </w:tc>
      </w:tr>
      <w:tr w:rsidR="001A7AC5" w14:paraId="189ABAAD" w14:textId="77777777" w:rsidTr="00B146D7">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C751965" w14:textId="77777777" w:rsidR="001A7AC5" w:rsidRPr="00221B78" w:rsidRDefault="001A7AC5"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35C28D6" w14:textId="0E5E64C5" w:rsidR="00A2302E" w:rsidRDefault="00A2302E"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Toribio Sánchez</w:t>
            </w:r>
            <w:r w:rsidR="003B3AB7">
              <w:rPr>
                <w:rFonts w:ascii="Calibri" w:hAnsi="Calibri" w:cs="Calibri"/>
                <w:color w:val="000000" w:themeColor="dark1"/>
                <w:kern w:val="24"/>
                <w:sz w:val="22"/>
                <w:szCs w:val="22"/>
                <w:lang w:val="es-MX"/>
              </w:rPr>
              <w:t xml:space="preserve"> Navarrete</w:t>
            </w:r>
            <w:r w:rsidR="001A7AC5">
              <w:rPr>
                <w:rFonts w:ascii="Calibri" w:hAnsi="Calibri" w:cs="Calibri"/>
                <w:color w:val="000000" w:themeColor="dark1"/>
                <w:kern w:val="24"/>
                <w:sz w:val="22"/>
                <w:szCs w:val="22"/>
                <w:lang w:val="es-MX"/>
              </w:rPr>
              <w:t>,</w:t>
            </w:r>
            <w:r>
              <w:rPr>
                <w:rFonts w:ascii="Calibri" w:hAnsi="Calibri" w:cs="Calibri"/>
                <w:color w:val="000000" w:themeColor="dark1"/>
                <w:kern w:val="24"/>
                <w:sz w:val="22"/>
                <w:szCs w:val="22"/>
                <w:lang w:val="es-MX"/>
              </w:rPr>
              <w:t xml:space="preserve"> (DGES)</w:t>
            </w:r>
          </w:p>
          <w:p w14:paraId="519757DB" w14:textId="77777777" w:rsidR="00A2302E" w:rsidRPr="00A2302E" w:rsidRDefault="00A2302E" w:rsidP="00A2302E">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A2302E">
              <w:rPr>
                <w:rFonts w:ascii="Calibri" w:hAnsi="Calibri" w:cs="Calibri"/>
                <w:color w:val="000000" w:themeColor="dark1"/>
                <w:kern w:val="24"/>
                <w:sz w:val="22"/>
                <w:szCs w:val="22"/>
                <w:lang w:val="es-MX"/>
              </w:rPr>
              <w:t>Luis Fernando Esteves Cano</w:t>
            </w:r>
            <w:r>
              <w:rPr>
                <w:rFonts w:ascii="Calibri" w:hAnsi="Calibri" w:cs="Calibri"/>
                <w:color w:val="000000" w:themeColor="dark1"/>
                <w:kern w:val="24"/>
                <w:sz w:val="22"/>
                <w:szCs w:val="22"/>
                <w:lang w:val="es-MX"/>
              </w:rPr>
              <w:t>, (DGEE)</w:t>
            </w:r>
          </w:p>
          <w:p w14:paraId="36125CA7" w14:textId="77777777" w:rsidR="001A7AC5" w:rsidRDefault="00A2302E" w:rsidP="00A2302E">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A2302E">
              <w:rPr>
                <w:rFonts w:ascii="Calibri" w:hAnsi="Calibri" w:cs="Calibri"/>
                <w:color w:val="000000" w:themeColor="dark1"/>
                <w:kern w:val="24"/>
                <w:sz w:val="22"/>
                <w:szCs w:val="22"/>
                <w:lang w:val="es-MX"/>
              </w:rPr>
              <w:t>Mauro Gascón Varela</w:t>
            </w:r>
            <w:r>
              <w:rPr>
                <w:rFonts w:ascii="Calibri" w:hAnsi="Calibri" w:cs="Calibri"/>
                <w:color w:val="000000" w:themeColor="dark1"/>
                <w:kern w:val="24"/>
                <w:sz w:val="22"/>
                <w:szCs w:val="22"/>
                <w:lang w:val="es-MX"/>
              </w:rPr>
              <w:t>, (DGEE)</w:t>
            </w:r>
            <w:r w:rsidR="001A7AC5">
              <w:rPr>
                <w:rFonts w:ascii="Calibri" w:hAnsi="Calibri" w:cs="Calibri"/>
                <w:color w:val="000000" w:themeColor="dark1"/>
                <w:kern w:val="24"/>
                <w:sz w:val="22"/>
                <w:szCs w:val="22"/>
                <w:lang w:val="es-MX"/>
              </w:rPr>
              <w:t xml:space="preserve"> </w:t>
            </w:r>
          </w:p>
          <w:p w14:paraId="79794250" w14:textId="77777777" w:rsidR="001F44F1" w:rsidRDefault="001F44F1" w:rsidP="001F44F1">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Mario Santillana (DGEGSPJ)</w:t>
            </w:r>
          </w:p>
          <w:p w14:paraId="3BF1FA7D" w14:textId="77777777" w:rsidR="001F44F1" w:rsidRPr="001F44F1" w:rsidRDefault="001F44F1" w:rsidP="001F44F1">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1F44F1">
              <w:rPr>
                <w:rFonts w:ascii="Calibri" w:hAnsi="Calibri" w:cs="Calibri"/>
                <w:color w:val="000000" w:themeColor="dark1"/>
                <w:kern w:val="24"/>
                <w:sz w:val="22"/>
                <w:szCs w:val="22"/>
                <w:lang w:val="es-MX"/>
              </w:rPr>
              <w:t>José Netzahualcóyotl Salazar Guzmán (DGGMA)</w:t>
            </w:r>
          </w:p>
          <w:p w14:paraId="4D2357F7" w14:textId="77777777" w:rsidR="001F44F1" w:rsidRPr="001F44F1" w:rsidRDefault="001F44F1" w:rsidP="001F44F1">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1F44F1">
              <w:rPr>
                <w:rFonts w:ascii="Calibri" w:hAnsi="Calibri" w:cs="Calibri"/>
                <w:color w:val="000000" w:themeColor="dark1"/>
                <w:kern w:val="24"/>
                <w:sz w:val="22"/>
                <w:szCs w:val="22"/>
                <w:lang w:val="es-MX"/>
              </w:rPr>
              <w:t xml:space="preserve">Blanca Torres </w:t>
            </w:r>
            <w:proofErr w:type="spellStart"/>
            <w:r w:rsidRPr="001F44F1">
              <w:rPr>
                <w:rFonts w:ascii="Calibri" w:hAnsi="Calibri" w:cs="Calibri"/>
                <w:color w:val="000000" w:themeColor="dark1"/>
                <w:kern w:val="24"/>
                <w:sz w:val="22"/>
                <w:szCs w:val="22"/>
                <w:lang w:val="es-MX"/>
              </w:rPr>
              <w:t>Ezparza</w:t>
            </w:r>
            <w:proofErr w:type="spellEnd"/>
            <w:r w:rsidRPr="001F44F1">
              <w:rPr>
                <w:rFonts w:ascii="Calibri" w:hAnsi="Calibri" w:cs="Calibri"/>
                <w:color w:val="000000" w:themeColor="dark1"/>
                <w:kern w:val="24"/>
                <w:sz w:val="22"/>
                <w:szCs w:val="22"/>
                <w:lang w:val="es-MX"/>
              </w:rPr>
              <w:t xml:space="preserve"> (DGVSPI)</w:t>
            </w:r>
          </w:p>
          <w:p w14:paraId="5FF26E4D" w14:textId="5C1C8320" w:rsidR="001F44F1" w:rsidRPr="001F44F1" w:rsidRDefault="001F44F1" w:rsidP="001F44F1">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1F44F1">
              <w:rPr>
                <w:rFonts w:ascii="Calibri" w:hAnsi="Calibri" w:cs="Calibri"/>
                <w:color w:val="000000" w:themeColor="dark1"/>
                <w:kern w:val="24"/>
                <w:sz w:val="22"/>
                <w:szCs w:val="22"/>
                <w:lang w:val="es-MX"/>
              </w:rPr>
              <w:t xml:space="preserve">Cristina </w:t>
            </w:r>
            <w:proofErr w:type="spellStart"/>
            <w:r w:rsidRPr="001F44F1">
              <w:rPr>
                <w:rFonts w:ascii="Calibri" w:hAnsi="Calibri" w:cs="Calibri"/>
                <w:color w:val="000000" w:themeColor="dark1"/>
                <w:kern w:val="24"/>
                <w:sz w:val="22"/>
                <w:szCs w:val="22"/>
                <w:lang w:val="es-MX"/>
              </w:rPr>
              <w:t>Guirette</w:t>
            </w:r>
            <w:proofErr w:type="spellEnd"/>
            <w:r w:rsidR="003B3AB7">
              <w:rPr>
                <w:rFonts w:ascii="Calibri" w:hAnsi="Calibri" w:cs="Calibri"/>
                <w:color w:val="000000" w:themeColor="dark1"/>
                <w:kern w:val="24"/>
                <w:sz w:val="22"/>
                <w:szCs w:val="22"/>
                <w:lang w:val="es-MX"/>
              </w:rPr>
              <w:t xml:space="preserve"> Saldaña</w:t>
            </w:r>
            <w:r w:rsidRPr="001F44F1">
              <w:rPr>
                <w:rFonts w:ascii="Calibri" w:hAnsi="Calibri" w:cs="Calibri"/>
                <w:color w:val="000000" w:themeColor="dark1"/>
                <w:kern w:val="24"/>
                <w:sz w:val="22"/>
                <w:szCs w:val="22"/>
                <w:lang w:val="es-MX"/>
              </w:rPr>
              <w:t xml:space="preserve"> (CGJ)</w:t>
            </w:r>
          </w:p>
          <w:p w14:paraId="727E7C6D" w14:textId="0C59EFCD" w:rsidR="001F44F1" w:rsidRPr="001F44F1" w:rsidRDefault="001F44F1" w:rsidP="001F44F1">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1F44F1">
              <w:rPr>
                <w:rFonts w:ascii="Calibri" w:hAnsi="Calibri" w:cs="Calibri"/>
                <w:color w:val="000000" w:themeColor="dark1"/>
                <w:kern w:val="24"/>
                <w:sz w:val="22"/>
                <w:szCs w:val="22"/>
                <w:lang w:val="es-MX"/>
              </w:rPr>
              <w:t xml:space="preserve">Lizette </w:t>
            </w:r>
            <w:proofErr w:type="spellStart"/>
            <w:r w:rsidRPr="001F44F1">
              <w:rPr>
                <w:rFonts w:ascii="Calibri" w:hAnsi="Calibri" w:cs="Calibri"/>
                <w:color w:val="000000" w:themeColor="dark1"/>
                <w:kern w:val="24"/>
                <w:sz w:val="22"/>
                <w:szCs w:val="22"/>
                <w:lang w:val="es-MX"/>
              </w:rPr>
              <w:t>Traconis</w:t>
            </w:r>
            <w:proofErr w:type="spellEnd"/>
            <w:r w:rsidR="003B3AB7">
              <w:rPr>
                <w:rFonts w:ascii="Calibri" w:hAnsi="Calibri" w:cs="Calibri"/>
                <w:color w:val="000000" w:themeColor="dark1"/>
                <w:kern w:val="24"/>
                <w:sz w:val="22"/>
                <w:szCs w:val="22"/>
                <w:lang w:val="es-MX"/>
              </w:rPr>
              <w:t xml:space="preserve"> Lugo</w:t>
            </w:r>
            <w:r w:rsidRPr="001F44F1">
              <w:rPr>
                <w:rFonts w:ascii="Calibri" w:hAnsi="Calibri" w:cs="Calibri"/>
                <w:color w:val="000000" w:themeColor="dark1"/>
                <w:kern w:val="24"/>
                <w:sz w:val="22"/>
                <w:szCs w:val="22"/>
                <w:lang w:val="es-MX"/>
              </w:rPr>
              <w:t xml:space="preserve"> (CGI)</w:t>
            </w:r>
          </w:p>
          <w:p w14:paraId="7978567C" w14:textId="75E59081" w:rsidR="001F44F1" w:rsidRPr="00221B78" w:rsidRDefault="001F44F1" w:rsidP="001F44F1">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1F44F1">
              <w:rPr>
                <w:rFonts w:ascii="Calibri" w:hAnsi="Calibri" w:cs="Calibri"/>
                <w:color w:val="000000" w:themeColor="dark1"/>
                <w:kern w:val="24"/>
                <w:sz w:val="22"/>
                <w:szCs w:val="22"/>
                <w:lang w:val="es-MX"/>
              </w:rPr>
              <w:t xml:space="preserve">Alexandra </w:t>
            </w:r>
            <w:r w:rsidR="003B3AB7">
              <w:rPr>
                <w:rFonts w:ascii="Calibri" w:hAnsi="Calibri" w:cs="Calibri"/>
                <w:color w:val="000000" w:themeColor="dark1"/>
                <w:kern w:val="24"/>
                <w:sz w:val="22"/>
                <w:szCs w:val="22"/>
                <w:lang w:val="es-MX"/>
              </w:rPr>
              <w:t xml:space="preserve">Stephanie </w:t>
            </w:r>
            <w:r w:rsidRPr="001F44F1">
              <w:rPr>
                <w:rFonts w:ascii="Calibri" w:hAnsi="Calibri" w:cs="Calibri"/>
                <w:color w:val="000000" w:themeColor="dark1"/>
                <w:kern w:val="24"/>
                <w:sz w:val="22"/>
                <w:szCs w:val="22"/>
                <w:lang w:val="es-MX"/>
              </w:rPr>
              <w:t>Boyer (CGOR)</w:t>
            </w:r>
          </w:p>
        </w:tc>
      </w:tr>
      <w:tr w:rsidR="001A7AC5" w14:paraId="187D033D" w14:textId="77777777" w:rsidTr="00B146D7">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2F83A6B" w14:textId="0C13A293" w:rsidR="001A7AC5"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0E9BEBF" w14:textId="77777777" w:rsidR="001A7AC5" w:rsidRDefault="00DB4F5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DB4F5C">
              <w:rPr>
                <w:rFonts w:ascii="Calibri" w:hAnsi="Calibri" w:cs="Calibri"/>
                <w:b/>
                <w:color w:val="000000" w:themeColor="dark1"/>
                <w:kern w:val="24"/>
                <w:sz w:val="22"/>
                <w:szCs w:val="22"/>
                <w:lang w:val="es-MX"/>
              </w:rPr>
              <w:t>CAC-013/01/2019:</w:t>
            </w:r>
            <w:r>
              <w:rPr>
                <w:rFonts w:ascii="Calibri" w:hAnsi="Calibri" w:cs="Calibri"/>
                <w:color w:val="000000" w:themeColor="dark1"/>
                <w:kern w:val="24"/>
                <w:sz w:val="22"/>
                <w:szCs w:val="22"/>
                <w:lang w:val="es-MX"/>
              </w:rPr>
              <w:t xml:space="preserve"> </w:t>
            </w:r>
            <w:r w:rsidRPr="00DB4F5C">
              <w:rPr>
                <w:rFonts w:ascii="Calibri" w:hAnsi="Calibri" w:cs="Calibri"/>
                <w:color w:val="000000" w:themeColor="dark1"/>
                <w:kern w:val="24"/>
                <w:sz w:val="22"/>
                <w:szCs w:val="22"/>
                <w:lang w:val="es-MX"/>
              </w:rPr>
              <w:t>Se aprueba la creación de un grupo de trabajo para proponer los instrumentos normativos necesarios para continuar salvaguardando la confidencialidad de los informantes. El líder será el Director General Adjunto de Integración de Información con el apoyo técnico del área de asesores de Presidencia.</w:t>
            </w:r>
          </w:p>
          <w:p w14:paraId="394EDC5D" w14:textId="77777777" w:rsidR="00897506" w:rsidRDefault="00897506"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0325FF3" w14:textId="77777777" w:rsidR="000C2948" w:rsidRDefault="000C2948"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0C2948">
              <w:rPr>
                <w:rFonts w:ascii="Calibri" w:hAnsi="Calibri" w:cs="Calibri"/>
                <w:b/>
                <w:bCs/>
                <w:color w:val="000000" w:themeColor="dark1"/>
                <w:kern w:val="24"/>
                <w:sz w:val="22"/>
                <w:szCs w:val="22"/>
                <w:lang w:val="es-MX"/>
              </w:rPr>
              <w:t>CAC-006/04/2019:</w:t>
            </w:r>
            <w:r>
              <w:rPr>
                <w:rFonts w:ascii="Calibri" w:hAnsi="Calibri" w:cs="Calibri"/>
                <w:color w:val="000000" w:themeColor="dark1"/>
                <w:kern w:val="24"/>
                <w:sz w:val="22"/>
                <w:szCs w:val="22"/>
                <w:lang w:val="es-MX"/>
              </w:rPr>
              <w:t xml:space="preserve"> </w:t>
            </w:r>
            <w:r w:rsidRPr="000C2948">
              <w:rPr>
                <w:rFonts w:ascii="Calibri" w:hAnsi="Calibri" w:cs="Calibri"/>
                <w:color w:val="000000" w:themeColor="dark1"/>
                <w:kern w:val="24"/>
                <w:sz w:val="22"/>
                <w:szCs w:val="22"/>
                <w:lang w:val="es-MX"/>
              </w:rPr>
              <w:t>El grupo de trabajo de confidencialidad tomará en cuenta los comentarios expresados por los miembros del Comité en la Cuarta Sesión de 2019 para la propuesta de reglas que se presentará en la siguiente sesión del Comité.</w:t>
            </w:r>
          </w:p>
          <w:p w14:paraId="53CE9655" w14:textId="77777777" w:rsidR="000C2948" w:rsidRDefault="000C2948"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7E5DDDC" w14:textId="1B8F1C2B" w:rsidR="000C2948" w:rsidRPr="00221B78" w:rsidRDefault="000C2948"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0C2948">
              <w:rPr>
                <w:rFonts w:ascii="Calibri" w:hAnsi="Calibri" w:cs="Calibri"/>
                <w:b/>
                <w:bCs/>
                <w:color w:val="000000" w:themeColor="dark1"/>
                <w:kern w:val="24"/>
                <w:sz w:val="22"/>
                <w:szCs w:val="22"/>
                <w:lang w:val="es-MX"/>
              </w:rPr>
              <w:t>CAC-011/01/2020:</w:t>
            </w:r>
            <w:r>
              <w:rPr>
                <w:rFonts w:ascii="Calibri" w:hAnsi="Calibri" w:cs="Calibri"/>
                <w:color w:val="000000" w:themeColor="dark1"/>
                <w:kern w:val="24"/>
                <w:sz w:val="22"/>
                <w:szCs w:val="22"/>
                <w:lang w:val="es-MX"/>
              </w:rPr>
              <w:t xml:space="preserve"> </w:t>
            </w:r>
            <w:r w:rsidRPr="000C2948">
              <w:rPr>
                <w:rFonts w:ascii="Calibri" w:hAnsi="Calibri" w:cs="Calibri"/>
                <w:color w:val="000000" w:themeColor="dark1"/>
                <w:kern w:val="24"/>
                <w:sz w:val="22"/>
                <w:szCs w:val="22"/>
                <w:lang w:val="es-MX"/>
              </w:rPr>
              <w:t>Los vocales del Comité enviarán al Secretariado Técnico los comentarios de la propuesta de Reglas de Confidencialidad a más tardar el 27 de marzo de 2020, para iniciar el procedimiento para su aprobación de acuerdo con el procedimiento que indican las Reglas para establecer la normatividad del SNIEG</w:t>
            </w:r>
          </w:p>
        </w:tc>
      </w:tr>
      <w:tr w:rsidR="001A7AC5" w:rsidRPr="00DE1B2D" w14:paraId="060FAB8C" w14:textId="77777777" w:rsidTr="00B146D7">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EF1FC1E" w14:textId="77777777" w:rsidR="001A7AC5" w:rsidRPr="00221B78" w:rsidRDefault="001A7AC5"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461C1A1"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 xml:space="preserve">Material del </w:t>
            </w:r>
            <w:proofErr w:type="spellStart"/>
            <w:r w:rsidRPr="00B972C0">
              <w:rPr>
                <w:rFonts w:ascii="Calibri" w:eastAsia="Calibri" w:hAnsi="Calibri"/>
                <w:color w:val="000000" w:themeColor="dark1"/>
                <w:kern w:val="24"/>
                <w:sz w:val="22"/>
                <w:szCs w:val="22"/>
                <w:lang w:val="es-MX"/>
              </w:rPr>
              <w:t>task</w:t>
            </w:r>
            <w:proofErr w:type="spellEnd"/>
            <w:r w:rsidRPr="00B972C0">
              <w:rPr>
                <w:rFonts w:ascii="Calibri" w:eastAsia="Calibri" w:hAnsi="Calibri"/>
                <w:color w:val="000000" w:themeColor="dark1"/>
                <w:kern w:val="24"/>
                <w:sz w:val="22"/>
                <w:szCs w:val="22"/>
                <w:lang w:val="es-MX"/>
              </w:rPr>
              <w:t xml:space="preserve"> </w:t>
            </w:r>
            <w:proofErr w:type="spellStart"/>
            <w:r w:rsidRPr="00B972C0">
              <w:rPr>
                <w:rFonts w:ascii="Calibri" w:eastAsia="Calibri" w:hAnsi="Calibri"/>
                <w:color w:val="000000" w:themeColor="dark1"/>
                <w:kern w:val="24"/>
                <w:sz w:val="22"/>
                <w:szCs w:val="22"/>
                <w:lang w:val="es-MX"/>
              </w:rPr>
              <w:t>team</w:t>
            </w:r>
            <w:proofErr w:type="spellEnd"/>
            <w:r w:rsidRPr="00B972C0">
              <w:rPr>
                <w:rFonts w:ascii="Calibri" w:eastAsia="Calibri" w:hAnsi="Calibri"/>
                <w:color w:val="000000" w:themeColor="dark1"/>
                <w:kern w:val="24"/>
                <w:sz w:val="22"/>
                <w:szCs w:val="22"/>
                <w:lang w:val="es-MX"/>
              </w:rPr>
              <w:t xml:space="preserve"> </w:t>
            </w:r>
            <w:proofErr w:type="spellStart"/>
            <w:r w:rsidRPr="00B972C0">
              <w:rPr>
                <w:rFonts w:ascii="Calibri" w:eastAsia="Calibri" w:hAnsi="Calibri"/>
                <w:color w:val="000000" w:themeColor="dark1"/>
                <w:kern w:val="24"/>
                <w:sz w:val="22"/>
                <w:szCs w:val="22"/>
                <w:lang w:val="es-MX"/>
              </w:rPr>
              <w:t>del</w:t>
            </w:r>
            <w:proofErr w:type="spellEnd"/>
            <w:r w:rsidRPr="00B972C0">
              <w:rPr>
                <w:rFonts w:ascii="Calibri" w:eastAsia="Calibri" w:hAnsi="Calibri"/>
                <w:color w:val="000000" w:themeColor="dark1"/>
                <w:kern w:val="24"/>
                <w:sz w:val="22"/>
                <w:szCs w:val="22"/>
                <w:lang w:val="es-MX"/>
              </w:rPr>
              <w:t xml:space="preserve"> UN GWG </w:t>
            </w:r>
            <w:proofErr w:type="spellStart"/>
            <w:r w:rsidRPr="00B972C0">
              <w:rPr>
                <w:rFonts w:ascii="Calibri" w:eastAsia="Calibri" w:hAnsi="Calibri"/>
                <w:color w:val="000000" w:themeColor="dark1"/>
                <w:kern w:val="24"/>
                <w:sz w:val="22"/>
                <w:szCs w:val="22"/>
                <w:lang w:val="es-MX"/>
              </w:rPr>
              <w:t>on</w:t>
            </w:r>
            <w:proofErr w:type="spellEnd"/>
            <w:r w:rsidRPr="00B972C0">
              <w:rPr>
                <w:rFonts w:ascii="Calibri" w:eastAsia="Calibri" w:hAnsi="Calibri"/>
                <w:color w:val="000000" w:themeColor="dark1"/>
                <w:kern w:val="24"/>
                <w:sz w:val="22"/>
                <w:szCs w:val="22"/>
                <w:lang w:val="es-MX"/>
              </w:rPr>
              <w:t xml:space="preserve"> </w:t>
            </w:r>
            <w:proofErr w:type="spellStart"/>
            <w:r w:rsidRPr="00B972C0">
              <w:rPr>
                <w:rFonts w:ascii="Calibri" w:eastAsia="Calibri" w:hAnsi="Calibri"/>
                <w:color w:val="000000" w:themeColor="dark1"/>
                <w:kern w:val="24"/>
                <w:sz w:val="22"/>
                <w:szCs w:val="22"/>
                <w:lang w:val="es-MX"/>
              </w:rPr>
              <w:t>big</w:t>
            </w:r>
            <w:proofErr w:type="spellEnd"/>
            <w:r w:rsidRPr="00B972C0">
              <w:rPr>
                <w:rFonts w:ascii="Calibri" w:eastAsia="Calibri" w:hAnsi="Calibri"/>
                <w:color w:val="000000" w:themeColor="dark1"/>
                <w:kern w:val="24"/>
                <w:sz w:val="22"/>
                <w:szCs w:val="22"/>
                <w:lang w:val="es-MX"/>
              </w:rPr>
              <w:t xml:space="preserve"> data de UNSD, 2019:</w:t>
            </w:r>
          </w:p>
          <w:p w14:paraId="654E44EB"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 xml:space="preserve">Material de discusión de las reuniones de los </w:t>
            </w:r>
            <w:proofErr w:type="spellStart"/>
            <w:r w:rsidRPr="00B972C0">
              <w:rPr>
                <w:rFonts w:ascii="Calibri" w:eastAsia="Calibri" w:hAnsi="Calibri"/>
                <w:color w:val="000000" w:themeColor="dark1"/>
                <w:kern w:val="24"/>
                <w:sz w:val="22"/>
                <w:szCs w:val="22"/>
                <w:lang w:val="es-MX"/>
              </w:rPr>
              <w:t>Chief</w:t>
            </w:r>
            <w:proofErr w:type="spellEnd"/>
            <w:r w:rsidRPr="00B972C0">
              <w:rPr>
                <w:rFonts w:ascii="Calibri" w:eastAsia="Calibri" w:hAnsi="Calibri"/>
                <w:color w:val="000000" w:themeColor="dark1"/>
                <w:kern w:val="24"/>
                <w:sz w:val="22"/>
                <w:szCs w:val="22"/>
                <w:lang w:val="es-MX"/>
              </w:rPr>
              <w:t xml:space="preserve"> </w:t>
            </w:r>
            <w:proofErr w:type="spellStart"/>
            <w:r w:rsidRPr="00B972C0">
              <w:rPr>
                <w:rFonts w:ascii="Calibri" w:eastAsia="Calibri" w:hAnsi="Calibri"/>
                <w:color w:val="000000" w:themeColor="dark1"/>
                <w:kern w:val="24"/>
                <w:sz w:val="22"/>
                <w:szCs w:val="22"/>
                <w:lang w:val="es-MX"/>
              </w:rPr>
              <w:t>Methodologists</w:t>
            </w:r>
            <w:proofErr w:type="spellEnd"/>
            <w:r w:rsidRPr="00B972C0">
              <w:rPr>
                <w:rFonts w:ascii="Calibri" w:eastAsia="Calibri" w:hAnsi="Calibri"/>
                <w:color w:val="000000" w:themeColor="dark1"/>
                <w:kern w:val="24"/>
                <w:sz w:val="22"/>
                <w:szCs w:val="22"/>
                <w:lang w:val="es-MX"/>
              </w:rPr>
              <w:t xml:space="preserve"> de Oficinas de Estadística, 2019:</w:t>
            </w:r>
          </w:p>
          <w:p w14:paraId="06B6E489" w14:textId="77777777" w:rsidR="00B972C0" w:rsidRPr="003731BA" w:rsidRDefault="00B972C0" w:rsidP="00B972C0">
            <w:pPr>
              <w:pStyle w:val="Default"/>
              <w:numPr>
                <w:ilvl w:val="0"/>
                <w:numId w:val="5"/>
              </w:numPr>
              <w:ind w:left="324" w:hanging="324"/>
              <w:rPr>
                <w:rFonts w:ascii="Calibri" w:eastAsia="Calibri" w:hAnsi="Calibri"/>
                <w:color w:val="000000" w:themeColor="dark1"/>
                <w:kern w:val="24"/>
                <w:sz w:val="22"/>
                <w:szCs w:val="22"/>
              </w:rPr>
            </w:pPr>
            <w:r w:rsidRPr="003731BA">
              <w:rPr>
                <w:rFonts w:ascii="Calibri" w:eastAsia="Calibri" w:hAnsi="Calibri"/>
                <w:color w:val="000000" w:themeColor="dark1"/>
                <w:kern w:val="24"/>
                <w:sz w:val="22"/>
                <w:szCs w:val="22"/>
              </w:rPr>
              <w:t>Materiales de la “Work Session on Statistical Data Confidentiality”, UNECE/Eurostat, 2017:</w:t>
            </w:r>
          </w:p>
          <w:p w14:paraId="316A043B"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Convención Internacional de Derechos Civiles y Políticos (1966)</w:t>
            </w:r>
          </w:p>
          <w:p w14:paraId="4B312892"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 xml:space="preserve">Convenio </w:t>
            </w:r>
            <w:proofErr w:type="spellStart"/>
            <w:r w:rsidRPr="00B972C0">
              <w:rPr>
                <w:rFonts w:ascii="Calibri" w:eastAsia="Calibri" w:hAnsi="Calibri"/>
                <w:color w:val="000000" w:themeColor="dark1"/>
                <w:kern w:val="24"/>
                <w:sz w:val="22"/>
                <w:szCs w:val="22"/>
                <w:lang w:val="es-MX"/>
              </w:rPr>
              <w:t>Nº</w:t>
            </w:r>
            <w:proofErr w:type="spellEnd"/>
            <w:r w:rsidRPr="00B972C0">
              <w:rPr>
                <w:rFonts w:ascii="Calibri" w:eastAsia="Calibri" w:hAnsi="Calibri"/>
                <w:color w:val="000000" w:themeColor="dark1"/>
                <w:kern w:val="24"/>
                <w:sz w:val="22"/>
                <w:szCs w:val="22"/>
                <w:lang w:val="es-MX"/>
              </w:rPr>
              <w:t xml:space="preserve"> 108 del Consejo de Europa para la Protección de las Personas con respecto al tratamiento automatizado de datos de carácter personal</w:t>
            </w:r>
          </w:p>
          <w:p w14:paraId="37EE3A69"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Directiva 95/46/CE del Parlamento Europeo y del Consejo</w:t>
            </w:r>
          </w:p>
          <w:p w14:paraId="4943B206"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Directiva 2002/58/CE del Parlamento Europeo y del Consejo</w:t>
            </w:r>
          </w:p>
          <w:p w14:paraId="45116EE4"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Reglamento (UE) 2016/679 del Parlamento Europeo y del Consejo</w:t>
            </w:r>
          </w:p>
          <w:p w14:paraId="48D7EB15"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Código de buenas prácticas estadísticas europeas para los servicios estadísticos nacionales y comunitarios</w:t>
            </w:r>
          </w:p>
          <w:p w14:paraId="1E625EB2"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Principios fundamentales de las estadísticas oficiales; Asamblea General de las Naciones Unidas.</w:t>
            </w:r>
          </w:p>
          <w:p w14:paraId="3ED792E1"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 xml:space="preserve">Dictamen 05/2014 sobre técnicas de </w:t>
            </w:r>
            <w:proofErr w:type="spellStart"/>
            <w:r w:rsidRPr="00B972C0">
              <w:rPr>
                <w:rFonts w:ascii="Calibri" w:eastAsia="Calibri" w:hAnsi="Calibri"/>
                <w:color w:val="000000" w:themeColor="dark1"/>
                <w:kern w:val="24"/>
                <w:sz w:val="22"/>
                <w:szCs w:val="22"/>
                <w:lang w:val="es-MX"/>
              </w:rPr>
              <w:t>anonimización</w:t>
            </w:r>
            <w:proofErr w:type="spellEnd"/>
          </w:p>
          <w:p w14:paraId="6F2A8EC3"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 xml:space="preserve">Análisis de los conceptos de </w:t>
            </w:r>
            <w:proofErr w:type="spellStart"/>
            <w:r w:rsidRPr="00B972C0">
              <w:rPr>
                <w:rFonts w:ascii="Calibri" w:eastAsia="Calibri" w:hAnsi="Calibri"/>
                <w:color w:val="000000" w:themeColor="dark1"/>
                <w:kern w:val="24"/>
                <w:sz w:val="22"/>
                <w:szCs w:val="22"/>
                <w:lang w:val="es-MX"/>
              </w:rPr>
              <w:t>anonimización</w:t>
            </w:r>
            <w:proofErr w:type="spellEnd"/>
            <w:r w:rsidRPr="00B972C0">
              <w:rPr>
                <w:rFonts w:ascii="Calibri" w:eastAsia="Calibri" w:hAnsi="Calibri"/>
                <w:color w:val="000000" w:themeColor="dark1"/>
                <w:kern w:val="24"/>
                <w:sz w:val="22"/>
                <w:szCs w:val="22"/>
                <w:lang w:val="es-MX"/>
              </w:rPr>
              <w:t xml:space="preserve">, </w:t>
            </w:r>
            <w:proofErr w:type="spellStart"/>
            <w:r w:rsidRPr="00B972C0">
              <w:rPr>
                <w:rFonts w:ascii="Calibri" w:eastAsia="Calibri" w:hAnsi="Calibri"/>
                <w:color w:val="000000" w:themeColor="dark1"/>
                <w:kern w:val="24"/>
                <w:sz w:val="22"/>
                <w:szCs w:val="22"/>
                <w:lang w:val="es-MX"/>
              </w:rPr>
              <w:t>seudonimización</w:t>
            </w:r>
            <w:proofErr w:type="spellEnd"/>
            <w:r w:rsidRPr="00B972C0">
              <w:rPr>
                <w:rFonts w:ascii="Calibri" w:eastAsia="Calibri" w:hAnsi="Calibri"/>
                <w:color w:val="000000" w:themeColor="dark1"/>
                <w:kern w:val="24"/>
                <w:sz w:val="22"/>
                <w:szCs w:val="22"/>
                <w:lang w:val="es-MX"/>
              </w:rPr>
              <w:t xml:space="preserve"> y disociación en el ámbito de protección de datos; Por Gonzalo Álvarez Hazas.</w:t>
            </w:r>
          </w:p>
          <w:p w14:paraId="4EB3C48D" w14:textId="77777777" w:rsidR="00B972C0" w:rsidRPr="003731BA" w:rsidRDefault="00B972C0" w:rsidP="00B972C0">
            <w:pPr>
              <w:pStyle w:val="Default"/>
              <w:numPr>
                <w:ilvl w:val="0"/>
                <w:numId w:val="5"/>
              </w:numPr>
              <w:ind w:left="324" w:hanging="324"/>
              <w:rPr>
                <w:rFonts w:ascii="Calibri" w:eastAsia="Calibri" w:hAnsi="Calibri"/>
                <w:color w:val="000000" w:themeColor="dark1"/>
                <w:kern w:val="24"/>
                <w:sz w:val="22"/>
                <w:szCs w:val="22"/>
              </w:rPr>
            </w:pPr>
            <w:r w:rsidRPr="003731BA">
              <w:rPr>
                <w:rFonts w:ascii="Calibri" w:eastAsia="Calibri" w:hAnsi="Calibri"/>
                <w:color w:val="000000" w:themeColor="dark1"/>
                <w:kern w:val="24"/>
                <w:sz w:val="22"/>
                <w:szCs w:val="22"/>
              </w:rPr>
              <w:lastRenderedPageBreak/>
              <w:t xml:space="preserve">Guide to Basic Data </w:t>
            </w:r>
            <w:proofErr w:type="spellStart"/>
            <w:r w:rsidRPr="003731BA">
              <w:rPr>
                <w:rFonts w:ascii="Calibri" w:eastAsia="Calibri" w:hAnsi="Calibri"/>
                <w:color w:val="000000" w:themeColor="dark1"/>
                <w:kern w:val="24"/>
                <w:sz w:val="22"/>
                <w:szCs w:val="22"/>
              </w:rPr>
              <w:t>Anonymisation</w:t>
            </w:r>
            <w:proofErr w:type="spellEnd"/>
            <w:r w:rsidRPr="003731BA">
              <w:rPr>
                <w:rFonts w:ascii="Calibri" w:eastAsia="Calibri" w:hAnsi="Calibri"/>
                <w:color w:val="000000" w:themeColor="dark1"/>
                <w:kern w:val="24"/>
                <w:sz w:val="22"/>
                <w:szCs w:val="22"/>
              </w:rPr>
              <w:t xml:space="preserve"> Techniques</w:t>
            </w:r>
          </w:p>
          <w:p w14:paraId="61883CD9"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Sistema de Gestión de Seguridad de la Información (</w:t>
            </w:r>
            <w:proofErr w:type="spellStart"/>
            <w:r w:rsidRPr="00B972C0">
              <w:rPr>
                <w:rFonts w:ascii="Calibri" w:eastAsia="Calibri" w:hAnsi="Calibri"/>
                <w:color w:val="000000" w:themeColor="dark1"/>
                <w:kern w:val="24"/>
                <w:sz w:val="22"/>
                <w:szCs w:val="22"/>
                <w:lang w:val="es-MX"/>
              </w:rPr>
              <w:t>Iso</w:t>
            </w:r>
            <w:proofErr w:type="spellEnd"/>
            <w:r w:rsidRPr="00B972C0">
              <w:rPr>
                <w:rFonts w:ascii="Calibri" w:eastAsia="Calibri" w:hAnsi="Calibri"/>
                <w:color w:val="000000" w:themeColor="dark1"/>
                <w:kern w:val="24"/>
                <w:sz w:val="22"/>
                <w:szCs w:val="22"/>
                <w:lang w:val="es-MX"/>
              </w:rPr>
              <w:t xml:space="preserve"> 27000)</w:t>
            </w:r>
          </w:p>
          <w:p w14:paraId="429332B0"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Ley General de Protección de Datos Personales en Posesión de Sujetos Obligados</w:t>
            </w:r>
          </w:p>
          <w:p w14:paraId="240C6C52"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Ley Federal de Transparencia y Acceso a la Información Pública Gubernamental (LFTAIPG), publicada en el DOF el 11 de junio de 2002 (Abrogada)</w:t>
            </w:r>
          </w:p>
          <w:p w14:paraId="0BA44C3A"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Ley Federal de Transparencia y Acceso a la Información Pública (LFTAIP)</w:t>
            </w:r>
          </w:p>
          <w:p w14:paraId="390CF6A8"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Norma Técnica del Proceso de Producción de Información Estadística y Geográfica para el INEGI</w:t>
            </w:r>
          </w:p>
          <w:p w14:paraId="415F5D9A"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Lineamientos para la Organización y Conservación de los Archivos del INEGI.</w:t>
            </w:r>
          </w:p>
          <w:p w14:paraId="0296BD3B"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Políticas para la Seguridad de la Información del INEGI</w:t>
            </w:r>
          </w:p>
          <w:p w14:paraId="6BE64391"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Lineamientos Generales de Protección de Datos Personales para el Sector Público</w:t>
            </w:r>
          </w:p>
          <w:p w14:paraId="7BBB0849"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Recomendaciones para el manejo de incidentes de seguridad de datos personales</w:t>
            </w:r>
          </w:p>
          <w:p w14:paraId="5139DDF7"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Recomendaciones sobre protección de datos personales contenidos en la Credencial para Votar</w:t>
            </w:r>
          </w:p>
          <w:p w14:paraId="340539E7"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Guía para el Aviso de Privacidad</w:t>
            </w:r>
          </w:p>
          <w:p w14:paraId="478B1F58"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Guía para el Borrado Seguro de Datos Personales</w:t>
            </w:r>
          </w:p>
          <w:p w14:paraId="3F3E574C"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Lineamientos Generales en materia de Clasificación y Desclasificación de la Información, así como para la elaboración de Versiones Públicas</w:t>
            </w:r>
          </w:p>
          <w:p w14:paraId="55A7E0C4" w14:textId="77777777" w:rsidR="00B972C0" w:rsidRPr="00B972C0" w:rsidRDefault="00B972C0" w:rsidP="00B972C0">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 xml:space="preserve">Guía para implementar un Sistema de Gestión de Seguridad de Datos Personales </w:t>
            </w:r>
            <w:proofErr w:type="gramStart"/>
            <w:r w:rsidRPr="00B972C0">
              <w:rPr>
                <w:rFonts w:ascii="Calibri" w:eastAsia="Calibri" w:hAnsi="Calibri"/>
                <w:color w:val="000000" w:themeColor="dark1"/>
                <w:kern w:val="24"/>
                <w:sz w:val="22"/>
                <w:szCs w:val="22"/>
                <w:lang w:val="es-MX"/>
              </w:rPr>
              <w:t>Junio</w:t>
            </w:r>
            <w:proofErr w:type="gramEnd"/>
            <w:r w:rsidRPr="00B972C0">
              <w:rPr>
                <w:rFonts w:ascii="Calibri" w:eastAsia="Calibri" w:hAnsi="Calibri"/>
                <w:color w:val="000000" w:themeColor="dark1"/>
                <w:kern w:val="24"/>
                <w:sz w:val="22"/>
                <w:szCs w:val="22"/>
                <w:lang w:val="es-MX"/>
              </w:rPr>
              <w:t xml:space="preserve"> 2015</w:t>
            </w:r>
          </w:p>
          <w:p w14:paraId="5C6E145A" w14:textId="4E8B7CB6" w:rsidR="001A7AC5" w:rsidRPr="00897506" w:rsidRDefault="00B972C0" w:rsidP="00897506">
            <w:pPr>
              <w:pStyle w:val="Default"/>
              <w:numPr>
                <w:ilvl w:val="0"/>
                <w:numId w:val="5"/>
              </w:numPr>
              <w:ind w:left="324" w:hanging="324"/>
              <w:rPr>
                <w:rFonts w:ascii="Calibri" w:eastAsia="Calibri" w:hAnsi="Calibri"/>
                <w:color w:val="000000" w:themeColor="dark1"/>
                <w:kern w:val="24"/>
                <w:sz w:val="22"/>
                <w:szCs w:val="22"/>
                <w:lang w:val="es-MX"/>
              </w:rPr>
            </w:pPr>
            <w:r w:rsidRPr="00B972C0">
              <w:rPr>
                <w:rFonts w:ascii="Calibri" w:eastAsia="Calibri" w:hAnsi="Calibri"/>
                <w:color w:val="000000" w:themeColor="dark1"/>
                <w:kern w:val="24"/>
                <w:sz w:val="22"/>
                <w:szCs w:val="22"/>
                <w:lang w:val="es-MX"/>
              </w:rPr>
              <w:t>Materiales del “Seminario: Privacidad y confidencialidad de la información en la era digital”, INEGI/</w:t>
            </w:r>
            <w:proofErr w:type="spellStart"/>
            <w:r w:rsidRPr="00B972C0">
              <w:rPr>
                <w:rFonts w:ascii="Calibri" w:eastAsia="Calibri" w:hAnsi="Calibri"/>
                <w:color w:val="000000" w:themeColor="dark1"/>
                <w:kern w:val="24"/>
                <w:sz w:val="22"/>
                <w:szCs w:val="22"/>
                <w:lang w:val="es-MX"/>
              </w:rPr>
              <w:t>Infotec</w:t>
            </w:r>
            <w:proofErr w:type="spellEnd"/>
            <w:r w:rsidRPr="00B972C0">
              <w:rPr>
                <w:rFonts w:ascii="Calibri" w:eastAsia="Calibri" w:hAnsi="Calibri"/>
                <w:color w:val="000000" w:themeColor="dark1"/>
                <w:kern w:val="24"/>
                <w:sz w:val="22"/>
                <w:szCs w:val="22"/>
                <w:lang w:val="es-MX"/>
              </w:rPr>
              <w:t>, 2018:</w:t>
            </w:r>
          </w:p>
        </w:tc>
      </w:tr>
      <w:tr w:rsidR="00897506" w:rsidRPr="00DE1B2D" w14:paraId="19A8A8AF" w14:textId="77777777" w:rsidTr="00B146D7">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F4EE1FD" w14:textId="7527A9E0" w:rsidR="00897506" w:rsidRDefault="00897506"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3D8FF97" w14:textId="77777777" w:rsidR="00897506" w:rsidRPr="001A7AC5" w:rsidRDefault="00897506" w:rsidP="00897506">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 xml:space="preserve">INEGI, </w:t>
            </w:r>
            <w:r w:rsidRPr="001A7AC5">
              <w:rPr>
                <w:rFonts w:ascii="Calibri" w:eastAsia="Calibri" w:hAnsi="Calibri"/>
                <w:color w:val="000000" w:themeColor="dark1"/>
                <w:kern w:val="24"/>
                <w:sz w:val="22"/>
                <w:szCs w:val="22"/>
                <w:lang w:val="es-MX"/>
              </w:rPr>
              <w:t>Aspectos relevantes sobre la gestión de confidencialidad y protección de datos personales en el INEGI y el SNIEG</w:t>
            </w:r>
            <w:r>
              <w:rPr>
                <w:rFonts w:ascii="Calibri" w:eastAsia="Calibri" w:hAnsi="Calibri"/>
                <w:color w:val="000000" w:themeColor="dark1"/>
                <w:kern w:val="24"/>
                <w:sz w:val="22"/>
                <w:szCs w:val="22"/>
                <w:lang w:val="es-MX"/>
              </w:rPr>
              <w:t>, mayo 2019.</w:t>
            </w:r>
          </w:p>
          <w:p w14:paraId="180780D3" w14:textId="77777777" w:rsidR="00897506" w:rsidRDefault="00897506" w:rsidP="00897506">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INEGI, Presentación: Confidencialidad y Protección de Datos Personales, mayo 2019.</w:t>
            </w:r>
          </w:p>
          <w:p w14:paraId="10409BE0" w14:textId="2B6EEE4B" w:rsidR="00897506" w:rsidRPr="00B972C0" w:rsidRDefault="008F1D6D" w:rsidP="00897506">
            <w:pPr>
              <w:pStyle w:val="Default"/>
              <w:numPr>
                <w:ilvl w:val="0"/>
                <w:numId w:val="5"/>
              </w:numPr>
              <w:ind w:left="324" w:hanging="324"/>
              <w:rPr>
                <w:rFonts w:ascii="Calibri" w:eastAsia="Calibri" w:hAnsi="Calibri"/>
                <w:color w:val="000000" w:themeColor="dark1"/>
                <w:kern w:val="24"/>
                <w:sz w:val="22"/>
                <w:szCs w:val="22"/>
                <w:lang w:val="es-MX"/>
              </w:rPr>
            </w:pPr>
            <w:r>
              <w:rPr>
                <w:rFonts w:ascii="Calibri" w:hAnsi="Calibri" w:cs="Calibri"/>
                <w:color w:val="000000" w:themeColor="dark1"/>
                <w:kern w:val="24"/>
                <w:sz w:val="22"/>
                <w:szCs w:val="22"/>
                <w:lang w:val="es-MX"/>
              </w:rPr>
              <w:t>P</w:t>
            </w:r>
            <w:r w:rsidRPr="000C2948">
              <w:rPr>
                <w:rFonts w:ascii="Calibri" w:hAnsi="Calibri" w:cs="Calibri"/>
                <w:color w:val="000000" w:themeColor="dark1"/>
                <w:kern w:val="24"/>
                <w:sz w:val="22"/>
                <w:szCs w:val="22"/>
                <w:lang w:val="es-MX"/>
              </w:rPr>
              <w:t>ropuesta de Reglas de Confidencialidad</w:t>
            </w:r>
            <w:r>
              <w:rPr>
                <w:rFonts w:ascii="Calibri" w:hAnsi="Calibri" w:cs="Calibri"/>
                <w:color w:val="000000" w:themeColor="dark1"/>
                <w:kern w:val="24"/>
                <w:sz w:val="22"/>
                <w:szCs w:val="22"/>
                <w:lang w:val="es-MX"/>
              </w:rPr>
              <w:t>.</w:t>
            </w:r>
          </w:p>
        </w:tc>
      </w:tr>
    </w:tbl>
    <w:p w14:paraId="2234CE16" w14:textId="77777777" w:rsidR="00221B78" w:rsidRPr="001A7AC5" w:rsidRDefault="00221B78" w:rsidP="00190BBD">
      <w:pPr>
        <w:spacing w:after="0"/>
      </w:pPr>
      <w:bookmarkStart w:id="0" w:name="_GoBack"/>
      <w:bookmarkEnd w:id="0"/>
    </w:p>
    <w:sectPr w:rsidR="00221B78" w:rsidRPr="001A7A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146D7"/>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2492</TotalTime>
  <Pages>2</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2021-07-09T16:52:00Z</dcterms:modified>
</cp:coreProperties>
</file>