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F8F9" w14:textId="559F6BD0" w:rsidR="0021689A" w:rsidRDefault="00204D52" w:rsidP="000579E0">
      <w:pPr>
        <w:spacing w:after="200" w:line="276" w:lineRule="auto"/>
        <w:jc w:val="both"/>
        <w:rPr>
          <w:highlight w:val="yellow"/>
        </w:rPr>
      </w:pPr>
      <w:r w:rsidRPr="000579E0">
        <w:t xml:space="preserve">Siendo las </w:t>
      </w:r>
      <w:r w:rsidR="009F31F6">
        <w:t>10</w:t>
      </w:r>
      <w:r w:rsidR="00D53471">
        <w:t>:00</w:t>
      </w:r>
      <w:r w:rsidRPr="000579E0">
        <w:t xml:space="preserve"> horas del día </w:t>
      </w:r>
      <w:r w:rsidR="009F31F6">
        <w:t>27</w:t>
      </w:r>
      <w:r w:rsidRPr="000579E0">
        <w:t xml:space="preserve"> de </w:t>
      </w:r>
      <w:r w:rsidR="009F31F6">
        <w:t>febrero de 2018</w:t>
      </w:r>
      <w:r w:rsidRPr="000579E0">
        <w:t>,</w:t>
      </w:r>
      <w:r w:rsidR="0080177A">
        <w:t xml:space="preserve"> </w:t>
      </w:r>
      <w:r w:rsidR="00D53471" w:rsidRPr="00D53471">
        <w:t>día y hora señalados para la celebración de la Primera Sesión de 2018 del Comité de Aseguramiento de la Calidad</w:t>
      </w:r>
      <w:r w:rsidR="00D53471">
        <w:t xml:space="preserve"> </w:t>
      </w:r>
      <w:r w:rsidR="0061094E">
        <w:t xml:space="preserve">(en adelante Comité) </w:t>
      </w:r>
      <w:r w:rsidR="00D53471" w:rsidRPr="00D53471">
        <w:t xml:space="preserve">del </w:t>
      </w:r>
      <w:r w:rsidR="00D53471" w:rsidRPr="000579E0">
        <w:t>Instituto Nacional d</w:t>
      </w:r>
      <w:r w:rsidR="00D53471">
        <w:t>e Estadística y Geografía</w:t>
      </w:r>
      <w:r w:rsidR="0061094E">
        <w:t xml:space="preserve"> (INEGI)</w:t>
      </w:r>
      <w:r w:rsidR="00D53471">
        <w:t xml:space="preserve">, </w:t>
      </w:r>
      <w:r w:rsidR="0080177A">
        <w:t>y en cumplimiento a lo dispuesto en el Numeral VII (siete romano), apartado</w:t>
      </w:r>
      <w:r w:rsidR="00CB7871">
        <w:t>s</w:t>
      </w:r>
      <w:r w:rsidR="00942294">
        <w:t xml:space="preserve"> 7.1</w:t>
      </w:r>
      <w:r w:rsidR="00CB7871">
        <w:t>, 7.10</w:t>
      </w:r>
      <w:r w:rsidR="00942294">
        <w:t xml:space="preserve"> y 7.12</w:t>
      </w:r>
      <w:r w:rsidR="0080177A">
        <w:t xml:space="preserve"> del Manual de Integración y Funcionamiento del Comité </w:t>
      </w:r>
      <w:r w:rsidR="00B674C0">
        <w:t>(en lo sucesivo, el Manual)</w:t>
      </w:r>
      <w:r w:rsidR="0080177A">
        <w:t>,</w:t>
      </w:r>
      <w:r w:rsidRPr="000579E0">
        <w:t xml:space="preserve"> </w:t>
      </w:r>
      <w:r w:rsidR="00D53471">
        <w:t xml:space="preserve">se reunieron </w:t>
      </w:r>
      <w:r w:rsidR="00D53471" w:rsidRPr="000579E0">
        <w:t>los integrantes de</w:t>
      </w:r>
      <w:r w:rsidR="00D53471">
        <w:t xml:space="preserve">l </w:t>
      </w:r>
      <w:r w:rsidR="00D53471" w:rsidRPr="000579E0">
        <w:t xml:space="preserve">Comité </w:t>
      </w:r>
      <w:r w:rsidRPr="000579E0">
        <w:t>en la Sala de Videoconferencia 1 de</w:t>
      </w:r>
      <w:r w:rsidR="00A64091">
        <w:t>l</w:t>
      </w:r>
      <w:r w:rsidRPr="000579E0">
        <w:t xml:space="preserve"> </w:t>
      </w:r>
      <w:r w:rsidR="00A64091">
        <w:t>edificio</w:t>
      </w:r>
      <w:r w:rsidRPr="000579E0">
        <w:t xml:space="preserve"> del INEGI ubicado en la </w:t>
      </w:r>
      <w:r w:rsidR="00A21DDE">
        <w:t>c</w:t>
      </w:r>
      <w:r w:rsidRPr="000579E0">
        <w:t xml:space="preserve">iudad de Aguascalientes, Avenida Héroe de Nacozari Sur 2301, Fraccionamiento Jardines del Parque, 20276, entre calle INEGI, Avenida del Lago y Avenida Paseo de las Garzas, y </w:t>
      </w:r>
      <w:r w:rsidR="00A64091">
        <w:t xml:space="preserve">en la </w:t>
      </w:r>
      <w:r w:rsidR="00A64091" w:rsidRPr="00A31FAC">
        <w:t xml:space="preserve">Sala </w:t>
      </w:r>
      <w:r w:rsidR="005B51DA">
        <w:t>de Videoconferencia 1</w:t>
      </w:r>
      <w:r w:rsidR="00A64091">
        <w:t xml:space="preserve"> ubicada en</w:t>
      </w:r>
      <w:r w:rsidRPr="000579E0">
        <w:t xml:space="preserve"> Avenida Patriotismo 711-A, Colonia San Juan Mixcoac, 03730, Benito Juárez, Ciudad de México, entre las calles Rubens, Holbein y Augusto Rodin</w:t>
      </w:r>
      <w:r w:rsidR="00D53471">
        <w:t>.</w:t>
      </w:r>
      <w:r w:rsidR="0080177A" w:rsidRPr="005B58A3">
        <w:rPr>
          <w:highlight w:val="yellow"/>
        </w:rPr>
        <w:t xml:space="preserve"> </w:t>
      </w:r>
    </w:p>
    <w:p w14:paraId="478BF279" w14:textId="5DC06F31" w:rsidR="000579E0" w:rsidRDefault="005B58A3" w:rsidP="000579E0">
      <w:pPr>
        <w:spacing w:after="200" w:line="276" w:lineRule="auto"/>
        <w:jc w:val="both"/>
      </w:pPr>
      <w:r w:rsidRPr="00CE65CD">
        <w:t xml:space="preserve">En la Ciudad de México se encontraban </w:t>
      </w:r>
      <w:r w:rsidR="00204D52" w:rsidRPr="00CE65CD">
        <w:t>el</w:t>
      </w:r>
      <w:r w:rsidR="00204D52" w:rsidRPr="000579E0">
        <w:t xml:space="preserve"> </w:t>
      </w:r>
      <w:r w:rsidR="00204D52" w:rsidRPr="000051E9">
        <w:rPr>
          <w:b/>
        </w:rPr>
        <w:t>Presidente</w:t>
      </w:r>
      <w:r w:rsidR="000B5170" w:rsidRPr="000051E9">
        <w:rPr>
          <w:b/>
        </w:rPr>
        <w:t xml:space="preserve"> del Comité</w:t>
      </w:r>
      <w:r w:rsidR="000B5170">
        <w:t xml:space="preserve"> y Presidente del INEGI</w:t>
      </w:r>
      <w:r w:rsidR="002A2660">
        <w:t>,</w:t>
      </w:r>
      <w:r w:rsidR="00204D52" w:rsidRPr="000579E0">
        <w:t xml:space="preserve"> Julio Alfonso Santaella Castell; </w:t>
      </w:r>
      <w:r w:rsidR="0037065C" w:rsidRPr="000579E0">
        <w:t xml:space="preserve">el </w:t>
      </w:r>
      <w:r w:rsidR="0037065C" w:rsidRPr="000051E9">
        <w:rPr>
          <w:b/>
        </w:rPr>
        <w:t>Presidente suplente</w:t>
      </w:r>
      <w:r w:rsidR="000B5170">
        <w:t xml:space="preserve"> del Comité y Vicepresidente del INEGI</w:t>
      </w:r>
      <w:r w:rsidR="00E80BC9">
        <w:t>,</w:t>
      </w:r>
      <w:r w:rsidR="000B5170">
        <w:t xml:space="preserve"> </w:t>
      </w:r>
      <w:r w:rsidR="0037065C" w:rsidRPr="000579E0">
        <w:t>Enrique de Alba Guerra;</w:t>
      </w:r>
      <w:r w:rsidR="0037065C">
        <w:t xml:space="preserve"> </w:t>
      </w:r>
      <w:r w:rsidR="0037065C" w:rsidRPr="000051E9">
        <w:rPr>
          <w:b/>
        </w:rPr>
        <w:t xml:space="preserve">los </w:t>
      </w:r>
      <w:r w:rsidR="000B5170">
        <w:rPr>
          <w:b/>
        </w:rPr>
        <w:t>V</w:t>
      </w:r>
      <w:r w:rsidR="0037065C" w:rsidRPr="000051E9">
        <w:rPr>
          <w:b/>
        </w:rPr>
        <w:t>ocales</w:t>
      </w:r>
      <w:r w:rsidR="00DD379E">
        <w:t>,</w:t>
      </w:r>
      <w:r w:rsidR="0037065C" w:rsidRPr="000579E0">
        <w:t xml:space="preserve"> José Arturo Blancas Espejo,</w:t>
      </w:r>
      <w:r w:rsidR="000B5170">
        <w:t xml:space="preserve"> </w:t>
      </w:r>
      <w:r w:rsidR="000B5170" w:rsidRPr="000051E9">
        <w:t>Director General de Estadísticas Económicas</w:t>
      </w:r>
      <w:r w:rsidR="000B5170">
        <w:t>;</w:t>
      </w:r>
      <w:r w:rsidR="0037065C" w:rsidRPr="000579E0">
        <w:t xml:space="preserve"> </w:t>
      </w:r>
      <w:r w:rsidR="002A2660">
        <w:t>Adrián Franco Barrios,</w:t>
      </w:r>
      <w:r w:rsidR="000B5170">
        <w:t xml:space="preserve"> </w:t>
      </w:r>
      <w:r w:rsidR="000B5170" w:rsidRPr="000051E9">
        <w:t>Director General de Estadísticas de Gobierno, Seguridad Pública y Justicia;</w:t>
      </w:r>
      <w:r w:rsidR="002A2660">
        <w:t xml:space="preserve"> </w:t>
      </w:r>
      <w:r w:rsidR="0037065C" w:rsidRPr="000579E0">
        <w:t>Eduardo Javier Gracida Campos,</w:t>
      </w:r>
      <w:r w:rsidR="0037065C">
        <w:t xml:space="preserve"> </w:t>
      </w:r>
      <w:r w:rsidR="000B5170" w:rsidRPr="000051E9">
        <w:t>Director General de Vinculación y Servicio Público de Información;</w:t>
      </w:r>
      <w:r w:rsidR="000B5170" w:rsidRPr="005C585B">
        <w:rPr>
          <w:rFonts w:ascii="Arial" w:hAnsi="Arial" w:cs="Arial"/>
        </w:rPr>
        <w:t xml:space="preserve"> </w:t>
      </w:r>
      <w:r w:rsidR="002A2660" w:rsidRPr="000579E0">
        <w:t>María Isabel Monterrubio Gómez,</w:t>
      </w:r>
      <w:r w:rsidR="002A2660">
        <w:t xml:space="preserve"> </w:t>
      </w:r>
      <w:r w:rsidR="000B5170" w:rsidRPr="000051E9">
        <w:t>Directora General de la Coordinación del Sistema Nacional de Información Estadística y Geográfica</w:t>
      </w:r>
      <w:r w:rsidR="000B5170">
        <w:t xml:space="preserve">; </w:t>
      </w:r>
      <w:r w:rsidR="0037065C">
        <w:t>Edgar Vielma Orozco</w:t>
      </w:r>
      <w:r w:rsidR="000B5170">
        <w:t>,</w:t>
      </w:r>
      <w:r w:rsidR="000C0B07">
        <w:t xml:space="preserve"> Director General de Estadísticas Sociodemográficas</w:t>
      </w:r>
      <w:r w:rsidR="0065600E" w:rsidRPr="0065600E">
        <w:t xml:space="preserve"> </w:t>
      </w:r>
      <w:r w:rsidR="0065600E">
        <w:t xml:space="preserve">y </w:t>
      </w:r>
      <w:r w:rsidR="0065600E" w:rsidRPr="000579E0">
        <w:t>Jorge Ventura Nevares</w:t>
      </w:r>
      <w:r w:rsidR="000C0B07">
        <w:t>, Coordinador General de Asuntos Jurídicos</w:t>
      </w:r>
      <w:r w:rsidR="00EA228D">
        <w:t>,</w:t>
      </w:r>
      <w:r w:rsidR="0065600E" w:rsidRPr="000579E0">
        <w:t xml:space="preserve"> así como el </w:t>
      </w:r>
      <w:r w:rsidR="000C0B07" w:rsidRPr="000051E9">
        <w:rPr>
          <w:b/>
        </w:rPr>
        <w:t>A</w:t>
      </w:r>
      <w:r w:rsidR="0065600E" w:rsidRPr="000051E9">
        <w:rPr>
          <w:b/>
        </w:rPr>
        <w:t>sesor</w:t>
      </w:r>
      <w:r w:rsidR="0065600E" w:rsidRPr="000579E0">
        <w:t xml:space="preserve">, </w:t>
      </w:r>
      <w:r w:rsidR="0065600E">
        <w:t>Alonso Araoz de la Torre</w:t>
      </w:r>
      <w:r w:rsidR="000C0B07">
        <w:t xml:space="preserve">, </w:t>
      </w:r>
      <w:r w:rsidR="00D86F82">
        <w:t xml:space="preserve">Coordinador de Denuncias y Responsabilidades del Órgano </w:t>
      </w:r>
      <w:r w:rsidR="000C0B07" w:rsidRPr="000579E0">
        <w:t>Interno de Control</w:t>
      </w:r>
      <w:r w:rsidR="000C0B07">
        <w:t>,</w:t>
      </w:r>
      <w:r w:rsidR="00EB6412">
        <w:t xml:space="preserve"> en ausencia del Titular</w:t>
      </w:r>
      <w:r w:rsidR="00D86F82">
        <w:t xml:space="preserve"> del referido Órgano,</w:t>
      </w:r>
      <w:r w:rsidR="000C0B07">
        <w:t xml:space="preserve"> con fundamento en lo establecido en el artículo 54 del Reglamento Interior del INEGI</w:t>
      </w:r>
      <w:r w:rsidR="0037065C" w:rsidRPr="000579E0">
        <w:t xml:space="preserve">; y los </w:t>
      </w:r>
      <w:r w:rsidR="0037065C" w:rsidRPr="000051E9">
        <w:rPr>
          <w:b/>
        </w:rPr>
        <w:t>invitados</w:t>
      </w:r>
      <w:r w:rsidR="0037065C" w:rsidRPr="000579E0">
        <w:t>, Gonzalo Pérez de la Cruz</w:t>
      </w:r>
      <w:r w:rsidR="0037065C">
        <w:t>,</w:t>
      </w:r>
      <w:r w:rsidR="0037065C" w:rsidRPr="000579E0">
        <w:t xml:space="preserve"> </w:t>
      </w:r>
      <w:r w:rsidR="00013FA4">
        <w:t xml:space="preserve">Asesor </w:t>
      </w:r>
      <w:r w:rsidR="00EA228D">
        <w:t xml:space="preserve">de la </w:t>
      </w:r>
      <w:r w:rsidR="00013FA4">
        <w:t xml:space="preserve">Presidencia del INEGI, </w:t>
      </w:r>
      <w:r w:rsidR="0037065C">
        <w:t xml:space="preserve">Andrea Fernández </w:t>
      </w:r>
      <w:r w:rsidR="002A2660">
        <w:t>Conde</w:t>
      </w:r>
      <w:r w:rsidR="00CC5721">
        <w:t xml:space="preserve">, Asesora </w:t>
      </w:r>
      <w:r w:rsidR="00EA228D">
        <w:t xml:space="preserve">de la </w:t>
      </w:r>
      <w:r w:rsidR="00CC5721">
        <w:t>Presidencia</w:t>
      </w:r>
      <w:r w:rsidR="002A2660">
        <w:t xml:space="preserve"> y </w:t>
      </w:r>
      <w:r w:rsidR="0037065C" w:rsidRPr="000579E0">
        <w:t>Gloria Martha Rubio Soto</w:t>
      </w:r>
      <w:r w:rsidR="00013FA4">
        <w:t>, Directora de Aseguramiento de la Calidad</w:t>
      </w:r>
      <w:r w:rsidR="0037065C" w:rsidRPr="000579E0">
        <w:t>.</w:t>
      </w:r>
      <w:r w:rsidR="0037065C">
        <w:t xml:space="preserve"> </w:t>
      </w:r>
      <w:r w:rsidR="00204D52" w:rsidRPr="000579E0">
        <w:t xml:space="preserve">Asimismo, en la </w:t>
      </w:r>
      <w:r w:rsidR="00204D52" w:rsidRPr="00A31FAC">
        <w:t xml:space="preserve">Sala </w:t>
      </w:r>
      <w:r w:rsidR="0065600E" w:rsidRPr="000579E0">
        <w:t xml:space="preserve">de Videoconferencia </w:t>
      </w:r>
      <w:r w:rsidR="0065600E">
        <w:t xml:space="preserve">1 </w:t>
      </w:r>
      <w:r w:rsidR="00204D52" w:rsidRPr="000579E0">
        <w:t xml:space="preserve">de la </w:t>
      </w:r>
      <w:r w:rsidR="0037065C">
        <w:t>c</w:t>
      </w:r>
      <w:r w:rsidR="0037065C" w:rsidRPr="000579E0">
        <w:t xml:space="preserve">iudad de </w:t>
      </w:r>
      <w:r w:rsidR="0037065C">
        <w:t>Aguascalientes</w:t>
      </w:r>
      <w:r w:rsidR="0037065C" w:rsidRPr="000579E0">
        <w:t xml:space="preserve"> </w:t>
      </w:r>
      <w:r w:rsidR="00204D52" w:rsidRPr="000579E0">
        <w:t xml:space="preserve">se encontraban presentes </w:t>
      </w:r>
      <w:r w:rsidR="0037065C" w:rsidRPr="000579E0">
        <w:t xml:space="preserve">el </w:t>
      </w:r>
      <w:r w:rsidR="0037065C" w:rsidRPr="000051E9">
        <w:rPr>
          <w:b/>
        </w:rPr>
        <w:t>Secretario Técnico</w:t>
      </w:r>
      <w:r w:rsidR="0037065C">
        <w:t>,</w:t>
      </w:r>
      <w:r w:rsidR="0037065C" w:rsidRPr="000579E0">
        <w:t xml:space="preserve"> Enrique Jesús Ordaz López</w:t>
      </w:r>
      <w:r w:rsidR="006266D6">
        <w:t xml:space="preserve">, Director General de </w:t>
      </w:r>
      <w:r w:rsidR="001D16C7">
        <w:t>Integración, Análisis e Investigación</w:t>
      </w:r>
      <w:r w:rsidR="0037065C">
        <w:t>;</w:t>
      </w:r>
      <w:r w:rsidR="0037065C" w:rsidRPr="000579E0">
        <w:t xml:space="preserve"> los </w:t>
      </w:r>
      <w:r w:rsidR="000051E9" w:rsidRPr="000051E9">
        <w:rPr>
          <w:b/>
        </w:rPr>
        <w:t>V</w:t>
      </w:r>
      <w:r w:rsidR="0037065C" w:rsidRPr="000051E9">
        <w:rPr>
          <w:b/>
        </w:rPr>
        <w:t>ocales</w:t>
      </w:r>
      <w:r w:rsidR="006D6EB4">
        <w:t>,</w:t>
      </w:r>
      <w:r w:rsidR="0037065C" w:rsidRPr="000579E0">
        <w:t xml:space="preserve"> </w:t>
      </w:r>
      <w:r w:rsidR="002A2660" w:rsidRPr="000579E0">
        <w:t>Oscar Gasca Brito,</w:t>
      </w:r>
      <w:r w:rsidR="00CC5721">
        <w:t xml:space="preserve"> </w:t>
      </w:r>
      <w:r w:rsidR="00CC5721" w:rsidRPr="000051E9">
        <w:t>Coordinador General de Operación Regional;</w:t>
      </w:r>
      <w:r w:rsidR="002A2660">
        <w:t xml:space="preserve"> </w:t>
      </w:r>
      <w:r w:rsidR="0037065C" w:rsidRPr="000579E0">
        <w:t>Marcos Benerice González Tejeda,</w:t>
      </w:r>
      <w:r w:rsidR="00CC5721">
        <w:t xml:space="preserve"> </w:t>
      </w:r>
      <w:r w:rsidR="00CC5721" w:rsidRPr="00CC5721">
        <w:t>Director General de Administración</w:t>
      </w:r>
      <w:r w:rsidR="00CC5721">
        <w:t>,</w:t>
      </w:r>
      <w:r w:rsidR="0037065C" w:rsidRPr="000579E0">
        <w:t xml:space="preserve"> Carlos </w:t>
      </w:r>
      <w:r w:rsidR="0037065C">
        <w:t xml:space="preserve">Agustín </w:t>
      </w:r>
      <w:r w:rsidR="0037065C" w:rsidRPr="000579E0">
        <w:t>Guerrero Elemen</w:t>
      </w:r>
      <w:r w:rsidR="00CC5721">
        <w:t xml:space="preserve">, </w:t>
      </w:r>
      <w:r w:rsidR="00CC5721" w:rsidRPr="00CC5721">
        <w:t>Director General de Geografía y Medio Ambiente</w:t>
      </w:r>
      <w:r w:rsidR="002A2660">
        <w:t xml:space="preserve"> </w:t>
      </w:r>
      <w:r w:rsidR="002A2660" w:rsidRPr="000579E0">
        <w:t>y Armando Zúñiga Juárez</w:t>
      </w:r>
      <w:r w:rsidR="00CC5721">
        <w:t xml:space="preserve">, </w:t>
      </w:r>
      <w:r w:rsidR="00EB6412">
        <w:t>Director de Cómputo y Comunicaciones, en ausencia del Titular de la Coordinación General de Informática</w:t>
      </w:r>
      <w:r w:rsidR="00360BBA">
        <w:t>, con fundamento en lo establecido en el artículo 53 del Reglamento Interior del INEGI</w:t>
      </w:r>
      <w:r w:rsidR="002A2660">
        <w:t>;</w:t>
      </w:r>
      <w:r w:rsidR="002A2660" w:rsidRPr="002A2660">
        <w:t xml:space="preserve"> </w:t>
      </w:r>
      <w:r w:rsidR="002A2660" w:rsidRPr="000579E0">
        <w:t xml:space="preserve">y los </w:t>
      </w:r>
      <w:r w:rsidR="002A2660" w:rsidRPr="000051E9">
        <w:rPr>
          <w:b/>
        </w:rPr>
        <w:t>invitados</w:t>
      </w:r>
      <w:r w:rsidR="002A2660" w:rsidRPr="000579E0">
        <w:t>, José Alberto Valencia Armas,</w:t>
      </w:r>
      <w:r w:rsidR="001F6245">
        <w:t xml:space="preserve"> Director General Adjunto de Administración de Riesgos y Transparencia;</w:t>
      </w:r>
      <w:r w:rsidR="002A2660" w:rsidRPr="000579E0">
        <w:t xml:space="preserve"> Alfonso Tejeida Hernández</w:t>
      </w:r>
      <w:r w:rsidR="001F6245">
        <w:t>, Director de Capacitación</w:t>
      </w:r>
      <w:r w:rsidR="002A2660">
        <w:t xml:space="preserve"> y Marco Antonio Gutiérrez Romero</w:t>
      </w:r>
      <w:r w:rsidR="001F6245">
        <w:t>, Jefe del Departamento de Análisis y Aseguramiento de la Calidad</w:t>
      </w:r>
      <w:r w:rsidR="002A2660">
        <w:t>.</w:t>
      </w:r>
      <w:r w:rsidR="00F73694">
        <w:t xml:space="preserve"> </w:t>
      </w:r>
    </w:p>
    <w:p w14:paraId="6A9762D8" w14:textId="77777777" w:rsidR="00942294" w:rsidRDefault="00942294" w:rsidP="000051E9">
      <w:pPr>
        <w:spacing w:after="200" w:line="240" w:lineRule="auto"/>
        <w:jc w:val="center"/>
        <w:rPr>
          <w:b/>
        </w:rPr>
      </w:pPr>
      <w:r>
        <w:rPr>
          <w:b/>
        </w:rPr>
        <w:br w:type="page"/>
      </w:r>
    </w:p>
    <w:p w14:paraId="40B3245A" w14:textId="1092CB8C" w:rsidR="00010412" w:rsidRDefault="0080177A" w:rsidP="000051E9">
      <w:pPr>
        <w:spacing w:after="200" w:line="240" w:lineRule="auto"/>
        <w:jc w:val="center"/>
        <w:rPr>
          <w:b/>
        </w:rPr>
      </w:pPr>
      <w:r w:rsidRPr="000051E9">
        <w:rPr>
          <w:b/>
        </w:rPr>
        <w:lastRenderedPageBreak/>
        <w:t>PRIMERA SESI</w:t>
      </w:r>
      <w:r w:rsidR="00CB7871" w:rsidRPr="00CB7871">
        <w:rPr>
          <w:b/>
        </w:rPr>
        <w:t>ÓN 2018</w:t>
      </w:r>
      <w:r w:rsidRPr="000051E9">
        <w:rPr>
          <w:b/>
        </w:rPr>
        <w:t xml:space="preserve"> </w:t>
      </w:r>
    </w:p>
    <w:p w14:paraId="5DA348F7" w14:textId="6F944CE8" w:rsidR="0080177A" w:rsidRPr="000051E9" w:rsidRDefault="0080177A" w:rsidP="000051E9">
      <w:pPr>
        <w:spacing w:after="200" w:line="240" w:lineRule="auto"/>
        <w:jc w:val="center"/>
        <w:rPr>
          <w:b/>
        </w:rPr>
      </w:pPr>
      <w:r w:rsidRPr="000051E9">
        <w:rPr>
          <w:b/>
        </w:rPr>
        <w:t>DEL COMITÉ DE ASEGURAMIENTO</w:t>
      </w:r>
      <w:r w:rsidR="00010412">
        <w:rPr>
          <w:b/>
        </w:rPr>
        <w:t xml:space="preserve"> </w:t>
      </w:r>
      <w:r w:rsidRPr="000051E9">
        <w:rPr>
          <w:b/>
        </w:rPr>
        <w:t>DE LA CALIDAD DEL INEGI</w:t>
      </w:r>
    </w:p>
    <w:p w14:paraId="425BDF3B" w14:textId="77777777" w:rsidR="0080177A" w:rsidRDefault="0080177A" w:rsidP="000579E0">
      <w:pPr>
        <w:spacing w:after="200" w:line="276" w:lineRule="auto"/>
        <w:jc w:val="both"/>
      </w:pPr>
    </w:p>
    <w:p w14:paraId="5EE1DC94" w14:textId="02C52765" w:rsidR="000579E0" w:rsidRDefault="00010412" w:rsidP="000579E0">
      <w:pPr>
        <w:spacing w:after="200" w:line="276" w:lineRule="auto"/>
        <w:jc w:val="both"/>
      </w:pPr>
      <w:r w:rsidRPr="00EA228D">
        <w:t xml:space="preserve">Julio Alfonso Santaella Castell, </w:t>
      </w:r>
      <w:r w:rsidR="00204D52" w:rsidRPr="00EA228D">
        <w:t>Presidente del Comité</w:t>
      </w:r>
      <w:r w:rsidRPr="00EA228D">
        <w:t xml:space="preserve"> dio la bienven</w:t>
      </w:r>
      <w:r w:rsidR="00CB7871" w:rsidRPr="00EA228D">
        <w:t xml:space="preserve">ida a </w:t>
      </w:r>
      <w:r w:rsidR="0021689A" w:rsidRPr="00EA228D">
        <w:t>los asistentes</w:t>
      </w:r>
      <w:r w:rsidR="00260B69" w:rsidRPr="00EA228D">
        <w:t>;</w:t>
      </w:r>
      <w:r w:rsidRPr="00EA228D">
        <w:t xml:space="preserve"> con el apoyo del Secretario Técnico se verificó la existencia del quórum</w:t>
      </w:r>
      <w:r w:rsidR="001E3E6D" w:rsidRPr="00EA228D">
        <w:t xml:space="preserve"> como primer punto del día</w:t>
      </w:r>
      <w:r w:rsidR="00BC4BC5" w:rsidRPr="00EA228D">
        <w:t>,</w:t>
      </w:r>
      <w:r w:rsidR="00204D52" w:rsidRPr="00EA228D">
        <w:t xml:space="preserve"> </w:t>
      </w:r>
      <w:r w:rsidRPr="00EA228D">
        <w:t xml:space="preserve">y </w:t>
      </w:r>
      <w:r w:rsidR="00B839E9" w:rsidRPr="00EA228D">
        <w:t xml:space="preserve">se </w:t>
      </w:r>
      <w:r w:rsidR="00204D52" w:rsidRPr="00EA228D">
        <w:t>decretó</w:t>
      </w:r>
      <w:r w:rsidR="00BD3EAB" w:rsidRPr="00EA228D">
        <w:t xml:space="preserve"> legalmente</w:t>
      </w:r>
      <w:r w:rsidR="00204D52" w:rsidRPr="00EA228D">
        <w:t xml:space="preserve"> </w:t>
      </w:r>
      <w:r w:rsidRPr="00EA228D">
        <w:t xml:space="preserve">instalada </w:t>
      </w:r>
      <w:r w:rsidR="00204D52" w:rsidRPr="00EA228D">
        <w:t xml:space="preserve">la </w:t>
      </w:r>
      <w:r w:rsidR="00643E13" w:rsidRPr="00EA228D">
        <w:t>Primera</w:t>
      </w:r>
      <w:r w:rsidR="00204D52" w:rsidRPr="00EA228D">
        <w:t xml:space="preserve"> Sesión</w:t>
      </w:r>
      <w:r w:rsidR="00DE2DA8" w:rsidRPr="00EA228D">
        <w:t xml:space="preserve"> </w:t>
      </w:r>
      <w:r w:rsidRPr="00EA228D">
        <w:t xml:space="preserve">Ordinaria </w:t>
      </w:r>
      <w:r w:rsidR="00DE2DA8" w:rsidRPr="00EA228D">
        <w:t>de</w:t>
      </w:r>
      <w:r w:rsidR="00204D52" w:rsidRPr="00EA228D">
        <w:t xml:space="preserve"> </w:t>
      </w:r>
      <w:r w:rsidR="00073E28" w:rsidRPr="00EA228D">
        <w:t>2018</w:t>
      </w:r>
      <w:r w:rsidRPr="00EA228D">
        <w:t xml:space="preserve"> </w:t>
      </w:r>
      <w:r w:rsidR="00CB7871" w:rsidRPr="00EA228D">
        <w:t>del Comité</w:t>
      </w:r>
      <w:r w:rsidR="00204D52" w:rsidRPr="000579E0">
        <w:t xml:space="preserve">, así como válidos los acuerdos que en ella se tomen, de conformidad con lo establecido en </w:t>
      </w:r>
      <w:r w:rsidR="00BD3EAB">
        <w:t>los</w:t>
      </w:r>
      <w:r w:rsidR="00204D52" w:rsidRPr="000579E0">
        <w:t xml:space="preserve"> numeral</w:t>
      </w:r>
      <w:r w:rsidR="00BD3EAB">
        <w:t>es</w:t>
      </w:r>
      <w:r w:rsidR="00204D52" w:rsidRPr="000579E0">
        <w:t xml:space="preserve"> 7.2</w:t>
      </w:r>
      <w:r w:rsidR="00942294">
        <w:t xml:space="preserve"> y 7.3 </w:t>
      </w:r>
      <w:r w:rsidR="00204D52" w:rsidRPr="000579E0">
        <w:t>del Manual</w:t>
      </w:r>
      <w:r w:rsidR="00BD3EAB">
        <w:t>, al contar con la asistencia de más del cincuenta por ciento más uno de los miembros del Comité con derecho a voz y voto</w:t>
      </w:r>
      <w:r w:rsidR="00CB7871">
        <w:t xml:space="preserve">. </w:t>
      </w:r>
    </w:p>
    <w:p w14:paraId="72C61F88" w14:textId="49B4E701" w:rsidR="00B835E8" w:rsidRDefault="001E3E6D" w:rsidP="00E84509">
      <w:pPr>
        <w:spacing w:after="200" w:line="276" w:lineRule="auto"/>
        <w:jc w:val="both"/>
      </w:pPr>
      <w:r w:rsidRPr="000051E9">
        <w:rPr>
          <w:rFonts w:ascii="Calibri" w:hAnsi="Calibri" w:cs="Calibri"/>
          <w:b/>
          <w:color w:val="000000"/>
          <w:szCs w:val="28"/>
        </w:rPr>
        <w:t>I</w:t>
      </w:r>
      <w:r>
        <w:rPr>
          <w:rFonts w:ascii="Calibri" w:hAnsi="Calibri" w:cs="Calibri"/>
          <w:b/>
          <w:color w:val="000000"/>
          <w:szCs w:val="28"/>
        </w:rPr>
        <w:t>I</w:t>
      </w:r>
      <w:r w:rsidRPr="000051E9">
        <w:rPr>
          <w:rFonts w:ascii="Calibri" w:hAnsi="Calibri" w:cs="Calibri"/>
          <w:b/>
          <w:color w:val="000000"/>
          <w:szCs w:val="28"/>
        </w:rPr>
        <w:t>. LECTURA Y APROBACIÓN DEL ORDEN DEL DÍA</w:t>
      </w:r>
      <w:r>
        <w:rPr>
          <w:rFonts w:ascii="Calibri" w:hAnsi="Calibri" w:cs="Calibri"/>
          <w:color w:val="000000"/>
          <w:szCs w:val="28"/>
        </w:rPr>
        <w:t>.</w:t>
      </w:r>
      <w:r>
        <w:t xml:space="preserve"> </w:t>
      </w:r>
      <w:r w:rsidR="00010412">
        <w:t>A continuaci</w:t>
      </w:r>
      <w:r>
        <w:t>ón, como segundo</w:t>
      </w:r>
      <w:r w:rsidR="00010412">
        <w:t xml:space="preserve"> punto a tratar, </w:t>
      </w:r>
      <w:r w:rsidR="00C7162E">
        <w:t>el Secretario Técnico</w:t>
      </w:r>
      <w:r w:rsidR="00B674C0">
        <w:t xml:space="preserve"> del Comit</w:t>
      </w:r>
      <w:r>
        <w:t>é dio lectura</w:t>
      </w:r>
      <w:r w:rsidR="00B674C0">
        <w:t xml:space="preserve"> </w:t>
      </w:r>
      <w:r>
        <w:t>a</w:t>
      </w:r>
      <w:r w:rsidR="00B674C0">
        <w:t xml:space="preserve">l </w:t>
      </w:r>
      <w:r w:rsidR="00B835E8">
        <w:t>orden del día</w:t>
      </w:r>
      <w:r>
        <w:t xml:space="preserve"> correspondiente a esta Sesión</w:t>
      </w:r>
      <w:r w:rsidR="00B835E8">
        <w:t>:</w:t>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5A7FC8" w14:paraId="176C9818" w14:textId="77777777" w:rsidTr="000051E9">
        <w:tc>
          <w:tcPr>
            <w:tcW w:w="8931" w:type="dxa"/>
          </w:tcPr>
          <w:p w14:paraId="2D4050E8" w14:textId="54A94017" w:rsidR="005A7FC8" w:rsidRPr="00137F91" w:rsidRDefault="005A7FC8" w:rsidP="00137F91">
            <w:pPr>
              <w:pStyle w:val="Prrafodelista"/>
              <w:numPr>
                <w:ilvl w:val="0"/>
                <w:numId w:val="16"/>
              </w:numPr>
              <w:spacing w:after="200" w:line="276" w:lineRule="auto"/>
              <w:jc w:val="both"/>
            </w:pPr>
            <w:r w:rsidRPr="00137F91">
              <w:rPr>
                <w:rFonts w:ascii="Calibri" w:hAnsi="Calibri" w:cs="Calibri"/>
                <w:color w:val="000000"/>
                <w:szCs w:val="28"/>
                <w:lang w:val="es-MX"/>
              </w:rPr>
              <w:t>Verificación del quórum</w:t>
            </w:r>
          </w:p>
        </w:tc>
      </w:tr>
      <w:tr w:rsidR="005A7FC8" w14:paraId="613DBE97" w14:textId="77777777" w:rsidTr="000051E9">
        <w:tc>
          <w:tcPr>
            <w:tcW w:w="8931" w:type="dxa"/>
          </w:tcPr>
          <w:p w14:paraId="55F98A5C" w14:textId="736DE157" w:rsidR="005A7FC8" w:rsidRPr="00137F91" w:rsidRDefault="005A7FC8" w:rsidP="00137F91">
            <w:pPr>
              <w:pStyle w:val="Prrafodelista"/>
              <w:numPr>
                <w:ilvl w:val="0"/>
                <w:numId w:val="16"/>
              </w:numPr>
              <w:spacing w:after="200" w:line="276" w:lineRule="auto"/>
              <w:jc w:val="both"/>
            </w:pPr>
            <w:r w:rsidRPr="00137F91">
              <w:rPr>
                <w:rFonts w:ascii="Calibri" w:hAnsi="Calibri" w:cs="Calibri"/>
                <w:color w:val="000000"/>
                <w:szCs w:val="28"/>
                <w:lang w:val="es-MX"/>
              </w:rPr>
              <w:t>Lectura y aprobación del orden del día</w:t>
            </w:r>
          </w:p>
        </w:tc>
      </w:tr>
      <w:tr w:rsidR="005A7FC8" w14:paraId="132F8BDE" w14:textId="77777777" w:rsidTr="000051E9">
        <w:tc>
          <w:tcPr>
            <w:tcW w:w="8931" w:type="dxa"/>
          </w:tcPr>
          <w:p w14:paraId="6F791535" w14:textId="71093A03" w:rsidR="005A7FC8" w:rsidRPr="00137F91" w:rsidRDefault="005A7FC8" w:rsidP="00137F91">
            <w:pPr>
              <w:pStyle w:val="Prrafodelista"/>
              <w:numPr>
                <w:ilvl w:val="0"/>
                <w:numId w:val="16"/>
              </w:numPr>
              <w:spacing w:after="200" w:line="276" w:lineRule="auto"/>
              <w:jc w:val="both"/>
            </w:pPr>
            <w:bookmarkStart w:id="0" w:name="_Hlk514361194"/>
            <w:r w:rsidRPr="00137F91">
              <w:rPr>
                <w:rFonts w:ascii="Calibri" w:hAnsi="Calibri" w:cs="Calibri"/>
                <w:color w:val="000000"/>
                <w:szCs w:val="28"/>
                <w:lang w:val="es-MX"/>
              </w:rPr>
              <w:t>Aprobación del acta de la Cuarta Sesión 2017</w:t>
            </w:r>
          </w:p>
        </w:tc>
      </w:tr>
      <w:tr w:rsidR="005A7FC8" w14:paraId="5F0057EE" w14:textId="77777777" w:rsidTr="000051E9">
        <w:tc>
          <w:tcPr>
            <w:tcW w:w="8931" w:type="dxa"/>
          </w:tcPr>
          <w:p w14:paraId="2B68653B" w14:textId="4A0B9C7D" w:rsidR="005A7FC8" w:rsidRPr="00137F91" w:rsidRDefault="005A7FC8" w:rsidP="00137F91">
            <w:pPr>
              <w:pStyle w:val="Prrafodelista"/>
              <w:numPr>
                <w:ilvl w:val="0"/>
                <w:numId w:val="16"/>
              </w:numPr>
              <w:spacing w:after="200" w:line="276" w:lineRule="auto"/>
              <w:jc w:val="both"/>
            </w:pPr>
            <w:bookmarkStart w:id="1" w:name="_Hlk514361266"/>
            <w:bookmarkEnd w:id="0"/>
            <w:r w:rsidRPr="00137F91">
              <w:rPr>
                <w:rFonts w:ascii="Calibri" w:hAnsi="Calibri" w:cs="Calibri"/>
                <w:color w:val="000000"/>
                <w:szCs w:val="28"/>
                <w:lang w:val="es-MX"/>
              </w:rPr>
              <w:t xml:space="preserve">Aprobación del Informe Anual de Resultados 2017 </w:t>
            </w:r>
            <w:bookmarkEnd w:id="1"/>
            <w:r w:rsidRPr="00137F91">
              <w:rPr>
                <w:rFonts w:ascii="Calibri" w:hAnsi="Calibri" w:cs="Calibri"/>
                <w:color w:val="000000"/>
                <w:szCs w:val="28"/>
                <w:lang w:val="es-MX"/>
              </w:rPr>
              <w:t>- E. Ordaz</w:t>
            </w:r>
          </w:p>
        </w:tc>
      </w:tr>
      <w:tr w:rsidR="005A7FC8" w14:paraId="7E849AFB" w14:textId="77777777" w:rsidTr="000051E9">
        <w:tc>
          <w:tcPr>
            <w:tcW w:w="8931" w:type="dxa"/>
          </w:tcPr>
          <w:p w14:paraId="73F44EEC" w14:textId="7FFFC608" w:rsidR="005A7FC8" w:rsidRPr="00137F91" w:rsidRDefault="005A7FC8" w:rsidP="00137F91">
            <w:pPr>
              <w:pStyle w:val="Prrafodelista"/>
              <w:numPr>
                <w:ilvl w:val="0"/>
                <w:numId w:val="16"/>
              </w:numPr>
              <w:spacing w:after="200" w:line="276" w:lineRule="auto"/>
              <w:jc w:val="both"/>
            </w:pPr>
            <w:r w:rsidRPr="00137F91">
              <w:rPr>
                <w:rFonts w:ascii="Calibri" w:hAnsi="Calibri" w:cs="Calibri"/>
                <w:color w:val="000000"/>
                <w:szCs w:val="28"/>
                <w:lang w:val="es-MX"/>
              </w:rPr>
              <w:t>Aprobación del programa de capacitación para el aseguramiento de la calidad en 2018 - A. Tejeida</w:t>
            </w:r>
          </w:p>
        </w:tc>
      </w:tr>
      <w:tr w:rsidR="005A7FC8" w14:paraId="1C739F6C" w14:textId="77777777" w:rsidTr="000051E9">
        <w:tc>
          <w:tcPr>
            <w:tcW w:w="8931" w:type="dxa"/>
          </w:tcPr>
          <w:p w14:paraId="235C068A" w14:textId="7AE826A9" w:rsidR="005A7FC8" w:rsidRPr="00137F91" w:rsidRDefault="005A7FC8" w:rsidP="00137F91">
            <w:pPr>
              <w:pStyle w:val="Prrafodelista"/>
              <w:numPr>
                <w:ilvl w:val="0"/>
                <w:numId w:val="16"/>
              </w:numPr>
              <w:spacing w:after="200" w:line="276" w:lineRule="auto"/>
              <w:jc w:val="both"/>
            </w:pPr>
            <w:r w:rsidRPr="00137F91">
              <w:rPr>
                <w:rFonts w:ascii="Calibri" w:hAnsi="Calibri" w:cs="Calibri"/>
                <w:color w:val="000000"/>
                <w:szCs w:val="28"/>
                <w:lang w:val="es-MX"/>
              </w:rPr>
              <w:t>Avance en la adopción del Modelo del Proceso Estadístico y Geográfico (MPEG) - A. Fernández</w:t>
            </w:r>
          </w:p>
        </w:tc>
      </w:tr>
      <w:tr w:rsidR="005A7FC8" w14:paraId="1968D7DA" w14:textId="77777777" w:rsidTr="000051E9">
        <w:tc>
          <w:tcPr>
            <w:tcW w:w="8931" w:type="dxa"/>
          </w:tcPr>
          <w:p w14:paraId="39A566E3" w14:textId="19C69792" w:rsidR="005A7FC8" w:rsidRPr="00137F91" w:rsidRDefault="005A7FC8" w:rsidP="00137F91">
            <w:pPr>
              <w:pStyle w:val="Prrafodelista"/>
              <w:numPr>
                <w:ilvl w:val="0"/>
                <w:numId w:val="16"/>
              </w:numPr>
              <w:spacing w:after="200" w:line="276" w:lineRule="auto"/>
              <w:jc w:val="both"/>
            </w:pPr>
            <w:r w:rsidRPr="00137F91">
              <w:rPr>
                <w:rFonts w:ascii="Calibri" w:hAnsi="Calibri" w:cs="Calibri"/>
                <w:color w:val="000000"/>
                <w:szCs w:val="28"/>
                <w:lang w:val="es-MX"/>
              </w:rPr>
              <w:t>Propuesta de evaluación de la captación de la información en el ámbito territorial - O. Gasca</w:t>
            </w:r>
          </w:p>
        </w:tc>
      </w:tr>
      <w:tr w:rsidR="005A7FC8" w14:paraId="2D30E833" w14:textId="77777777" w:rsidTr="000051E9">
        <w:tc>
          <w:tcPr>
            <w:tcW w:w="8931" w:type="dxa"/>
          </w:tcPr>
          <w:p w14:paraId="211E946D" w14:textId="0E4FC230" w:rsidR="005A7FC8" w:rsidRPr="00137F91" w:rsidRDefault="005A7FC8" w:rsidP="00137F91">
            <w:pPr>
              <w:pStyle w:val="Prrafodelista"/>
              <w:numPr>
                <w:ilvl w:val="0"/>
                <w:numId w:val="16"/>
              </w:numPr>
              <w:spacing w:after="200" w:line="276" w:lineRule="auto"/>
              <w:jc w:val="both"/>
              <w:rPr>
                <w:rFonts w:ascii="Calibri" w:hAnsi="Calibri" w:cs="Calibri"/>
                <w:color w:val="000000"/>
                <w:szCs w:val="28"/>
              </w:rPr>
            </w:pPr>
            <w:r w:rsidRPr="00137F91">
              <w:rPr>
                <w:rFonts w:ascii="Calibri" w:hAnsi="Calibri" w:cs="Calibri"/>
                <w:color w:val="000000"/>
                <w:szCs w:val="28"/>
                <w:lang w:val="es-MX"/>
              </w:rPr>
              <w:t>Definición de valores de referencia para el coeficiente de variación y la cobertura con base en la revisión de la experiencia internacional - E. de Alba</w:t>
            </w:r>
          </w:p>
        </w:tc>
      </w:tr>
      <w:tr w:rsidR="005A7FC8" w14:paraId="316B7D14" w14:textId="77777777" w:rsidTr="000051E9">
        <w:tc>
          <w:tcPr>
            <w:tcW w:w="8931" w:type="dxa"/>
          </w:tcPr>
          <w:p w14:paraId="153CEDFA" w14:textId="3E2D4286" w:rsidR="005A7FC8" w:rsidRPr="00137F91" w:rsidRDefault="005A7FC8" w:rsidP="00137F91">
            <w:pPr>
              <w:pStyle w:val="Prrafodelista"/>
              <w:numPr>
                <w:ilvl w:val="0"/>
                <w:numId w:val="16"/>
              </w:numPr>
              <w:spacing w:after="200" w:line="276" w:lineRule="auto"/>
              <w:jc w:val="both"/>
              <w:rPr>
                <w:rFonts w:ascii="Calibri" w:hAnsi="Calibri" w:cs="Calibri"/>
                <w:color w:val="000000"/>
                <w:szCs w:val="28"/>
                <w:lang w:val="es-MX"/>
              </w:rPr>
            </w:pPr>
            <w:r w:rsidRPr="00137F91">
              <w:rPr>
                <w:rFonts w:ascii="Calibri" w:hAnsi="Calibri" w:cs="Calibri"/>
                <w:color w:val="000000"/>
                <w:szCs w:val="28"/>
                <w:lang w:val="es-MX"/>
              </w:rPr>
              <w:t>Acuerdos</w:t>
            </w:r>
          </w:p>
          <w:p w14:paraId="425E9CC9" w14:textId="5C125F76" w:rsidR="005A7FC8" w:rsidRPr="00137F91" w:rsidRDefault="005A7FC8" w:rsidP="00137F91">
            <w:pPr>
              <w:pStyle w:val="Prrafodelista"/>
              <w:numPr>
                <w:ilvl w:val="0"/>
                <w:numId w:val="16"/>
              </w:numPr>
              <w:spacing w:after="200" w:line="276" w:lineRule="auto"/>
              <w:jc w:val="both"/>
              <w:rPr>
                <w:rFonts w:ascii="Calibri" w:hAnsi="Calibri" w:cs="Calibri"/>
                <w:color w:val="000000"/>
                <w:szCs w:val="28"/>
                <w:lang w:val="es-MX"/>
              </w:rPr>
            </w:pPr>
            <w:r w:rsidRPr="00137F91">
              <w:rPr>
                <w:rFonts w:ascii="Calibri" w:hAnsi="Calibri" w:cs="Calibri"/>
                <w:color w:val="000000"/>
                <w:szCs w:val="28"/>
                <w:lang w:val="es-MX"/>
              </w:rPr>
              <w:t>Asuntos generales</w:t>
            </w:r>
          </w:p>
          <w:p w14:paraId="4469FF14" w14:textId="79719E11" w:rsidR="005A7FC8" w:rsidRPr="00137F91" w:rsidRDefault="005A7FC8" w:rsidP="00137F91">
            <w:pPr>
              <w:pStyle w:val="Prrafodelista"/>
              <w:numPr>
                <w:ilvl w:val="0"/>
                <w:numId w:val="16"/>
              </w:numPr>
              <w:spacing w:after="200" w:line="276" w:lineRule="auto"/>
              <w:jc w:val="both"/>
              <w:rPr>
                <w:rFonts w:ascii="Calibri" w:hAnsi="Calibri" w:cs="Calibri"/>
                <w:color w:val="000000"/>
                <w:szCs w:val="28"/>
              </w:rPr>
            </w:pPr>
            <w:r w:rsidRPr="00137F91">
              <w:rPr>
                <w:rFonts w:ascii="Calibri" w:hAnsi="Calibri" w:cs="Calibri"/>
                <w:color w:val="000000"/>
                <w:szCs w:val="28"/>
                <w:lang w:val="es-MX"/>
              </w:rPr>
              <w:t>Cierre de la reunión</w:t>
            </w:r>
          </w:p>
        </w:tc>
      </w:tr>
    </w:tbl>
    <w:p w14:paraId="030DB415" w14:textId="77777777" w:rsidR="00B835E8" w:rsidRDefault="00B835E8" w:rsidP="00E84509">
      <w:pPr>
        <w:spacing w:after="200" w:line="276" w:lineRule="auto"/>
        <w:jc w:val="both"/>
      </w:pPr>
    </w:p>
    <w:p w14:paraId="7366970A" w14:textId="6B58002B" w:rsidR="001E3E6D" w:rsidRDefault="00B835E8" w:rsidP="00E84509">
      <w:pPr>
        <w:spacing w:after="200" w:line="276" w:lineRule="auto"/>
        <w:jc w:val="both"/>
      </w:pPr>
      <w:r>
        <w:lastRenderedPageBreak/>
        <w:t>E</w:t>
      </w:r>
      <w:r w:rsidR="00204D52" w:rsidRPr="000579E0">
        <w:t xml:space="preserve">l </w:t>
      </w:r>
      <w:r>
        <w:t>orden del día fue</w:t>
      </w:r>
      <w:r w:rsidR="00204D52" w:rsidRPr="000579E0">
        <w:t xml:space="preserve"> aprobado por</w:t>
      </w:r>
      <w:r w:rsidR="00B674C0">
        <w:t xml:space="preserve"> el Presidente del Comité, en uso de las atribuciones que le confieren los numerales 6.3., apartado B, números 6.3.2., incisos “</w:t>
      </w:r>
      <w:r w:rsidR="001E3E6D">
        <w:t>b</w:t>
      </w:r>
      <w:r w:rsidR="00B674C0">
        <w:t>” y “e”</w:t>
      </w:r>
      <w:r w:rsidR="00204D52" w:rsidRPr="00EB1277">
        <w:t>.</w:t>
      </w:r>
      <w:r w:rsidR="00204D52" w:rsidRPr="000579E0">
        <w:t xml:space="preserve"> </w:t>
      </w:r>
    </w:p>
    <w:p w14:paraId="64C33284" w14:textId="0BD0B59F" w:rsidR="00E84509" w:rsidRPr="00417D36" w:rsidRDefault="00D2217D" w:rsidP="00E84509">
      <w:pPr>
        <w:spacing w:after="200" w:line="276" w:lineRule="auto"/>
        <w:jc w:val="both"/>
      </w:pPr>
      <w:r>
        <w:t>Al respecto</w:t>
      </w:r>
      <w:r w:rsidR="003C1963">
        <w:t>,</w:t>
      </w:r>
      <w:r>
        <w:t xml:space="preserve"> </w:t>
      </w:r>
      <w:r w:rsidR="000A0BBA" w:rsidRPr="000579E0">
        <w:t>José Arturo Blancas Espejo</w:t>
      </w:r>
      <w:r w:rsidR="000A0BBA">
        <w:t xml:space="preserve"> solicitó la participación </w:t>
      </w:r>
      <w:r w:rsidR="001E3E6D">
        <w:t xml:space="preserve">en esta Primera Sesión </w:t>
      </w:r>
      <w:r w:rsidR="000A0BBA">
        <w:t>de Araceli Martínez Gama</w:t>
      </w:r>
      <w:r w:rsidR="000F422E">
        <w:t>,</w:t>
      </w:r>
      <w:r w:rsidR="000F422E" w:rsidRPr="000F422E">
        <w:t xml:space="preserve"> </w:t>
      </w:r>
      <w:r w:rsidR="000F422E">
        <w:t>Directora General Adjunta de Encuestas Económicas,</w:t>
      </w:r>
      <w:r w:rsidR="000A0BBA">
        <w:t xml:space="preserve"> como invitada en la presentación sobre la definición de valores de referencia para el coeficiente de variación y la cobertura con base en la revisión de la experiencia internacional. Asimismo, </w:t>
      </w:r>
      <w:r w:rsidR="000A0BBA" w:rsidRPr="000579E0">
        <w:t>Oscar Gasca Brito</w:t>
      </w:r>
      <w:r w:rsidR="000A0BBA">
        <w:t xml:space="preserve"> solicitó la participación de Alexandra </w:t>
      </w:r>
      <w:r w:rsidR="00F4159F">
        <w:t>Stéphanie</w:t>
      </w:r>
      <w:r w:rsidR="000A0BBA">
        <w:t xml:space="preserve"> Boyer</w:t>
      </w:r>
      <w:r w:rsidR="000F422E">
        <w:t>, Directora del SNIEG en el ámbito estatal,</w:t>
      </w:r>
      <w:r w:rsidR="000A0BBA">
        <w:t xml:space="preserve"> como invitada en la presentación sobre la propuesta de evaluación de la captación de la información en el ámbito territorial.</w:t>
      </w:r>
      <w:r w:rsidR="006E5144">
        <w:t xml:space="preserve"> Por otra parte</w:t>
      </w:r>
      <w:r w:rsidR="0095033A">
        <w:t xml:space="preserve">, Gloria Martha Rubio Soto comentó que se propone presentar la propuesta de indicadores de pertinencia y oportunidad cuando se cuente con los resultados </w:t>
      </w:r>
      <w:r w:rsidR="00A3778F">
        <w:t>que permitan verificar la factibilidad de su cálculo</w:t>
      </w:r>
      <w:r w:rsidR="0095033A">
        <w:t xml:space="preserve">. </w:t>
      </w:r>
      <w:r w:rsidR="00263011" w:rsidRPr="000579E0">
        <w:t>María Isabel Monterrubio Gómez</w:t>
      </w:r>
      <w:r w:rsidR="00263011">
        <w:t xml:space="preserve"> respondió que los resultados de la prueba piloto estarán disponibles </w:t>
      </w:r>
      <w:r w:rsidR="00AB305F">
        <w:t xml:space="preserve">en el último trimestre </w:t>
      </w:r>
      <w:r w:rsidR="00263011">
        <w:t>de</w:t>
      </w:r>
      <w:r w:rsidR="00AB305F">
        <w:t>l</w:t>
      </w:r>
      <w:r w:rsidR="00263011">
        <w:t xml:space="preserve"> año, sin embargo, </w:t>
      </w:r>
      <w:r w:rsidR="00356ABD">
        <w:t>podr</w:t>
      </w:r>
      <w:r w:rsidR="00263011">
        <w:t xml:space="preserve">ían presentar </w:t>
      </w:r>
      <w:r w:rsidR="00356ABD">
        <w:t>la propuesta de</w:t>
      </w:r>
      <w:r w:rsidR="003328AF">
        <w:t>l</w:t>
      </w:r>
      <w:r w:rsidR="00356ABD">
        <w:t xml:space="preserve"> indicador </w:t>
      </w:r>
      <w:r w:rsidR="003328AF">
        <w:t xml:space="preserve">de pertinencia </w:t>
      </w:r>
      <w:r w:rsidR="00356ABD">
        <w:t xml:space="preserve">y algunos avances para su cálculo </w:t>
      </w:r>
      <w:r w:rsidR="000B06EE">
        <w:t>en la siguiente sesión</w:t>
      </w:r>
      <w:r w:rsidR="000B06EE" w:rsidRPr="00417D36">
        <w:t xml:space="preserve">. De igual manera, </w:t>
      </w:r>
      <w:r w:rsidR="003D3ABB" w:rsidRPr="00417D36">
        <w:t xml:space="preserve">Carlos Agustín Guerrero Elemen comentó que la Dirección General de Geografía y Medio Ambiente ha realizado pruebas para </w:t>
      </w:r>
      <w:r w:rsidR="005C7F6B" w:rsidRPr="00417D36">
        <w:t xml:space="preserve">la aplicación </w:t>
      </w:r>
      <w:r w:rsidR="003D3ABB" w:rsidRPr="00417D36">
        <w:t>de indicador</w:t>
      </w:r>
      <w:r w:rsidR="00CB2A35" w:rsidRPr="00417D36">
        <w:t>es</w:t>
      </w:r>
      <w:r w:rsidR="003D3ABB" w:rsidRPr="00417D36">
        <w:t xml:space="preserve"> </w:t>
      </w:r>
      <w:r w:rsidR="005C7F6B" w:rsidRPr="00417D36">
        <w:t>en el ámbito de</w:t>
      </w:r>
      <w:r w:rsidR="003D3ABB" w:rsidRPr="00417D36">
        <w:t xml:space="preserve"> la información geográfica</w:t>
      </w:r>
      <w:r w:rsidR="00E84509" w:rsidRPr="00417D36">
        <w:t xml:space="preserve"> y del medio ambiente,</w:t>
      </w:r>
      <w:r w:rsidR="003D3ABB" w:rsidRPr="00417D36">
        <w:t xml:space="preserve"> y </w:t>
      </w:r>
      <w:r w:rsidR="00AB305F">
        <w:t xml:space="preserve">también </w:t>
      </w:r>
      <w:r w:rsidR="003D3ABB" w:rsidRPr="00417D36">
        <w:t xml:space="preserve">podrían presentar </w:t>
      </w:r>
      <w:r w:rsidR="00833562" w:rsidRPr="00417D36">
        <w:t xml:space="preserve">estos </w:t>
      </w:r>
      <w:r w:rsidR="003D3ABB" w:rsidRPr="00417D36">
        <w:t xml:space="preserve">resultados en la siguiente sesión. </w:t>
      </w:r>
      <w:r w:rsidR="001E58F2" w:rsidRPr="00417D36">
        <w:t xml:space="preserve">Sobre el indicador de porcentaje </w:t>
      </w:r>
      <w:r w:rsidR="001D10E5" w:rsidRPr="00417D36">
        <w:t>de variables por</w:t>
      </w:r>
      <w:r w:rsidR="001E58F2" w:rsidRPr="00417D36">
        <w:t xml:space="preserve"> proyecto que atienden lo establecido en la legislación se e</w:t>
      </w:r>
      <w:r w:rsidR="00E84509" w:rsidRPr="00417D36">
        <w:t>xplicó que es factible y no presentó dificultades la aplicación</w:t>
      </w:r>
      <w:r w:rsidR="000F6C80">
        <w:t>.</w:t>
      </w:r>
      <w:r w:rsidR="000F6C80" w:rsidRPr="00417D36">
        <w:t xml:space="preserve"> </w:t>
      </w:r>
      <w:r w:rsidR="001E58F2" w:rsidRPr="00417D36">
        <w:t xml:space="preserve">Respecto al indicador de porcentaje de variables por proyecto que se utilizan para el cálculo de indicadores estratégicos para la toma de decisiones (Indicadores Clave, </w:t>
      </w:r>
      <w:r w:rsidR="00E84509" w:rsidRPr="00417D36">
        <w:t>Objetivos de Desarrollo Sostenible, Plan Nacional de Desarrollo</w:t>
      </w:r>
      <w:r w:rsidR="001E58F2" w:rsidRPr="00417D36">
        <w:t xml:space="preserve">, </w:t>
      </w:r>
      <w:r w:rsidR="00E84509" w:rsidRPr="00417D36">
        <w:t>Programas Sectoriales</w:t>
      </w:r>
      <w:r w:rsidR="001E58F2" w:rsidRPr="00417D36">
        <w:t>)</w:t>
      </w:r>
      <w:r w:rsidR="003F7287" w:rsidRPr="00417D36">
        <w:t xml:space="preserve"> </w:t>
      </w:r>
      <w:r w:rsidR="001E58F2" w:rsidRPr="00417D36">
        <w:t xml:space="preserve">se </w:t>
      </w:r>
      <w:r w:rsidR="009D3594" w:rsidRPr="00417D36">
        <w:t>ejemplificó con el caso de</w:t>
      </w:r>
      <w:r w:rsidR="003F7287" w:rsidRPr="00417D36">
        <w:t xml:space="preserve"> la información de uso de suelo y vegetación</w:t>
      </w:r>
      <w:r w:rsidR="00EF0D1B" w:rsidRPr="00417D36">
        <w:t xml:space="preserve">, donde se identificó el uso de la información </w:t>
      </w:r>
      <w:r w:rsidR="009D3594" w:rsidRPr="00417D36">
        <w:t>en</w:t>
      </w:r>
      <w:r w:rsidR="00EF0D1B" w:rsidRPr="00417D36">
        <w:t xml:space="preserve"> diferentes proyectos, pero no de todas las variables, motivo por el cual el porcentaje</w:t>
      </w:r>
      <w:r w:rsidR="009D3594" w:rsidRPr="00417D36">
        <w:t xml:space="preserve"> de aplicación difícilmente alcanzará e</w:t>
      </w:r>
      <w:r w:rsidR="00EF0D1B" w:rsidRPr="00417D36">
        <w:t>l 100%</w:t>
      </w:r>
      <w:r w:rsidR="00E84509" w:rsidRPr="00417D36">
        <w:t xml:space="preserve">. </w:t>
      </w:r>
    </w:p>
    <w:p w14:paraId="19D804B1" w14:textId="6E068852" w:rsidR="000579E0" w:rsidRDefault="001E3E6D" w:rsidP="000579E0">
      <w:pPr>
        <w:spacing w:after="200" w:line="276" w:lineRule="auto"/>
        <w:jc w:val="both"/>
      </w:pPr>
      <w:r>
        <w:rPr>
          <w:b/>
        </w:rPr>
        <w:t xml:space="preserve">III. </w:t>
      </w:r>
      <w:r w:rsidRPr="001E3E6D">
        <w:rPr>
          <w:b/>
        </w:rPr>
        <w:t>APROBACIÓN DEL ACTA DE LA CUARTA SESIÓN 2017.</w:t>
      </w:r>
      <w:r>
        <w:t xml:space="preserve"> C</w:t>
      </w:r>
      <w:r w:rsidR="00204D52" w:rsidRPr="00417D36">
        <w:t>onforme al siguiente punto del orden del dí</w:t>
      </w:r>
      <w:r w:rsidR="005C7F6B" w:rsidRPr="00417D36">
        <w:t>a, se aprobó por unanimidad</w:t>
      </w:r>
      <w:r w:rsidR="00D80296">
        <w:t xml:space="preserve"> de votos de los integrantes del Comité presentes,</w:t>
      </w:r>
      <w:r w:rsidR="005C7F6B" w:rsidRPr="00417D36">
        <w:t xml:space="preserve"> el A</w:t>
      </w:r>
      <w:r w:rsidR="00204D52" w:rsidRPr="00417D36">
        <w:t xml:space="preserve">cta de la </w:t>
      </w:r>
      <w:r w:rsidR="005C7F6B" w:rsidRPr="00417D36">
        <w:t>c</w:t>
      </w:r>
      <w:r w:rsidR="00B9559A" w:rsidRPr="00417D36">
        <w:t>uarta</w:t>
      </w:r>
      <w:r w:rsidR="00204D52" w:rsidRPr="00417D36">
        <w:t xml:space="preserve"> sesión del año 2017, a travé</w:t>
      </w:r>
      <w:r w:rsidR="00A864E7" w:rsidRPr="00417D36">
        <w:t xml:space="preserve">s del acuerdo </w:t>
      </w:r>
      <w:r w:rsidR="00A864E7" w:rsidRPr="00417D36">
        <w:rPr>
          <w:u w:val="single"/>
        </w:rPr>
        <w:t>CAC-00</w:t>
      </w:r>
      <w:r w:rsidR="00360BBA">
        <w:rPr>
          <w:u w:val="single"/>
        </w:rPr>
        <w:t>1</w:t>
      </w:r>
      <w:r w:rsidR="00A864E7" w:rsidRPr="00417D36">
        <w:rPr>
          <w:u w:val="single"/>
        </w:rPr>
        <w:t>/0</w:t>
      </w:r>
      <w:r w:rsidR="00B9559A" w:rsidRPr="00417D36">
        <w:rPr>
          <w:u w:val="single"/>
        </w:rPr>
        <w:t>1/2018</w:t>
      </w:r>
      <w:r w:rsidR="00A864E7" w:rsidRPr="00417D36">
        <w:t>.</w:t>
      </w:r>
    </w:p>
    <w:p w14:paraId="1F422879" w14:textId="3183F338" w:rsidR="008F01A7" w:rsidRDefault="00352D3A" w:rsidP="008F01A7">
      <w:pPr>
        <w:spacing w:after="200" w:line="276" w:lineRule="auto"/>
        <w:jc w:val="both"/>
      </w:pPr>
      <w:r w:rsidRPr="00527282">
        <w:rPr>
          <w:b/>
        </w:rPr>
        <w:t xml:space="preserve">IV. </w:t>
      </w:r>
      <w:r w:rsidRPr="00527282">
        <w:rPr>
          <w:rFonts w:ascii="Calibri" w:hAnsi="Calibri" w:cs="Calibri"/>
          <w:b/>
          <w:color w:val="000000"/>
          <w:szCs w:val="28"/>
        </w:rPr>
        <w:t>APROBACIÓN DEL INFORME ANUAL DE RESULTADOS 2017.</w:t>
      </w:r>
      <w:r>
        <w:rPr>
          <w:rFonts w:ascii="Calibri" w:hAnsi="Calibri" w:cs="Calibri"/>
          <w:color w:val="000000"/>
          <w:szCs w:val="28"/>
        </w:rPr>
        <w:t xml:space="preserve"> </w:t>
      </w:r>
      <w:r w:rsidR="00204D52" w:rsidRPr="000579E0">
        <w:t xml:space="preserve">Dentro del cuarto </w:t>
      </w:r>
      <w:r w:rsidR="00CD2C42">
        <w:t>asunto</w:t>
      </w:r>
      <w:r w:rsidR="00CD2C42" w:rsidRPr="000579E0">
        <w:t xml:space="preserve"> </w:t>
      </w:r>
      <w:r w:rsidR="00204D52" w:rsidRPr="000579E0">
        <w:t xml:space="preserve">del orden del día, </w:t>
      </w:r>
      <w:r w:rsidR="005A5B3D" w:rsidRPr="000579E0">
        <w:t xml:space="preserve">Enrique Jesús Ordaz López </w:t>
      </w:r>
      <w:r w:rsidR="00EA7DD6">
        <w:t xml:space="preserve">presentó </w:t>
      </w:r>
      <w:r w:rsidR="00204D52" w:rsidRPr="000579E0">
        <w:t xml:space="preserve">al Comité </w:t>
      </w:r>
      <w:r w:rsidR="00EA7DD6">
        <w:t>el I</w:t>
      </w:r>
      <w:r w:rsidR="00EA7DD6" w:rsidRPr="000579E0">
        <w:t>nform</w:t>
      </w:r>
      <w:r w:rsidR="00EA7DD6">
        <w:t>e</w:t>
      </w:r>
      <w:r w:rsidR="00EA7DD6" w:rsidRPr="000579E0">
        <w:t xml:space="preserve"> </w:t>
      </w:r>
      <w:r w:rsidR="00EA7DD6">
        <w:t>Anual de Resultados 2017</w:t>
      </w:r>
      <w:r w:rsidR="00551C62">
        <w:t>, previamente enviado en la carpeta de la sesión</w:t>
      </w:r>
      <w:r w:rsidR="00F7383D">
        <w:t xml:space="preserve">, </w:t>
      </w:r>
      <w:bookmarkStart w:id="2" w:name="_Hlk514357269"/>
      <w:r w:rsidR="00F7383D">
        <w:t xml:space="preserve">el cual consta de </w:t>
      </w:r>
      <w:r w:rsidR="0066522C">
        <w:t>23</w:t>
      </w:r>
      <w:r w:rsidR="00F7383D">
        <w:t xml:space="preserve"> hojas, puede ser consultado en </w:t>
      </w:r>
      <w:hyperlink r:id="rId11" w:history="1">
        <w:r w:rsidR="00B81EEA" w:rsidRPr="00AA627F">
          <w:rPr>
            <w:rStyle w:val="Hipervnculo"/>
          </w:rPr>
          <w:t>https://365inegi.sharepoint.com/sites/calidad/SitePages/1_sesion_2018.aspx</w:t>
        </w:r>
      </w:hyperlink>
      <w:r w:rsidR="00F7383D">
        <w:t xml:space="preserve"> y forma parte de esta acta, para todos los efectos conducentes</w:t>
      </w:r>
      <w:bookmarkEnd w:id="2"/>
      <w:r w:rsidR="000B7BA3">
        <w:t>.</w:t>
      </w:r>
      <w:r w:rsidR="00EA7DD6">
        <w:t xml:space="preserve"> </w:t>
      </w:r>
      <w:r w:rsidR="001357B8">
        <w:t>La presentación del</w:t>
      </w:r>
      <w:r w:rsidR="003328AF">
        <w:t xml:space="preserve"> Informe</w:t>
      </w:r>
      <w:r w:rsidR="001A6ACC">
        <w:t xml:space="preserve"> </w:t>
      </w:r>
      <w:r w:rsidR="001357B8">
        <w:t>consta de 23 lámina</w:t>
      </w:r>
      <w:r w:rsidR="001F6A4E">
        <w:t>s</w:t>
      </w:r>
      <w:r w:rsidR="001357B8">
        <w:t xml:space="preserve"> disponibles </w:t>
      </w:r>
      <w:r w:rsidR="00243209">
        <w:t>en intranet en la carpeta de presentaciones de la sesión correspondiente (</w:t>
      </w:r>
      <w:hyperlink r:id="rId12" w:history="1">
        <w:r w:rsidR="001357B8" w:rsidRPr="00CB3E04">
          <w:rPr>
            <w:rStyle w:val="Hipervnculo"/>
          </w:rPr>
          <w:t>https://365inegi.sharepoint.com/sites/calidad/SitePages/012018_presentaciones.aspx</w:t>
        </w:r>
      </w:hyperlink>
      <w:r w:rsidR="00243209">
        <w:t>)</w:t>
      </w:r>
      <w:r w:rsidR="001357B8">
        <w:t xml:space="preserve">. </w:t>
      </w:r>
      <w:r w:rsidR="00243209">
        <w:t>En ella se</w:t>
      </w:r>
      <w:r w:rsidR="001357B8">
        <w:t xml:space="preserve"> </w:t>
      </w:r>
      <w:r w:rsidR="001A6ACC">
        <w:t xml:space="preserve">detalla </w:t>
      </w:r>
      <w:r w:rsidR="00B00B99">
        <w:t>el avance en el cumplimiento de metas de mediano plazo de las actividades estratégicas para el aseguramiento de la calidad</w:t>
      </w:r>
      <w:r w:rsidR="00DD0BBA">
        <w:t xml:space="preserve">; </w:t>
      </w:r>
      <w:r w:rsidR="001A6ACC">
        <w:t>reporta los indicadores institucionales de calidad</w:t>
      </w:r>
      <w:r w:rsidR="00B00B99">
        <w:t xml:space="preserve"> </w:t>
      </w:r>
      <w:r w:rsidR="001A6ACC">
        <w:t xml:space="preserve">aprobados en la </w:t>
      </w:r>
      <w:r w:rsidR="001A6ACC">
        <w:lastRenderedPageBreak/>
        <w:t>Fase I</w:t>
      </w:r>
      <w:r w:rsidR="00661664">
        <w:t xml:space="preserve"> sobre puntualidad y </w:t>
      </w:r>
      <w:r w:rsidR="00C63E16">
        <w:t xml:space="preserve">documentación </w:t>
      </w:r>
      <w:r w:rsidR="00661664">
        <w:t>de metadatos</w:t>
      </w:r>
      <w:r w:rsidR="00C63E16">
        <w:t xml:space="preserve"> con un estándar internacional</w:t>
      </w:r>
      <w:r w:rsidR="001A6ACC">
        <w:t xml:space="preserve">, y </w:t>
      </w:r>
      <w:r w:rsidR="007935AE">
        <w:t xml:space="preserve">resume </w:t>
      </w:r>
      <w:r w:rsidR="001A6ACC">
        <w:t xml:space="preserve">el </w:t>
      </w:r>
      <w:r w:rsidR="0030306F">
        <w:t>progreso</w:t>
      </w:r>
      <w:r w:rsidR="001A6ACC">
        <w:t xml:space="preserve"> </w:t>
      </w:r>
      <w:r w:rsidR="0030306F">
        <w:t xml:space="preserve">en la implementación </w:t>
      </w:r>
      <w:r w:rsidR="001A6ACC">
        <w:t>de las líneas de acción</w:t>
      </w:r>
      <w:r w:rsidR="0030306F">
        <w:t xml:space="preserve"> del Programa Anual de Aseguramiento de la Calidad Institucional </w:t>
      </w:r>
      <w:r w:rsidR="00CD2C42">
        <w:t xml:space="preserve">(PAACI) </w:t>
      </w:r>
      <w:r w:rsidR="0030306F">
        <w:t>2017</w:t>
      </w:r>
      <w:r w:rsidR="00404013">
        <w:t>.</w:t>
      </w:r>
      <w:r w:rsidR="001A6ACC">
        <w:t xml:space="preserve"> </w:t>
      </w:r>
      <w:r w:rsidR="00DE3CF5">
        <w:t>Sobre el indicador institucional de puntualidad</w:t>
      </w:r>
      <w:r w:rsidR="00D75800">
        <w:t>, el Presidente</w:t>
      </w:r>
      <w:r w:rsidR="00D80296">
        <w:t xml:space="preserve"> del Comité</w:t>
      </w:r>
      <w:r w:rsidR="00D75800">
        <w:t xml:space="preserve"> </w:t>
      </w:r>
      <w:r w:rsidR="00ED73DD">
        <w:t xml:space="preserve">resaltó </w:t>
      </w:r>
      <w:r w:rsidR="00887908">
        <w:t xml:space="preserve">la importancia de aclarar el criterio para determinar </w:t>
      </w:r>
      <w:r w:rsidR="00657C74">
        <w:t xml:space="preserve">el cumplimiento de </w:t>
      </w:r>
      <w:r w:rsidR="00887908">
        <w:t xml:space="preserve">la puntualidad en la </w:t>
      </w:r>
      <w:r w:rsidR="00CD2C42">
        <w:t xml:space="preserve">difusión </w:t>
      </w:r>
      <w:r w:rsidR="00887908">
        <w:t>de la información</w:t>
      </w:r>
      <w:r w:rsidR="001F3B28">
        <w:t>, precisa</w:t>
      </w:r>
      <w:r w:rsidR="00110192">
        <w:t>ndo</w:t>
      </w:r>
      <w:r w:rsidR="001F3B28">
        <w:t xml:space="preserve"> </w:t>
      </w:r>
      <w:r w:rsidR="00110192">
        <w:t xml:space="preserve">a partir de cuándo </w:t>
      </w:r>
      <w:r w:rsidR="001F3B28">
        <w:t>se considera impuntual</w:t>
      </w:r>
      <w:r w:rsidR="00887908">
        <w:t>,</w:t>
      </w:r>
      <w:r w:rsidR="004330DE">
        <w:t xml:space="preserve"> así como complementar estos resultados con la</w:t>
      </w:r>
      <w:r w:rsidR="00887908">
        <w:t xml:space="preserve"> identifica</w:t>
      </w:r>
      <w:r w:rsidR="004330DE">
        <w:t>ción de</w:t>
      </w:r>
      <w:r w:rsidR="00887908">
        <w:t xml:space="preserve"> los proyectos específicos en los que se registr</w:t>
      </w:r>
      <w:r w:rsidR="00477CF3">
        <w:t>a</w:t>
      </w:r>
      <w:r w:rsidR="00887908">
        <w:t xml:space="preserve"> algún retraso y sus causas. </w:t>
      </w:r>
      <w:r w:rsidR="00ED73DD">
        <w:t>En relación con lo anterior</w:t>
      </w:r>
      <w:r w:rsidR="00B86B08">
        <w:t xml:space="preserve">, </w:t>
      </w:r>
      <w:r w:rsidR="00B86B08" w:rsidRPr="000579E0">
        <w:t>Armando Zúñiga Juárez</w:t>
      </w:r>
      <w:r w:rsidR="009D2B74">
        <w:t xml:space="preserve"> comentó que hay muchos factores que intervienen en la puntualidad </w:t>
      </w:r>
      <w:r w:rsidR="00CD2C42">
        <w:t>para la difusión</w:t>
      </w:r>
      <w:r w:rsidR="009D2B74">
        <w:t xml:space="preserve"> y ofrec</w:t>
      </w:r>
      <w:r w:rsidR="00B86B08">
        <w:t xml:space="preserve">ió </w:t>
      </w:r>
      <w:r w:rsidR="009D2B74">
        <w:t>revisar la fecha y hora de publicación de</w:t>
      </w:r>
      <w:r w:rsidR="00DE3CF5">
        <w:t xml:space="preserve"> </w:t>
      </w:r>
      <w:r w:rsidR="009D2B74">
        <w:t xml:space="preserve">los proyectos analizados. </w:t>
      </w:r>
      <w:r w:rsidR="008F01A7">
        <w:t xml:space="preserve">Mediante el acuerdo </w:t>
      </w:r>
      <w:r w:rsidR="008F01A7">
        <w:rPr>
          <w:u w:val="single"/>
        </w:rPr>
        <w:t>CAC-00</w:t>
      </w:r>
      <w:r w:rsidR="00360BBA">
        <w:rPr>
          <w:u w:val="single"/>
        </w:rPr>
        <w:t>2</w:t>
      </w:r>
      <w:r w:rsidR="008F01A7" w:rsidRPr="00281242">
        <w:rPr>
          <w:u w:val="single"/>
        </w:rPr>
        <w:t>/0</w:t>
      </w:r>
      <w:r w:rsidR="00897136">
        <w:rPr>
          <w:u w:val="single"/>
        </w:rPr>
        <w:t>1/2018</w:t>
      </w:r>
      <w:r w:rsidR="008F01A7" w:rsidRPr="00042586">
        <w:t xml:space="preserve">, </w:t>
      </w:r>
      <w:r w:rsidR="008F01A7">
        <w:t>e</w:t>
      </w:r>
      <w:r w:rsidR="008F01A7" w:rsidRPr="000579E0">
        <w:t xml:space="preserve">l Comité </w:t>
      </w:r>
      <w:r w:rsidR="008F01A7">
        <w:t>aprob</w:t>
      </w:r>
      <w:r w:rsidR="008F01A7" w:rsidRPr="000579E0">
        <w:t>ó por unanimidad</w:t>
      </w:r>
      <w:r w:rsidR="008F01A7">
        <w:t xml:space="preserve"> </w:t>
      </w:r>
      <w:r w:rsidR="00D80296">
        <w:t xml:space="preserve">de votos </w:t>
      </w:r>
      <w:r w:rsidR="000B5170">
        <w:t xml:space="preserve">de sus integrantes presentes, </w:t>
      </w:r>
      <w:r w:rsidR="008F01A7">
        <w:t>el</w:t>
      </w:r>
      <w:r w:rsidR="00404013">
        <w:t xml:space="preserve"> Informe Anual de Resultados 2017 y solicitó al Secretario Técnico que </w:t>
      </w:r>
      <w:r w:rsidR="00ED73DD">
        <w:t xml:space="preserve">en este Informe y en los que </w:t>
      </w:r>
      <w:r w:rsidR="00AD1343">
        <w:t xml:space="preserve">se </w:t>
      </w:r>
      <w:r w:rsidR="00ED73DD">
        <w:t xml:space="preserve">generen en lo sucesivo, </w:t>
      </w:r>
      <w:r w:rsidR="00404013">
        <w:t xml:space="preserve">se incorpore </w:t>
      </w:r>
      <w:r w:rsidR="002C11CA">
        <w:t>el detalle del cálculo de los indicadores institucionales de calidad a nivel de proyecto</w:t>
      </w:r>
      <w:r w:rsidR="004330DE">
        <w:t xml:space="preserve">, así como las </w:t>
      </w:r>
      <w:r w:rsidR="00AD1343">
        <w:t xml:space="preserve">causas </w:t>
      </w:r>
      <w:r w:rsidR="004330DE">
        <w:t xml:space="preserve">potenciales </w:t>
      </w:r>
      <w:r w:rsidR="00AD1343">
        <w:t xml:space="preserve">de los resultados registrados, </w:t>
      </w:r>
      <w:r w:rsidR="004330DE">
        <w:t>con el fin de detectar</w:t>
      </w:r>
      <w:r w:rsidR="002C11CA">
        <w:t xml:space="preserve"> áreas de oportunidad para su revisión y mejora.</w:t>
      </w:r>
    </w:p>
    <w:p w14:paraId="361ABACB" w14:textId="01DDAE70" w:rsidR="00D770B0" w:rsidRDefault="00352D3A" w:rsidP="000579E0">
      <w:pPr>
        <w:spacing w:after="200" w:line="276" w:lineRule="auto"/>
        <w:jc w:val="both"/>
      </w:pPr>
      <w:r w:rsidRPr="00F076F8">
        <w:rPr>
          <w:b/>
        </w:rPr>
        <w:t>V.</w:t>
      </w:r>
      <w:r w:rsidRPr="00F076F8">
        <w:rPr>
          <w:rFonts w:ascii="Calibri" w:hAnsi="Calibri" w:cs="Calibri"/>
          <w:b/>
          <w:color w:val="000000"/>
          <w:szCs w:val="28"/>
        </w:rPr>
        <w:t xml:space="preserve"> APROBACIÓN DEL PROGRAMA DE CAPACITACIÓN PARA EL ASEGURAMIENTO DE LA CALIDAD EN 2018</w:t>
      </w:r>
      <w:r>
        <w:rPr>
          <w:rFonts w:ascii="Calibri" w:hAnsi="Calibri" w:cs="Calibri"/>
          <w:color w:val="000000"/>
          <w:szCs w:val="28"/>
        </w:rPr>
        <w:t xml:space="preserve">. </w:t>
      </w:r>
      <w:r w:rsidR="00204D52" w:rsidRPr="000579E0">
        <w:t xml:space="preserve">Como quinto punto del orden del día, </w:t>
      </w:r>
      <w:r w:rsidR="00C327B5" w:rsidRPr="000579E0">
        <w:t>Alfonso Tejeida Hernández</w:t>
      </w:r>
      <w:r w:rsidR="00C327B5">
        <w:t xml:space="preserve"> presentó el Programa de Capacitación para el Aseguramiento de la</w:t>
      </w:r>
      <w:r w:rsidR="00B25B74">
        <w:t xml:space="preserve"> Calidad 2018, </w:t>
      </w:r>
      <w:r w:rsidR="00551C62">
        <w:t>previamente enviado en la carpeta de la sesión</w:t>
      </w:r>
      <w:r w:rsidR="00ED73DD">
        <w:t xml:space="preserve"> el cual </w:t>
      </w:r>
      <w:bookmarkStart w:id="3" w:name="_Hlk514358536"/>
      <w:r w:rsidR="00ED73DD">
        <w:t xml:space="preserve">consta de </w:t>
      </w:r>
      <w:r w:rsidR="00B81EEA" w:rsidRPr="00BC4899">
        <w:t>5</w:t>
      </w:r>
      <w:r w:rsidR="00ED73DD" w:rsidRPr="00BC4899">
        <w:t xml:space="preserve"> hojas, puede ser consultado en </w:t>
      </w:r>
      <w:r w:rsidR="00BC4899">
        <w:t xml:space="preserve">intranet en la siguiente dirección </w:t>
      </w:r>
      <w:hyperlink r:id="rId13" w:history="1">
        <w:r w:rsidR="00BC4899" w:rsidRPr="00AA627F">
          <w:rPr>
            <w:rStyle w:val="Hipervnculo"/>
          </w:rPr>
          <w:t>https://365inegi.sharepoint.com/sites/calidad/SitePages/1_sesion_2018.aspx</w:t>
        </w:r>
      </w:hyperlink>
      <w:r w:rsidR="00ED73DD">
        <w:t xml:space="preserve"> y forma parte de esta acta, para todos los efectos conducentes</w:t>
      </w:r>
      <w:bookmarkEnd w:id="3"/>
      <w:r w:rsidR="00551C62">
        <w:t xml:space="preserve">. </w:t>
      </w:r>
      <w:r w:rsidR="001F6A4E">
        <w:t>La presentación del Programa consta de 8 láminas disponibles en intranet en la carpeta de presentaciones de la sesión correspondiente (</w:t>
      </w:r>
      <w:hyperlink r:id="rId14" w:history="1">
        <w:r w:rsidR="001F6A4E" w:rsidRPr="00CB3E04">
          <w:rPr>
            <w:rStyle w:val="Hipervnculo"/>
          </w:rPr>
          <w:t>https://365inegi.sharepoint.com/sites/calidad/SitePages/012018_presentaciones.aspx</w:t>
        </w:r>
      </w:hyperlink>
      <w:r w:rsidR="001F6A4E">
        <w:t xml:space="preserve">). </w:t>
      </w:r>
      <w:r w:rsidR="00551C62" w:rsidRPr="000579E0">
        <w:t>Alfonso Tejeida Hernández</w:t>
      </w:r>
      <w:r w:rsidR="00551C62">
        <w:t xml:space="preserve"> </w:t>
      </w:r>
      <w:r w:rsidR="00B25B74">
        <w:t>señal</w:t>
      </w:r>
      <w:r w:rsidR="00551C62">
        <w:t>ó</w:t>
      </w:r>
      <w:r w:rsidR="00B25B74">
        <w:t xml:space="preserve"> que </w:t>
      </w:r>
      <w:r w:rsidR="00ED73DD">
        <w:t xml:space="preserve">el referido Programa </w:t>
      </w:r>
      <w:r w:rsidR="0087114E">
        <w:t xml:space="preserve">está enfocado </w:t>
      </w:r>
      <w:r w:rsidR="00ED73DD">
        <w:t xml:space="preserve">a </w:t>
      </w:r>
      <w:r w:rsidR="00657C74">
        <w:t>personal con</w:t>
      </w:r>
      <w:r w:rsidR="00CD2C42">
        <w:t xml:space="preserve"> nivel de mando</w:t>
      </w:r>
      <w:r w:rsidR="0087114E">
        <w:t xml:space="preserve"> de las unidades administrativas con componente estadístico o geográfico e </w:t>
      </w:r>
      <w:r w:rsidR="00C327B5">
        <w:t xml:space="preserve">incluye </w:t>
      </w:r>
      <w:r w:rsidR="00CD2C42">
        <w:t xml:space="preserve">cursos </w:t>
      </w:r>
      <w:r w:rsidR="004330DE">
        <w:t>relacionad</w:t>
      </w:r>
      <w:r w:rsidR="00ED73DD">
        <w:t>o</w:t>
      </w:r>
      <w:r w:rsidR="004330DE">
        <w:t>s con los tres temas siguientes</w:t>
      </w:r>
      <w:r w:rsidR="00C327B5">
        <w:t xml:space="preserve">: </w:t>
      </w:r>
    </w:p>
    <w:tbl>
      <w:tblPr>
        <w:tblW w:w="4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4413"/>
        <w:gridCol w:w="3808"/>
      </w:tblGrid>
      <w:tr w:rsidR="00CB6D10" w:rsidRPr="004E31D6" w14:paraId="175BE312" w14:textId="77777777" w:rsidTr="004E31D6">
        <w:trPr>
          <w:trHeight w:val="584"/>
        </w:trPr>
        <w:tc>
          <w:tcPr>
            <w:tcW w:w="2684" w:type="pct"/>
            <w:shd w:val="clear" w:color="auto" w:fill="auto"/>
            <w:tcMar>
              <w:top w:w="72" w:type="dxa"/>
              <w:left w:w="144" w:type="dxa"/>
              <w:bottom w:w="72" w:type="dxa"/>
              <w:right w:w="144" w:type="dxa"/>
            </w:tcMar>
            <w:hideMark/>
          </w:tcPr>
          <w:p w14:paraId="0BC92076" w14:textId="77777777" w:rsidR="009C145A" w:rsidRPr="004E31D6" w:rsidRDefault="00263F18" w:rsidP="00CB6D10">
            <w:pPr>
              <w:numPr>
                <w:ilvl w:val="0"/>
                <w:numId w:val="7"/>
              </w:numPr>
              <w:spacing w:after="200" w:line="276" w:lineRule="auto"/>
              <w:jc w:val="both"/>
            </w:pPr>
            <w:r w:rsidRPr="004E31D6">
              <w:rPr>
                <w:bCs/>
              </w:rPr>
              <w:t>Inducción a la calidad de la información estadística y geográfica</w:t>
            </w:r>
          </w:p>
        </w:tc>
        <w:tc>
          <w:tcPr>
            <w:tcW w:w="2316" w:type="pct"/>
            <w:shd w:val="clear" w:color="auto" w:fill="auto"/>
            <w:tcMar>
              <w:top w:w="72" w:type="dxa"/>
              <w:left w:w="144" w:type="dxa"/>
              <w:bottom w:w="72" w:type="dxa"/>
              <w:right w:w="144" w:type="dxa"/>
            </w:tcMar>
            <w:hideMark/>
          </w:tcPr>
          <w:p w14:paraId="3DEF1094" w14:textId="77777777" w:rsidR="00CB6D10" w:rsidRPr="004E31D6" w:rsidRDefault="00CB6D10" w:rsidP="00CB6D10">
            <w:pPr>
              <w:spacing w:after="200" w:line="276" w:lineRule="auto"/>
              <w:jc w:val="both"/>
            </w:pPr>
            <w:r w:rsidRPr="004E31D6">
              <w:rPr>
                <w:bCs/>
                <w:lang w:val="es-ES"/>
              </w:rPr>
              <w:t xml:space="preserve">abril – septiembre 2018 </w:t>
            </w:r>
          </w:p>
        </w:tc>
      </w:tr>
      <w:tr w:rsidR="005E7E93" w:rsidRPr="004E31D6" w14:paraId="0B894350" w14:textId="77777777" w:rsidTr="004E31D6">
        <w:trPr>
          <w:trHeight w:val="584"/>
        </w:trPr>
        <w:tc>
          <w:tcPr>
            <w:tcW w:w="2684" w:type="pct"/>
            <w:shd w:val="clear" w:color="auto" w:fill="auto"/>
            <w:tcMar>
              <w:top w:w="72" w:type="dxa"/>
              <w:left w:w="144" w:type="dxa"/>
              <w:bottom w:w="72" w:type="dxa"/>
              <w:right w:w="144" w:type="dxa"/>
            </w:tcMar>
            <w:hideMark/>
          </w:tcPr>
          <w:p w14:paraId="756CD1FF" w14:textId="2328981C" w:rsidR="009C145A" w:rsidRPr="004E31D6" w:rsidRDefault="00263F18" w:rsidP="005E7E93">
            <w:pPr>
              <w:numPr>
                <w:ilvl w:val="0"/>
                <w:numId w:val="8"/>
              </w:numPr>
              <w:spacing w:after="200" w:line="276" w:lineRule="auto"/>
              <w:jc w:val="both"/>
              <w:rPr>
                <w:bCs/>
              </w:rPr>
            </w:pPr>
            <w:r w:rsidRPr="004E31D6">
              <w:rPr>
                <w:bCs/>
              </w:rPr>
              <w:t>Enfoque a procesos, Fundamentos del MPEG</w:t>
            </w:r>
          </w:p>
        </w:tc>
        <w:tc>
          <w:tcPr>
            <w:tcW w:w="2316" w:type="pct"/>
            <w:shd w:val="clear" w:color="auto" w:fill="auto"/>
            <w:tcMar>
              <w:top w:w="72" w:type="dxa"/>
              <w:left w:w="144" w:type="dxa"/>
              <w:bottom w:w="72" w:type="dxa"/>
              <w:right w:w="144" w:type="dxa"/>
            </w:tcMar>
            <w:hideMark/>
          </w:tcPr>
          <w:p w14:paraId="6AC10FD5" w14:textId="7BB82563" w:rsidR="005E7E93" w:rsidRPr="004E31D6" w:rsidRDefault="008F22CD" w:rsidP="005E7E93">
            <w:pPr>
              <w:spacing w:after="200" w:line="276" w:lineRule="auto"/>
              <w:jc w:val="both"/>
              <w:rPr>
                <w:bCs/>
                <w:lang w:val="es-ES"/>
              </w:rPr>
            </w:pPr>
            <w:r>
              <w:rPr>
                <w:bCs/>
                <w:lang w:val="es-ES"/>
              </w:rPr>
              <w:t xml:space="preserve">julio - </w:t>
            </w:r>
            <w:r w:rsidR="005E7E93" w:rsidRPr="004E31D6">
              <w:rPr>
                <w:bCs/>
                <w:lang w:val="es-ES"/>
              </w:rPr>
              <w:t>noviembre 2018</w:t>
            </w:r>
          </w:p>
        </w:tc>
      </w:tr>
      <w:tr w:rsidR="005E7E93" w:rsidRPr="004E31D6" w14:paraId="077A5F4B" w14:textId="77777777" w:rsidTr="004E31D6">
        <w:trPr>
          <w:trHeight w:val="584"/>
        </w:trPr>
        <w:tc>
          <w:tcPr>
            <w:tcW w:w="2684" w:type="pct"/>
            <w:shd w:val="clear" w:color="auto" w:fill="auto"/>
            <w:tcMar>
              <w:top w:w="72" w:type="dxa"/>
              <w:left w:w="144" w:type="dxa"/>
              <w:bottom w:w="72" w:type="dxa"/>
              <w:right w:w="144" w:type="dxa"/>
            </w:tcMar>
            <w:hideMark/>
          </w:tcPr>
          <w:p w14:paraId="3A8F36A5" w14:textId="77777777" w:rsidR="009C145A" w:rsidRPr="004E31D6" w:rsidRDefault="00263F18" w:rsidP="005E7E93">
            <w:pPr>
              <w:numPr>
                <w:ilvl w:val="0"/>
                <w:numId w:val="9"/>
              </w:numPr>
              <w:spacing w:after="200" w:line="276" w:lineRule="auto"/>
              <w:jc w:val="both"/>
              <w:rPr>
                <w:bCs/>
              </w:rPr>
            </w:pPr>
            <w:r w:rsidRPr="004E31D6">
              <w:rPr>
                <w:bCs/>
              </w:rPr>
              <w:t>Gestión de la calidad</w:t>
            </w:r>
          </w:p>
        </w:tc>
        <w:tc>
          <w:tcPr>
            <w:tcW w:w="2316" w:type="pct"/>
            <w:shd w:val="clear" w:color="auto" w:fill="auto"/>
            <w:tcMar>
              <w:top w:w="72" w:type="dxa"/>
              <w:left w:w="144" w:type="dxa"/>
              <w:bottom w:w="72" w:type="dxa"/>
              <w:right w:w="144" w:type="dxa"/>
            </w:tcMar>
            <w:hideMark/>
          </w:tcPr>
          <w:p w14:paraId="23301AA1" w14:textId="77777777" w:rsidR="005E7E93" w:rsidRPr="004E31D6" w:rsidRDefault="005E7E93" w:rsidP="005E7E93">
            <w:pPr>
              <w:spacing w:after="200" w:line="276" w:lineRule="auto"/>
              <w:jc w:val="both"/>
              <w:rPr>
                <w:bCs/>
                <w:lang w:val="es-ES"/>
              </w:rPr>
            </w:pPr>
            <w:r w:rsidRPr="004E31D6">
              <w:rPr>
                <w:bCs/>
                <w:lang w:val="es-ES"/>
              </w:rPr>
              <w:t>enero 2019 - abril 2019</w:t>
            </w:r>
          </w:p>
        </w:tc>
      </w:tr>
    </w:tbl>
    <w:p w14:paraId="3D114C3F" w14:textId="2E25A600" w:rsidR="00D770B0" w:rsidRDefault="00F31F4D" w:rsidP="0087114E">
      <w:pPr>
        <w:spacing w:before="240" w:after="200" w:line="276" w:lineRule="auto"/>
        <w:jc w:val="both"/>
      </w:pPr>
      <w:r w:rsidRPr="0062689A">
        <w:t>Para el primer curso</w:t>
      </w:r>
      <w:r w:rsidR="006659DF" w:rsidRPr="0062689A">
        <w:t>,</w:t>
      </w:r>
      <w:r w:rsidRPr="0062689A">
        <w:t xml:space="preserve"> </w:t>
      </w:r>
      <w:r w:rsidR="004330DE">
        <w:t>los</w:t>
      </w:r>
      <w:r w:rsidRPr="0062689A">
        <w:t xml:space="preserve"> referente</w:t>
      </w:r>
      <w:r w:rsidR="004330DE">
        <w:t>s</w:t>
      </w:r>
      <w:r w:rsidRPr="0062689A">
        <w:t xml:space="preserve"> para la identificación de los materiales de capacitación será</w:t>
      </w:r>
      <w:r w:rsidR="00C63E16">
        <w:t>n</w:t>
      </w:r>
      <w:r w:rsidR="004330DE">
        <w:t xml:space="preserve"> el personal de</w:t>
      </w:r>
      <w:r w:rsidRPr="0062689A">
        <w:t xml:space="preserve"> la Dirección de Aseguramiento de la Calidad, mientras que para el segundo curso será </w:t>
      </w:r>
      <w:r w:rsidR="004330DE">
        <w:lastRenderedPageBreak/>
        <w:t xml:space="preserve">el de </w:t>
      </w:r>
      <w:r w:rsidRPr="0062689A">
        <w:t>la Coordinación de Asesores.</w:t>
      </w:r>
      <w:r w:rsidR="00537FC2">
        <w:t xml:space="preserve"> </w:t>
      </w:r>
      <w:r w:rsidR="00B25B74">
        <w:t xml:space="preserve">Adicionalmente, aclaró que estos </w:t>
      </w:r>
      <w:r w:rsidR="00131C1A">
        <w:t xml:space="preserve">cursos </w:t>
      </w:r>
      <w:r w:rsidR="00B25B74">
        <w:t>se considerarán para la evaluación del desempeño 2019</w:t>
      </w:r>
      <w:r w:rsidR="00A359EA">
        <w:t>, dado</w:t>
      </w:r>
      <w:r w:rsidR="00131C1A">
        <w:t xml:space="preserve"> el cronograma de ejecución</w:t>
      </w:r>
      <w:r w:rsidR="00B25B74">
        <w:t>.</w:t>
      </w:r>
      <w:r>
        <w:t xml:space="preserve"> </w:t>
      </w:r>
      <w:r w:rsidR="00E12528">
        <w:t>M</w:t>
      </w:r>
      <w:r w:rsidR="00E12528" w:rsidRPr="000579E0">
        <w:t xml:space="preserve">ediante el acuerdo </w:t>
      </w:r>
      <w:r w:rsidR="00E12528" w:rsidRPr="00C25F3B">
        <w:rPr>
          <w:u w:val="single"/>
        </w:rPr>
        <w:t>CAC-00</w:t>
      </w:r>
      <w:r w:rsidR="00360BBA">
        <w:rPr>
          <w:u w:val="single"/>
        </w:rPr>
        <w:t>3</w:t>
      </w:r>
      <w:r w:rsidR="00E12528" w:rsidRPr="00C25F3B">
        <w:rPr>
          <w:u w:val="single"/>
        </w:rPr>
        <w:t>/0</w:t>
      </w:r>
      <w:r w:rsidR="00E12528">
        <w:rPr>
          <w:u w:val="single"/>
        </w:rPr>
        <w:t>1/2018</w:t>
      </w:r>
      <w:r w:rsidR="00E12528" w:rsidRPr="00F84E95">
        <w:t xml:space="preserve">, el Comité </w:t>
      </w:r>
      <w:r w:rsidR="00E12528">
        <w:t>aprobó</w:t>
      </w:r>
      <w:r w:rsidR="00516648">
        <w:t xml:space="preserve"> </w:t>
      </w:r>
      <w:r w:rsidR="002E23F8" w:rsidRPr="000579E0">
        <w:t>por unanimidad</w:t>
      </w:r>
      <w:r w:rsidR="002E23F8">
        <w:t xml:space="preserve"> de votos de sus integrantes presentes, </w:t>
      </w:r>
      <w:r w:rsidR="00516648">
        <w:t>el Programa de Capacitación para el Aseguramiento de la Calidad 2018.</w:t>
      </w:r>
    </w:p>
    <w:p w14:paraId="55F94F35" w14:textId="48E55A68" w:rsidR="00F73694" w:rsidRDefault="00352D3A" w:rsidP="00D770B0">
      <w:pPr>
        <w:spacing w:after="200" w:line="276" w:lineRule="auto"/>
        <w:jc w:val="both"/>
      </w:pPr>
      <w:r w:rsidRPr="00872612">
        <w:rPr>
          <w:b/>
        </w:rPr>
        <w:t xml:space="preserve">VI. </w:t>
      </w:r>
      <w:r w:rsidRPr="00872612">
        <w:rPr>
          <w:rFonts w:ascii="Calibri" w:hAnsi="Calibri" w:cs="Calibri"/>
          <w:b/>
          <w:color w:val="000000"/>
          <w:szCs w:val="28"/>
        </w:rPr>
        <w:t>AVANCE EN LA ADOPCIÓN DEL MODELO DEL PROCESO ESTADÍSTICO Y GEOGRÁFICO (MPEG).</w:t>
      </w:r>
      <w:r>
        <w:t xml:space="preserve"> </w:t>
      </w:r>
      <w:r w:rsidR="00744AC6" w:rsidRPr="000579E0">
        <w:t>Con respecto a</w:t>
      </w:r>
      <w:r w:rsidR="00744AC6">
        <w:t xml:space="preserve">l </w:t>
      </w:r>
      <w:r w:rsidR="002053CC">
        <w:t xml:space="preserve">asunto </w:t>
      </w:r>
      <w:r w:rsidR="00744AC6">
        <w:t>sexto</w:t>
      </w:r>
      <w:r>
        <w:t xml:space="preserve"> del Orden del día</w:t>
      </w:r>
      <w:r w:rsidR="009C5139">
        <w:t>, Andrea Fernández Conde</w:t>
      </w:r>
      <w:r w:rsidR="00744AC6" w:rsidRPr="000579E0">
        <w:t xml:space="preserve"> </w:t>
      </w:r>
      <w:r w:rsidR="009C5139">
        <w:t>expuso</w:t>
      </w:r>
      <w:r w:rsidR="00D770B0">
        <w:t xml:space="preserve"> el avance en la adopción del Modelo del Proceso Estadístico y Geográfico (MPEG),</w:t>
      </w:r>
      <w:r w:rsidR="00D770B0" w:rsidRPr="000579E0">
        <w:t xml:space="preserve"> </w:t>
      </w:r>
      <w:r w:rsidR="006C7C51">
        <w:t>incluyendo lo</w:t>
      </w:r>
      <w:r w:rsidR="00D770B0" w:rsidRPr="000579E0">
        <w:t xml:space="preserve">s </w:t>
      </w:r>
      <w:r w:rsidR="006C7C51">
        <w:t xml:space="preserve">siguientes pasos en el desarrollo </w:t>
      </w:r>
      <w:r w:rsidR="00421EF2">
        <w:t>de la propuesta</w:t>
      </w:r>
      <w:r w:rsidR="00D770B0">
        <w:t xml:space="preserve"> de Norma </w:t>
      </w:r>
      <w:r w:rsidR="0049681B">
        <w:t xml:space="preserve">del Proceso de Generación de </w:t>
      </w:r>
      <w:r w:rsidR="00A90F81">
        <w:t>Información</w:t>
      </w:r>
      <w:r w:rsidR="00D770B0">
        <w:t xml:space="preserve"> Estadística y Geográfica</w:t>
      </w:r>
      <w:r w:rsidR="00A90F81">
        <w:t xml:space="preserve">: la aplicación de una prueba de concepto </w:t>
      </w:r>
      <w:r w:rsidR="00654F22">
        <w:t xml:space="preserve">para el </w:t>
      </w:r>
      <w:r w:rsidR="00AF16AF">
        <w:t xml:space="preserve">alcance </w:t>
      </w:r>
      <w:r w:rsidR="00654F22">
        <w:t xml:space="preserve">de </w:t>
      </w:r>
      <w:r w:rsidR="00AF16AF">
        <w:t xml:space="preserve">la </w:t>
      </w:r>
      <w:r w:rsidR="00654F22">
        <w:t xml:space="preserve">Norma </w:t>
      </w:r>
      <w:r w:rsidR="00EA510E">
        <w:t>y el desarrollo de un glosario</w:t>
      </w:r>
      <w:r w:rsidR="0053396E">
        <w:t xml:space="preserve"> que permita la estandarización de términos clave.</w:t>
      </w:r>
      <w:r w:rsidR="00A90F81">
        <w:t xml:space="preserve"> </w:t>
      </w:r>
      <w:r w:rsidR="00E61E4C">
        <w:t xml:space="preserve">El documento con la propuesta de Norma y la presentación de avances </w:t>
      </w:r>
      <w:r w:rsidR="0021689A">
        <w:t>fueron enviados previamente en la carpeta de la sesión</w:t>
      </w:r>
      <w:r w:rsidR="00E61E4C">
        <w:t>;</w:t>
      </w:r>
      <w:r w:rsidR="0021689A">
        <w:t xml:space="preserve"> constan de </w:t>
      </w:r>
      <w:r w:rsidR="00E61E4C">
        <w:t>20 y 16</w:t>
      </w:r>
      <w:r w:rsidR="0021689A" w:rsidRPr="00E61E4C">
        <w:t xml:space="preserve"> hojas, </w:t>
      </w:r>
      <w:r w:rsidR="00E61E4C" w:rsidRPr="00E61E4C">
        <w:t xml:space="preserve">respectivamente; </w:t>
      </w:r>
      <w:r w:rsidR="0021689A" w:rsidRPr="00E61E4C">
        <w:t>puede</w:t>
      </w:r>
      <w:r w:rsidR="00E61E4C" w:rsidRPr="00E61E4C">
        <w:t>n</w:t>
      </w:r>
      <w:r w:rsidR="0021689A" w:rsidRPr="00E61E4C">
        <w:t xml:space="preserve"> ser consultado</w:t>
      </w:r>
      <w:r w:rsidR="00E61E4C" w:rsidRPr="00E61E4C">
        <w:t>s</w:t>
      </w:r>
      <w:r w:rsidR="0021689A" w:rsidRPr="00E61E4C">
        <w:t xml:space="preserve"> en </w:t>
      </w:r>
      <w:r w:rsidR="00E61E4C">
        <w:t>intranet (</w:t>
      </w:r>
      <w:hyperlink r:id="rId15" w:history="1">
        <w:r w:rsidR="00E61E4C" w:rsidRPr="00AA627F">
          <w:rPr>
            <w:rStyle w:val="Hipervnculo"/>
          </w:rPr>
          <w:t>https://365inegi.sharepoint.com/sites/calidad/SitePages/1_sesion_2018.aspx</w:t>
        </w:r>
      </w:hyperlink>
      <w:r w:rsidR="00E61E4C">
        <w:t>)</w:t>
      </w:r>
      <w:r w:rsidR="0021689A">
        <w:t xml:space="preserve"> y forma</w:t>
      </w:r>
      <w:r w:rsidR="00E61E4C">
        <w:t>n</w:t>
      </w:r>
      <w:r w:rsidR="0021689A">
        <w:t xml:space="preserve"> parte de esta acta, para todos los efectos conducentes. </w:t>
      </w:r>
      <w:r w:rsidR="001F3F75">
        <w:t xml:space="preserve">La presentación consta de 16 láminas disponibles en </w:t>
      </w:r>
      <w:hyperlink r:id="rId16" w:history="1">
        <w:r w:rsidR="001F3F75" w:rsidRPr="00CB3E04">
          <w:rPr>
            <w:rStyle w:val="Hipervnculo"/>
          </w:rPr>
          <w:t>https://365inegi.sharepoint.com/sites/calidad/SitePages/012018_presentaciones.aspx</w:t>
        </w:r>
      </w:hyperlink>
      <w:r w:rsidR="0068652E">
        <w:t xml:space="preserve">. </w:t>
      </w:r>
      <w:r w:rsidR="0021689A">
        <w:t xml:space="preserve">Sobre la </w:t>
      </w:r>
      <w:r w:rsidR="00A90F81">
        <w:t>prueba de concepto</w:t>
      </w:r>
      <w:r w:rsidR="0021689A">
        <w:t>, Andrea Fernández Conde explicó que</w:t>
      </w:r>
      <w:r w:rsidR="00A90F81">
        <w:t xml:space="preserve"> busca</w:t>
      </w:r>
      <w:r w:rsidR="00654F22">
        <w:t xml:space="preserve"> </w:t>
      </w:r>
      <w:r w:rsidR="009A7765">
        <w:t xml:space="preserve">confirmar </w:t>
      </w:r>
      <w:r w:rsidR="00654F22">
        <w:t>la factibilidad</w:t>
      </w:r>
      <w:r w:rsidR="00ED297D">
        <w:t xml:space="preserve"> </w:t>
      </w:r>
      <w:r w:rsidR="00654F22">
        <w:t xml:space="preserve">de generar </w:t>
      </w:r>
      <w:r w:rsidR="009A7765">
        <w:t xml:space="preserve">cada una de las </w:t>
      </w:r>
      <w:r w:rsidR="00654F22">
        <w:t xml:space="preserve">evidencias </w:t>
      </w:r>
      <w:r w:rsidR="009A7765">
        <w:t>descritas en el proyecto de Norma</w:t>
      </w:r>
      <w:r w:rsidR="00F73694">
        <w:t>,</w:t>
      </w:r>
      <w:r w:rsidR="009A7765">
        <w:t xml:space="preserve"> </w:t>
      </w:r>
      <w:r w:rsidR="00ED297D">
        <w:t>utilizando el criterio d</w:t>
      </w:r>
      <w:r w:rsidR="00BF1BB2">
        <w:t>e los expertos en la producción</w:t>
      </w:r>
      <w:r w:rsidR="00ED297D">
        <w:t xml:space="preserve"> </w:t>
      </w:r>
      <w:r w:rsidR="00654F22">
        <w:t>estadística y geogr</w:t>
      </w:r>
      <w:r w:rsidR="005A7FC8">
        <w:t>á</w:t>
      </w:r>
      <w:r w:rsidR="00654F22">
        <w:t>f</w:t>
      </w:r>
      <w:r w:rsidR="005A7FC8">
        <w:t>ic</w:t>
      </w:r>
      <w:r w:rsidR="00654F22">
        <w:t>a</w:t>
      </w:r>
      <w:r w:rsidR="00BF1BB2">
        <w:t xml:space="preserve">, tanto </w:t>
      </w:r>
      <w:r w:rsidR="00654F22">
        <w:t>básica</w:t>
      </w:r>
      <w:r w:rsidR="00BF1BB2">
        <w:t xml:space="preserve"> como</w:t>
      </w:r>
      <w:r w:rsidR="00654F22" w:rsidRPr="00654F22">
        <w:t xml:space="preserve"> derivada</w:t>
      </w:r>
      <w:r w:rsidR="00ED297D">
        <w:t xml:space="preserve">. Además de la factibilidad en su generación, se busca confirmar que la </w:t>
      </w:r>
      <w:r w:rsidR="005A7FC8">
        <w:t>documentación</w:t>
      </w:r>
      <w:r w:rsidR="00ED297D">
        <w:t xml:space="preserve"> de evidencias no implica</w:t>
      </w:r>
      <w:r w:rsidR="00654F22">
        <w:t xml:space="preserve"> cambios en </w:t>
      </w:r>
      <w:r w:rsidR="00ED297D">
        <w:t xml:space="preserve">la información </w:t>
      </w:r>
      <w:r w:rsidR="002053CC">
        <w:t xml:space="preserve">ya </w:t>
      </w:r>
      <w:r w:rsidR="00ED297D">
        <w:t>producida, ni impacta los tiempos de producción.</w:t>
      </w:r>
      <w:r w:rsidR="00654F22">
        <w:t xml:space="preserve"> </w:t>
      </w:r>
    </w:p>
    <w:p w14:paraId="76C7F2F5" w14:textId="17C276FC" w:rsidR="00F73694" w:rsidRDefault="00DC119F" w:rsidP="00D770B0">
      <w:pPr>
        <w:spacing w:after="200" w:line="276" w:lineRule="auto"/>
        <w:jc w:val="both"/>
      </w:pPr>
      <w:r>
        <w:t>Sobre el glosario,</w:t>
      </w:r>
      <w:r w:rsidR="00564E55">
        <w:t xml:space="preserve"> </w:t>
      </w:r>
      <w:r w:rsidR="00564E55" w:rsidRPr="000579E0">
        <w:t xml:space="preserve">José Alberto Valencia Armas </w:t>
      </w:r>
      <w:r w:rsidR="00564E55">
        <w:t xml:space="preserve">y </w:t>
      </w:r>
      <w:r w:rsidR="00564E55" w:rsidRPr="000579E0">
        <w:t>María Isabel Monterrubio Gómez</w:t>
      </w:r>
      <w:r w:rsidR="005A7FC8">
        <w:t xml:space="preserve"> comentaron que</w:t>
      </w:r>
      <w:r w:rsidR="00564E55">
        <w:t xml:space="preserve"> </w:t>
      </w:r>
      <w:r>
        <w:t>su objetivo es</w:t>
      </w:r>
      <w:r w:rsidR="005A7FC8">
        <w:t xml:space="preserve"> estandarizar los términos clave </w:t>
      </w:r>
      <w:r>
        <w:t xml:space="preserve">y </w:t>
      </w:r>
      <w:r w:rsidR="00564E55">
        <w:t>s</w:t>
      </w:r>
      <w:r w:rsidR="0022754F">
        <w:t>u</w:t>
      </w:r>
      <w:r w:rsidR="00564E55">
        <w:t xml:space="preserve"> elabora</w:t>
      </w:r>
      <w:r w:rsidR="0022754F">
        <w:t>ción</w:t>
      </w:r>
      <w:r w:rsidR="00564E55">
        <w:t xml:space="preserve"> </w:t>
      </w:r>
      <w:r w:rsidR="0022754F">
        <w:t>tomará como base</w:t>
      </w:r>
      <w:r w:rsidR="00564E55">
        <w:t xml:space="preserve"> dos iniciativas promovidas desde de sus respectivas áreas. </w:t>
      </w:r>
      <w:r w:rsidR="0027738C">
        <w:t>E</w:t>
      </w:r>
      <w:r w:rsidR="00FA0A2F">
        <w:t xml:space="preserve">n primer lugar, </w:t>
      </w:r>
      <w:r w:rsidR="003D117B">
        <w:t xml:space="preserve">la Dirección General Adjunta de Administración de Riesgos y Transparencia está coordinando </w:t>
      </w:r>
      <w:r w:rsidR="00B031DF">
        <w:t xml:space="preserve">la </w:t>
      </w:r>
      <w:r w:rsidR="0027738C">
        <w:t>identifica</w:t>
      </w:r>
      <w:r w:rsidR="00B031DF">
        <w:t xml:space="preserve">ción y </w:t>
      </w:r>
      <w:r w:rsidR="003E48A9">
        <w:t>adecua</w:t>
      </w:r>
      <w:r w:rsidR="00B031DF">
        <w:t xml:space="preserve">ción de </w:t>
      </w:r>
      <w:r w:rsidR="009A7765">
        <w:t>los</w:t>
      </w:r>
      <w:r w:rsidR="005425DE">
        <w:t xml:space="preserve"> términos del </w:t>
      </w:r>
      <w:r w:rsidR="005425DE" w:rsidRPr="005425DE">
        <w:rPr>
          <w:i/>
        </w:rPr>
        <w:t>Generic Statistical Information Model</w:t>
      </w:r>
      <w:r w:rsidR="005425DE">
        <w:t xml:space="preserve"> </w:t>
      </w:r>
      <w:r w:rsidR="002053CC">
        <w:t>(</w:t>
      </w:r>
      <w:r w:rsidR="005425DE" w:rsidRPr="005425DE">
        <w:rPr>
          <w:i/>
        </w:rPr>
        <w:t>GSIM</w:t>
      </w:r>
      <w:r w:rsidR="002053CC">
        <w:rPr>
          <w:i/>
        </w:rPr>
        <w:t>) de UNECE</w:t>
      </w:r>
      <w:r w:rsidR="009A7765">
        <w:t xml:space="preserve"> considerados </w:t>
      </w:r>
      <w:r w:rsidR="000A404F">
        <w:t xml:space="preserve">como </w:t>
      </w:r>
      <w:r w:rsidR="009A7765">
        <w:t>clave</w:t>
      </w:r>
      <w:r w:rsidR="00B031DF">
        <w:t>, por ejemplo</w:t>
      </w:r>
      <w:r w:rsidR="009A7765">
        <w:t xml:space="preserve">: función de negocio, </w:t>
      </w:r>
      <w:r w:rsidR="000A404F">
        <w:t>programa estadístico, ciclo</w:t>
      </w:r>
      <w:r w:rsidR="009A7765">
        <w:t xml:space="preserve"> de programa estadístico</w:t>
      </w:r>
      <w:r w:rsidR="000A404F">
        <w:t>, producto y presentación</w:t>
      </w:r>
      <w:r w:rsidR="0027738C">
        <w:t>.</w:t>
      </w:r>
      <w:r w:rsidR="00CC6119">
        <w:t xml:space="preserve"> </w:t>
      </w:r>
      <w:r w:rsidR="0027738C">
        <w:t>E</w:t>
      </w:r>
      <w:r w:rsidR="00FA0A2F">
        <w:t xml:space="preserve">n segundo lugar, </w:t>
      </w:r>
      <w:r w:rsidR="00F83F91">
        <w:t xml:space="preserve">la Dirección General de Coordinación del SNIEG está trabajando en </w:t>
      </w:r>
      <w:r w:rsidR="00CC6119">
        <w:t xml:space="preserve">la </w:t>
      </w:r>
      <w:r w:rsidR="00321DEF">
        <w:t>homologación de la interpretación de conceptos</w:t>
      </w:r>
      <w:r w:rsidR="00B031DF">
        <w:t xml:space="preserve"> asociados a </w:t>
      </w:r>
      <w:r w:rsidR="00FE30A1">
        <w:t xml:space="preserve">la Ley del SNIEG (por ejemplo, </w:t>
      </w:r>
      <w:r w:rsidR="00B031DF">
        <w:t>Información de Interés Nacional</w:t>
      </w:r>
      <w:r w:rsidR="00FE30A1">
        <w:t>)</w:t>
      </w:r>
      <w:r w:rsidR="00321DEF">
        <w:t>.</w:t>
      </w:r>
      <w:r w:rsidR="00FF124E">
        <w:t xml:space="preserve"> </w:t>
      </w:r>
      <w:r w:rsidR="003564D4" w:rsidRPr="003564D4">
        <w:t xml:space="preserve">El </w:t>
      </w:r>
      <w:r w:rsidR="00B031DF">
        <w:t xml:space="preserve">avance </w:t>
      </w:r>
      <w:r w:rsidR="003564D4" w:rsidRPr="003564D4">
        <w:t xml:space="preserve">de </w:t>
      </w:r>
      <w:r w:rsidR="003564D4">
        <w:t>ambos</w:t>
      </w:r>
      <w:r w:rsidR="003564D4" w:rsidRPr="003564D4">
        <w:t xml:space="preserve"> ejercicios</w:t>
      </w:r>
      <w:r w:rsidR="00B031DF">
        <w:t xml:space="preserve"> y propuestas de planes de trabajo</w:t>
      </w:r>
      <w:r w:rsidR="003564D4" w:rsidRPr="003564D4">
        <w:t xml:space="preserve"> se presentará</w:t>
      </w:r>
      <w:r w:rsidR="00B031DF">
        <w:t>n</w:t>
      </w:r>
      <w:r w:rsidR="003564D4" w:rsidRPr="003564D4">
        <w:t xml:space="preserve"> a la Junta de Gobierno y a los directores generales durante el mes de abril</w:t>
      </w:r>
      <w:r w:rsidR="00E23A0F">
        <w:t xml:space="preserve"> y se informará al Comité </w:t>
      </w:r>
      <w:r w:rsidR="00647F71">
        <w:t>sobre</w:t>
      </w:r>
      <w:r w:rsidR="00B031DF">
        <w:t xml:space="preserve"> los avances y acuerdos </w:t>
      </w:r>
      <w:r w:rsidR="00E23A0F">
        <w:t xml:space="preserve">en la siguiente sesión. </w:t>
      </w:r>
      <w:r w:rsidR="00B455D9">
        <w:t xml:space="preserve">Al respecto, </w:t>
      </w:r>
      <w:r w:rsidR="00B455D9" w:rsidRPr="000579E0">
        <w:t>José Arturo Blancas Espejo</w:t>
      </w:r>
      <w:r w:rsidR="00B455D9">
        <w:t xml:space="preserve"> observó que podría haber conceptos en la Ley del SNIEG que no coincidan con el MPEG. </w:t>
      </w:r>
      <w:r w:rsidR="00EE7F32" w:rsidRPr="000579E0">
        <w:t>Jorge Ventura Nevares</w:t>
      </w:r>
      <w:r w:rsidR="00EE7F32">
        <w:t xml:space="preserve"> respondió que la terminología de la Ley es general y </w:t>
      </w:r>
      <w:r w:rsidR="00B3717D">
        <w:t xml:space="preserve">puede encontrarse la correspondencia con los </w:t>
      </w:r>
      <w:r w:rsidR="00EE7F32">
        <w:t>conceptos del modelo.</w:t>
      </w:r>
      <w:r w:rsidR="00DC07E4">
        <w:t xml:space="preserve"> Asimismo</w:t>
      </w:r>
      <w:r w:rsidR="00EE7F32">
        <w:t xml:space="preserve">, </w:t>
      </w:r>
      <w:r w:rsidR="00322E2A">
        <w:t xml:space="preserve">Alonso Araoz de la Torre refirió que la interpretación de la Ley no debe ser particular. </w:t>
      </w:r>
    </w:p>
    <w:p w14:paraId="00065635" w14:textId="2F231E2A" w:rsidR="00F73694" w:rsidRDefault="00DC07E4" w:rsidP="00D770B0">
      <w:pPr>
        <w:spacing w:after="200" w:line="276" w:lineRule="auto"/>
        <w:jc w:val="both"/>
      </w:pPr>
      <w:r>
        <w:lastRenderedPageBreak/>
        <w:t>Por su parte, el Presidente</w:t>
      </w:r>
      <w:r w:rsidR="00AE099E">
        <w:t xml:space="preserve"> del Comité</w:t>
      </w:r>
      <w:r>
        <w:t xml:space="preserve"> resalt</w:t>
      </w:r>
      <w:r w:rsidR="00626C8F">
        <w:t>ó tre</w:t>
      </w:r>
      <w:r>
        <w:t>s aspectos</w:t>
      </w:r>
      <w:r w:rsidR="00362BEF">
        <w:t xml:space="preserve"> sobre el avance en la adopción del MPEG</w:t>
      </w:r>
      <w:r>
        <w:t xml:space="preserve">. Primero, la aplicación de la prueba de concepto es parte de la introducción gradual y moderada, aunque consistente del MPEG. La prueba permitirá </w:t>
      </w:r>
      <w:r w:rsidR="00D93E9F">
        <w:t xml:space="preserve">a las </w:t>
      </w:r>
      <w:r w:rsidR="00C77DBD">
        <w:t>áreas</w:t>
      </w:r>
      <w:r>
        <w:t xml:space="preserve"> </w:t>
      </w:r>
      <w:r w:rsidR="00C77DBD">
        <w:t>familiarizarse con</w:t>
      </w:r>
      <w:r>
        <w:t xml:space="preserve"> las evidencias </w:t>
      </w:r>
      <w:r w:rsidR="00C77DBD">
        <w:t xml:space="preserve">requeridas, para avanzar en su documentación y estandarización. Segundo, desarrollar un glosario institucional es un ejercicio básico de ordenamiento con una gran trascendencia para lograr claridad </w:t>
      </w:r>
      <w:r w:rsidR="00CE3C0F">
        <w:t xml:space="preserve">y uniformidad </w:t>
      </w:r>
      <w:r w:rsidR="00C77DBD">
        <w:t xml:space="preserve">en la definición y aplicación de conceptos como Información de Interés Nacional, Indicador Clave, proyecto, producto, metodología, entre otros. </w:t>
      </w:r>
      <w:r w:rsidR="00625DE6">
        <w:t>El uso del GSIM para la integración del glosario parece adecuado dado que es un buen modelo. Por otra parte, e</w:t>
      </w:r>
      <w:r w:rsidR="00CE3C0F">
        <w:t>l glosario permitirá tener consistencia con el Programa Anual de Productos (PAP) y facilitar el trabajo del Comité de Riesgos</w:t>
      </w:r>
      <w:r w:rsidR="0027738C">
        <w:t>.</w:t>
      </w:r>
      <w:r w:rsidR="001F3B28">
        <w:t xml:space="preserve"> </w:t>
      </w:r>
      <w:r w:rsidR="00A717EB">
        <w:t xml:space="preserve">Finalmente, mencionó que estamos en un momento propicio para fortalecer el SNIEG ya que se </w:t>
      </w:r>
      <w:r w:rsidR="00732665">
        <w:t>cuenta con retroalimentación de la</w:t>
      </w:r>
      <w:r w:rsidR="00BD7094">
        <w:t xml:space="preserve"> Revisión de pares</w:t>
      </w:r>
      <w:r w:rsidR="00732665">
        <w:t xml:space="preserve"> </w:t>
      </w:r>
      <w:r w:rsidR="00BD7094">
        <w:t>sobre</w:t>
      </w:r>
      <w:r w:rsidR="00732665">
        <w:t xml:space="preserve"> la implementación de la Recomendación de la OCDE sobre buenas prácticas estadísticas y </w:t>
      </w:r>
      <w:r w:rsidR="00BD7094">
        <w:t>el E</w:t>
      </w:r>
      <w:r w:rsidR="00743D67">
        <w:t>studio</w:t>
      </w:r>
      <w:r w:rsidR="00732665">
        <w:t xml:space="preserve"> </w:t>
      </w:r>
      <w:r w:rsidR="00BD7094">
        <w:t>sobre percepciones sociales del INEGI realizado por</w:t>
      </w:r>
      <w:r w:rsidR="00732665">
        <w:t xml:space="preserve"> la UNAM. </w:t>
      </w:r>
      <w:r w:rsidR="00743D67">
        <w:t>Asimismo, este año se celebran</w:t>
      </w:r>
      <w:r w:rsidR="00A717EB">
        <w:t xml:space="preserve"> 10 años de </w:t>
      </w:r>
      <w:r w:rsidR="00743D67">
        <w:t>la</w:t>
      </w:r>
      <w:r w:rsidR="00A717EB">
        <w:t xml:space="preserve"> creación</w:t>
      </w:r>
      <w:r w:rsidR="00732665">
        <w:t xml:space="preserve"> </w:t>
      </w:r>
      <w:r w:rsidR="00743D67">
        <w:t>del SNIEG</w:t>
      </w:r>
      <w:r w:rsidR="00A717EB">
        <w:t xml:space="preserve"> </w:t>
      </w:r>
      <w:r w:rsidR="00743D67">
        <w:t xml:space="preserve">y </w:t>
      </w:r>
      <w:r w:rsidR="00A717EB">
        <w:t xml:space="preserve">coincide con el cambio de </w:t>
      </w:r>
      <w:r w:rsidR="00743D67">
        <w:t>administración.</w:t>
      </w:r>
      <w:r w:rsidR="00A717EB">
        <w:t xml:space="preserve"> </w:t>
      </w:r>
    </w:p>
    <w:p w14:paraId="65975349" w14:textId="77777777" w:rsidR="00C977AF" w:rsidRDefault="00050204" w:rsidP="008F01A7">
      <w:pPr>
        <w:spacing w:after="200" w:line="276" w:lineRule="auto"/>
        <w:jc w:val="both"/>
      </w:pPr>
      <w:r>
        <w:t xml:space="preserve">A la pregunta de </w:t>
      </w:r>
      <w:r w:rsidRPr="000579E0">
        <w:t>Eduardo Javier Gracida Campos</w:t>
      </w:r>
      <w:r>
        <w:t xml:space="preserve"> sobre la participación de la DGVSPI en la prueba de concepto, Andrea Fernández Conde contestó que </w:t>
      </w:r>
      <w:r w:rsidR="00311360">
        <w:t>su participación no será directa pero sí</w:t>
      </w:r>
      <w:r w:rsidR="009271E8">
        <w:t xml:space="preserve"> tendrán que proporcionar insumos a los encargados de</w:t>
      </w:r>
      <w:r w:rsidR="00944647">
        <w:t xml:space="preserve"> diferentes procesos en los cuales participan en algunas de sus fases</w:t>
      </w:r>
      <w:r w:rsidR="009271E8">
        <w:t>.</w:t>
      </w:r>
      <w:r w:rsidR="00764D93">
        <w:t xml:space="preserve"> </w:t>
      </w:r>
    </w:p>
    <w:p w14:paraId="29BBD599" w14:textId="75A79D0E" w:rsidR="00B47011" w:rsidRDefault="00C977AF" w:rsidP="008F01A7">
      <w:pPr>
        <w:spacing w:after="200" w:line="276" w:lineRule="auto"/>
        <w:jc w:val="both"/>
      </w:pPr>
      <w:r>
        <w:t>Con base en</w:t>
      </w:r>
      <w:r w:rsidR="007A7B83">
        <w:t xml:space="preserve"> </w:t>
      </w:r>
      <w:r w:rsidR="00764D93">
        <w:t xml:space="preserve">la presentación y la discusión posterior, el Comité </w:t>
      </w:r>
      <w:r w:rsidR="00EC26EA">
        <w:t>t</w:t>
      </w:r>
      <w:r w:rsidR="00194AFE" w:rsidRPr="00194AFE">
        <w:t xml:space="preserve">oma </w:t>
      </w:r>
      <w:r w:rsidR="006B2F97">
        <w:t xml:space="preserve">conocimiento </w:t>
      </w:r>
      <w:r w:rsidR="006B2F97" w:rsidRPr="006B2F97">
        <w:t xml:space="preserve">del </w:t>
      </w:r>
      <w:r w:rsidR="006B2F97">
        <w:t xml:space="preserve">avance en la elaboración </w:t>
      </w:r>
      <w:r w:rsidR="00421EF2">
        <w:t>de la propuesta</w:t>
      </w:r>
      <w:r w:rsidR="006B2F97">
        <w:t xml:space="preserve"> de Norma </w:t>
      </w:r>
      <w:r w:rsidR="006B2F97" w:rsidRPr="006B2F97">
        <w:t xml:space="preserve">y </w:t>
      </w:r>
      <w:r w:rsidR="006B2F97">
        <w:t xml:space="preserve">de </w:t>
      </w:r>
      <w:r w:rsidR="006B2F97" w:rsidRPr="006B2F97">
        <w:t xml:space="preserve">las actividades </w:t>
      </w:r>
      <w:r w:rsidR="00C63E16">
        <w:t xml:space="preserve">que se realizarán </w:t>
      </w:r>
      <w:r w:rsidR="006B2F97">
        <w:t xml:space="preserve">para </w:t>
      </w:r>
      <w:r w:rsidR="00C63E16">
        <w:t xml:space="preserve">someterla a la </w:t>
      </w:r>
      <w:r w:rsidR="006B2F97">
        <w:t>aprobación</w:t>
      </w:r>
      <w:r w:rsidR="00C63E16">
        <w:t xml:space="preserve"> de la Junta de Gobierno</w:t>
      </w:r>
      <w:r w:rsidR="006B2F97">
        <w:t>.</w:t>
      </w:r>
      <w:r>
        <w:t xml:space="preserve"> Asimismo, e</w:t>
      </w:r>
      <w:r w:rsidR="00EC26EA">
        <w:t>l Comité t</w:t>
      </w:r>
      <w:r w:rsidR="006B2F97" w:rsidRPr="00194AFE">
        <w:t xml:space="preserve">oma </w:t>
      </w:r>
      <w:r w:rsidR="006B2F97">
        <w:t xml:space="preserve">conocimiento de </w:t>
      </w:r>
      <w:r w:rsidR="00EC26EA" w:rsidRPr="00EC26EA">
        <w:t xml:space="preserve">la necesidad de definir un glosario </w:t>
      </w:r>
      <w:r w:rsidR="00EC26EA">
        <w:t>institucional, así como</w:t>
      </w:r>
      <w:r w:rsidR="00EC26EA" w:rsidRPr="00EC26EA">
        <w:t xml:space="preserve"> de las actividades realizadas y </w:t>
      </w:r>
      <w:r w:rsidR="00EC26EA">
        <w:t xml:space="preserve">planeadas para su integración. </w:t>
      </w:r>
      <w:r>
        <w:t>Adicionalmente, el Comité emit</w:t>
      </w:r>
      <w:r w:rsidRPr="000579E0">
        <w:t>ió por unanimidad</w:t>
      </w:r>
      <w:r>
        <w:t xml:space="preserve"> </w:t>
      </w:r>
      <w:r w:rsidR="00AE099E">
        <w:t xml:space="preserve">de sus integrantes </w:t>
      </w:r>
      <w:r w:rsidR="002E23F8">
        <w:t xml:space="preserve">presentes </w:t>
      </w:r>
      <w:r w:rsidR="00AE099E">
        <w:t xml:space="preserve">con derecho a voto, </w:t>
      </w:r>
      <w:r>
        <w:t xml:space="preserve">el acuerdo </w:t>
      </w:r>
      <w:r w:rsidR="00B47011" w:rsidRPr="00C25F3B">
        <w:rPr>
          <w:u w:val="single"/>
        </w:rPr>
        <w:t>CAC-00</w:t>
      </w:r>
      <w:r w:rsidR="00360BBA">
        <w:rPr>
          <w:u w:val="single"/>
        </w:rPr>
        <w:t>4</w:t>
      </w:r>
      <w:r w:rsidR="00B47011" w:rsidRPr="00C25F3B">
        <w:rPr>
          <w:u w:val="single"/>
        </w:rPr>
        <w:t>/0</w:t>
      </w:r>
      <w:r w:rsidR="00B8443E">
        <w:rPr>
          <w:u w:val="single"/>
        </w:rPr>
        <w:t>1/2018</w:t>
      </w:r>
      <w:r w:rsidR="00B47011" w:rsidRPr="00EC26EA">
        <w:t xml:space="preserve"> </w:t>
      </w:r>
      <w:r w:rsidR="006A0B35">
        <w:t>para que l</w:t>
      </w:r>
      <w:r w:rsidR="00035B82">
        <w:t xml:space="preserve">as unidades administrativas </w:t>
      </w:r>
      <w:r w:rsidR="00650E4D">
        <w:t xml:space="preserve">encargadas de la </w:t>
      </w:r>
      <w:r w:rsidR="00AF16AF">
        <w:t xml:space="preserve">producción </w:t>
      </w:r>
      <w:r w:rsidR="00650E4D" w:rsidRPr="00FC7B49">
        <w:t>e integración</w:t>
      </w:r>
      <w:r w:rsidR="00650E4D">
        <w:t xml:space="preserve"> de información estadística y geográfica </w:t>
      </w:r>
      <w:r w:rsidR="00035B82">
        <w:t>env</w:t>
      </w:r>
      <w:r w:rsidR="006A0B35">
        <w:t>íe</w:t>
      </w:r>
      <w:r w:rsidR="00035B82">
        <w:t xml:space="preserve">n </w:t>
      </w:r>
      <w:r w:rsidR="009A0CB1">
        <w:t xml:space="preserve">a más tardar </w:t>
      </w:r>
      <w:r w:rsidR="009A0CB1" w:rsidRPr="0011747C">
        <w:t>el 16 de marzo</w:t>
      </w:r>
      <w:r w:rsidR="00AE099E">
        <w:t xml:space="preserve"> de 2018</w:t>
      </w:r>
      <w:r w:rsidR="009A0CB1">
        <w:t xml:space="preserve"> </w:t>
      </w:r>
      <w:r w:rsidR="00035B82">
        <w:t>a la Coordinación de Asesores</w:t>
      </w:r>
      <w:r w:rsidR="00E72DD8">
        <w:t>,</w:t>
      </w:r>
      <w:r w:rsidR="00035B82">
        <w:t xml:space="preserve"> </w:t>
      </w:r>
      <w:r w:rsidR="0011747C" w:rsidRPr="0011747C">
        <w:t xml:space="preserve">la </w:t>
      </w:r>
      <w:r w:rsidR="00A77A53">
        <w:t xml:space="preserve">información solicitada en la </w:t>
      </w:r>
      <w:r w:rsidR="0011747C" w:rsidRPr="0011747C">
        <w:t xml:space="preserve">ficha </w:t>
      </w:r>
      <w:r w:rsidR="00A77A53">
        <w:t>de la prueba de concepto para al menos un proyecto de cada Dirección General Adjunta.</w:t>
      </w:r>
    </w:p>
    <w:p w14:paraId="2E357F2E" w14:textId="2E784B6F" w:rsidR="00F82C12" w:rsidRDefault="00352D3A" w:rsidP="008F01A7">
      <w:pPr>
        <w:spacing w:after="200" w:line="276" w:lineRule="auto"/>
        <w:jc w:val="both"/>
      </w:pPr>
      <w:r w:rsidRPr="009A3EDC">
        <w:rPr>
          <w:b/>
        </w:rPr>
        <w:t xml:space="preserve">VII. </w:t>
      </w:r>
      <w:r w:rsidRPr="009A3EDC">
        <w:rPr>
          <w:rFonts w:ascii="Calibri" w:hAnsi="Calibri" w:cs="Calibri"/>
          <w:b/>
          <w:color w:val="000000"/>
          <w:szCs w:val="28"/>
        </w:rPr>
        <w:t>PROPUESTA DE EVALUACIÓN DE LA CAPTACIÓN DE LA INFORMACIÓN EN EL ÁMBITO TERRITORIAL.</w:t>
      </w:r>
      <w:r w:rsidRPr="009A3EDC">
        <w:rPr>
          <w:b/>
        </w:rPr>
        <w:t xml:space="preserve"> </w:t>
      </w:r>
      <w:r w:rsidR="00204D52" w:rsidRPr="000579E0">
        <w:t xml:space="preserve">En el </w:t>
      </w:r>
      <w:r w:rsidR="00AF16AF">
        <w:t>asunto</w:t>
      </w:r>
      <w:r w:rsidR="00AF16AF" w:rsidRPr="000579E0">
        <w:t xml:space="preserve"> </w:t>
      </w:r>
      <w:r w:rsidR="009B2986">
        <w:t>siete</w:t>
      </w:r>
      <w:r w:rsidR="00204D52" w:rsidRPr="000579E0">
        <w:t xml:space="preserve"> del </w:t>
      </w:r>
      <w:r>
        <w:t>O</w:t>
      </w:r>
      <w:r w:rsidR="00204D52" w:rsidRPr="000579E0">
        <w:t xml:space="preserve">rden del día, </w:t>
      </w:r>
      <w:r w:rsidR="000F422E">
        <w:t xml:space="preserve">Alexandra Stéphanie Boyer se incorporó como </w:t>
      </w:r>
      <w:r w:rsidR="000F422E" w:rsidRPr="00711225">
        <w:t xml:space="preserve">invitada </w:t>
      </w:r>
      <w:r w:rsidR="000F422E">
        <w:t>a la sesión en la s</w:t>
      </w:r>
      <w:r w:rsidR="000F422E" w:rsidRPr="00FE108C">
        <w:t>ala de Videoconferencia 1 de Aguascalientes</w:t>
      </w:r>
      <w:r w:rsidR="000F422E">
        <w:t xml:space="preserve">, y junto con </w:t>
      </w:r>
      <w:r w:rsidR="00D339D7" w:rsidRPr="000579E0">
        <w:t>Oscar Gasca Brito</w:t>
      </w:r>
      <w:r w:rsidR="002E23F8">
        <w:t xml:space="preserve"> presentaron</w:t>
      </w:r>
      <w:r w:rsidR="00C913C7">
        <w:t xml:space="preserve"> la propuesta de evaluación </w:t>
      </w:r>
      <w:r w:rsidR="00BC46A2">
        <w:t>de las capacidades operativas</w:t>
      </w:r>
      <w:r w:rsidR="00C913C7">
        <w:t xml:space="preserve"> en el ámbito territorial</w:t>
      </w:r>
      <w:r w:rsidR="005F6B9E">
        <w:t xml:space="preserve"> con base en </w:t>
      </w:r>
      <w:r w:rsidR="00AE099E">
        <w:t>e</w:t>
      </w:r>
      <w:r w:rsidR="002E23F8">
        <w:t>l cuestionario e instructivo de llenado</w:t>
      </w:r>
      <w:r w:rsidR="00AE099E">
        <w:t xml:space="preserve"> </w:t>
      </w:r>
      <w:r w:rsidR="00551C62">
        <w:t>enviad</w:t>
      </w:r>
      <w:r w:rsidR="00AE099E">
        <w:t>o</w:t>
      </w:r>
      <w:r w:rsidR="002E23F8">
        <w:t>s</w:t>
      </w:r>
      <w:r w:rsidR="00551C62">
        <w:t xml:space="preserve"> </w:t>
      </w:r>
      <w:r w:rsidR="002E23F8">
        <w:t xml:space="preserve">previamente </w:t>
      </w:r>
      <w:r w:rsidR="00551C62">
        <w:t>en la carpeta de la sesión</w:t>
      </w:r>
      <w:r w:rsidR="002E23F8">
        <w:t xml:space="preserve">. Estos </w:t>
      </w:r>
      <w:r w:rsidR="00AE099E">
        <w:t>documento</w:t>
      </w:r>
      <w:r w:rsidR="002E23F8">
        <w:t>s</w:t>
      </w:r>
      <w:r w:rsidR="00AE099E">
        <w:t xml:space="preserve"> consta</w:t>
      </w:r>
      <w:r w:rsidR="002E23F8">
        <w:t>n</w:t>
      </w:r>
      <w:r w:rsidR="00AE099E">
        <w:t xml:space="preserve"> de </w:t>
      </w:r>
      <w:r w:rsidR="00ED19C7" w:rsidRPr="008F22CD">
        <w:t>1</w:t>
      </w:r>
      <w:r w:rsidR="002E23F8">
        <w:t xml:space="preserve"> y 6</w:t>
      </w:r>
      <w:r w:rsidR="00AE099E">
        <w:t xml:space="preserve"> hojas, </w:t>
      </w:r>
      <w:r w:rsidR="002E23F8">
        <w:t xml:space="preserve">respectivamente, </w:t>
      </w:r>
      <w:r w:rsidR="00AE099E">
        <w:t>puede</w:t>
      </w:r>
      <w:r w:rsidR="002E23F8">
        <w:t>n</w:t>
      </w:r>
      <w:r w:rsidR="00AE099E">
        <w:t xml:space="preserve"> ser consultado</w:t>
      </w:r>
      <w:r w:rsidR="002E23F8">
        <w:t>s</w:t>
      </w:r>
      <w:r w:rsidR="00AE099E">
        <w:t xml:space="preserve"> en </w:t>
      </w:r>
      <w:hyperlink r:id="rId17" w:history="1">
        <w:r w:rsidR="00BE6791" w:rsidRPr="00AA627F">
          <w:rPr>
            <w:rStyle w:val="Hipervnculo"/>
          </w:rPr>
          <w:t>https://365inegi.sharepoint.com/sites/calidad/SitePages/1_sesion_2018.aspx</w:t>
        </w:r>
      </w:hyperlink>
      <w:r w:rsidR="00AE099E">
        <w:t xml:space="preserve"> y forma</w:t>
      </w:r>
      <w:r w:rsidR="00BE6791">
        <w:t>n</w:t>
      </w:r>
      <w:r w:rsidR="00AE099E">
        <w:t xml:space="preserve"> parte de esta acta, para todos los efectos conducentes</w:t>
      </w:r>
      <w:r w:rsidR="00C913C7">
        <w:t xml:space="preserve">. </w:t>
      </w:r>
      <w:r w:rsidR="00E57F43">
        <w:t xml:space="preserve">La presentación consta de </w:t>
      </w:r>
      <w:r w:rsidR="00F82C12">
        <w:t>12</w:t>
      </w:r>
      <w:r w:rsidR="00E57F43">
        <w:t xml:space="preserve"> lámina</w:t>
      </w:r>
      <w:r w:rsidR="00F82C12">
        <w:t>s</w:t>
      </w:r>
      <w:r w:rsidR="00E57F43">
        <w:t xml:space="preserve"> disponibles en </w:t>
      </w:r>
      <w:hyperlink r:id="rId18" w:history="1">
        <w:r w:rsidR="00E57F43" w:rsidRPr="00CB3E04">
          <w:rPr>
            <w:rStyle w:val="Hipervnculo"/>
          </w:rPr>
          <w:t>https://365inegi.sharepoint.com/sites/calidad/SitePages/012018_presentaciones.aspx</w:t>
        </w:r>
      </w:hyperlink>
      <w:r w:rsidR="00F82C12">
        <w:t xml:space="preserve">. </w:t>
      </w:r>
    </w:p>
    <w:p w14:paraId="75825525" w14:textId="0DDB3965" w:rsidR="00991BFF" w:rsidRDefault="00144DB6" w:rsidP="008F01A7">
      <w:pPr>
        <w:spacing w:after="200" w:line="276" w:lineRule="auto"/>
        <w:jc w:val="both"/>
      </w:pPr>
      <w:r>
        <w:lastRenderedPageBreak/>
        <w:t xml:space="preserve">El cuestionario propuesto </w:t>
      </w:r>
      <w:r w:rsidR="00E441D8">
        <w:t>es una adaptaci</w:t>
      </w:r>
      <w:r>
        <w:t>ón de la Herramienta para la evaluación de la capacidad estadística (TASC</w:t>
      </w:r>
      <w:r w:rsidR="00AF16AF">
        <w:t>, por sus siglas en ingl</w:t>
      </w:r>
      <w:r w:rsidR="00CA1CDA">
        <w:t>é</w:t>
      </w:r>
      <w:r w:rsidR="00AF16AF">
        <w:t>s</w:t>
      </w:r>
      <w:r>
        <w:t xml:space="preserve">) desarrollada por </w:t>
      </w:r>
      <w:r w:rsidR="00F94350">
        <w:t>la Oficina</w:t>
      </w:r>
      <w:r>
        <w:t xml:space="preserve"> del Censo de </w:t>
      </w:r>
      <w:r w:rsidR="00F94350">
        <w:t xml:space="preserve">los </w:t>
      </w:r>
      <w:r>
        <w:t xml:space="preserve">Estados Unidos. Tiene como objetivo evaluar las operaciones en campo de todos los </w:t>
      </w:r>
      <w:r w:rsidR="00DD433F">
        <w:t xml:space="preserve">proyectos </w:t>
      </w:r>
      <w:r>
        <w:t>estadístic</w:t>
      </w:r>
      <w:r w:rsidR="00DD433F">
        <w:t>o</w:t>
      </w:r>
      <w:r>
        <w:t>s y geográfic</w:t>
      </w:r>
      <w:r w:rsidR="00DD433F">
        <w:t>o</w:t>
      </w:r>
      <w:r>
        <w:t>s que tienen lugar en el ámbito territorial</w:t>
      </w:r>
      <w:r w:rsidR="00DD433F">
        <w:t xml:space="preserve">, considerando </w:t>
      </w:r>
      <w:r w:rsidR="00F94350">
        <w:t xml:space="preserve">cuatro </w:t>
      </w:r>
      <w:r w:rsidR="00DD433F">
        <w:t>dimensiones: recursos materiales e inmuebles</w:t>
      </w:r>
      <w:r w:rsidR="00BC46A2">
        <w:t>;</w:t>
      </w:r>
      <w:r w:rsidR="00DD433F">
        <w:t xml:space="preserve"> recursos humanos e institucionales</w:t>
      </w:r>
      <w:r w:rsidR="00BC46A2">
        <w:t>;</w:t>
      </w:r>
      <w:r w:rsidR="00DD433F">
        <w:t xml:space="preserve"> planeación y seguimiento operativo</w:t>
      </w:r>
      <w:r w:rsidR="00BC46A2">
        <w:t>,</w:t>
      </w:r>
      <w:r w:rsidR="00DD433F">
        <w:t xml:space="preserve"> y control de calidad.</w:t>
      </w:r>
      <w:r w:rsidR="00783FF8">
        <w:t xml:space="preserve"> Se propone aplicar el cuestionario entre julio y noviembre </w:t>
      </w:r>
      <w:r w:rsidR="00F94350">
        <w:t xml:space="preserve">del presente año </w:t>
      </w:r>
      <w:r w:rsidR="00783FF8">
        <w:t xml:space="preserve">y presentar los resultados en la primera sesión del Comité en 2019. </w:t>
      </w:r>
      <w:r w:rsidR="00AC09F3">
        <w:t>M</w:t>
      </w:r>
      <w:r w:rsidR="00AC09F3" w:rsidRPr="000579E0">
        <w:t xml:space="preserve">ediante el </w:t>
      </w:r>
      <w:r w:rsidR="00AE099E">
        <w:t>voto unánime de sus integrantes</w:t>
      </w:r>
      <w:r w:rsidR="00124380">
        <w:t xml:space="preserve"> presentes</w:t>
      </w:r>
      <w:r w:rsidR="00AE099E">
        <w:t xml:space="preserve">, el Comité emitió el </w:t>
      </w:r>
      <w:r w:rsidR="00AC09F3" w:rsidRPr="000579E0">
        <w:t>acuerdo</w:t>
      </w:r>
      <w:r w:rsidR="00551C62">
        <w:t xml:space="preserve"> </w:t>
      </w:r>
      <w:r w:rsidR="00AC09F3" w:rsidRPr="00C25F3B">
        <w:rPr>
          <w:u w:val="single"/>
        </w:rPr>
        <w:t>CAC-00</w:t>
      </w:r>
      <w:r w:rsidR="00360BBA">
        <w:rPr>
          <w:u w:val="single"/>
        </w:rPr>
        <w:t>5</w:t>
      </w:r>
      <w:r w:rsidR="00AC09F3" w:rsidRPr="00C25F3B">
        <w:rPr>
          <w:u w:val="single"/>
        </w:rPr>
        <w:t>/0</w:t>
      </w:r>
      <w:r w:rsidR="00AC09F3">
        <w:rPr>
          <w:u w:val="single"/>
        </w:rPr>
        <w:t>1/2018</w:t>
      </w:r>
      <w:r w:rsidR="00AC09F3">
        <w:t xml:space="preserve">, </w:t>
      </w:r>
      <w:r w:rsidR="00AE099E">
        <w:t xml:space="preserve">por el cual, </w:t>
      </w:r>
      <w:r w:rsidR="00AC09F3">
        <w:t xml:space="preserve">se solicita a las unidades administrativas la revisión del cuestionario y el envío de comentarios a la Coordinación </w:t>
      </w:r>
      <w:r w:rsidR="000748E9">
        <w:t xml:space="preserve">General </w:t>
      </w:r>
      <w:r w:rsidR="00AC09F3">
        <w:t>de Operación Regional a más tardar el 23 de ma</w:t>
      </w:r>
      <w:r w:rsidR="000748E9">
        <w:t>r</w:t>
      </w:r>
      <w:r w:rsidR="00AC09F3">
        <w:t>zo</w:t>
      </w:r>
      <w:r w:rsidR="00AE099E">
        <w:t xml:space="preserve"> del año en curso</w:t>
      </w:r>
      <w:r w:rsidR="00AC09F3">
        <w:t>.</w:t>
      </w:r>
      <w:r w:rsidR="007E0F7D">
        <w:t xml:space="preserve"> La versión revisada del cuestionario se presentará en la siguiente sesión del Comité.</w:t>
      </w:r>
    </w:p>
    <w:p w14:paraId="7A4EA810" w14:textId="73AADA86" w:rsidR="00DA2EEA" w:rsidRDefault="00352D3A" w:rsidP="00F149D1">
      <w:pPr>
        <w:spacing w:after="200" w:line="276" w:lineRule="auto"/>
        <w:jc w:val="both"/>
        <w:rPr>
          <w:bCs/>
        </w:rPr>
      </w:pPr>
      <w:r w:rsidRPr="00872612">
        <w:rPr>
          <w:b/>
        </w:rPr>
        <w:t>VIII</w:t>
      </w:r>
      <w:r w:rsidR="00ED19C7" w:rsidRPr="00872612">
        <w:rPr>
          <w:b/>
        </w:rPr>
        <w:t>. DEFINICIÓN</w:t>
      </w:r>
      <w:r w:rsidRPr="00872612">
        <w:rPr>
          <w:rFonts w:ascii="Calibri" w:hAnsi="Calibri" w:cs="Calibri"/>
          <w:b/>
          <w:color w:val="000000"/>
          <w:szCs w:val="28"/>
        </w:rPr>
        <w:t xml:space="preserve"> DE VALORES DE REFERENCIA PARA EL COEFICIENTE DE VARIACIÓN Y LA COBERTURA CON BASE EN LA REVISIÓN DE LA EXPERIENCIA INTERNACIONAL.</w:t>
      </w:r>
      <w:r>
        <w:rPr>
          <w:rFonts w:ascii="Calibri" w:hAnsi="Calibri" w:cs="Calibri"/>
          <w:color w:val="000000"/>
          <w:szCs w:val="28"/>
        </w:rPr>
        <w:t xml:space="preserve"> </w:t>
      </w:r>
      <w:r w:rsidR="00991BFF" w:rsidRPr="000579E0">
        <w:t xml:space="preserve">Como </w:t>
      </w:r>
      <w:r w:rsidR="00991BFF">
        <w:t>octavo</w:t>
      </w:r>
      <w:r w:rsidR="00991BFF" w:rsidRPr="000579E0">
        <w:t xml:space="preserve"> </w:t>
      </w:r>
      <w:r w:rsidR="00F94350">
        <w:t>asunto</w:t>
      </w:r>
      <w:r w:rsidR="00F94350" w:rsidRPr="000579E0">
        <w:t xml:space="preserve"> </w:t>
      </w:r>
      <w:r w:rsidR="00991BFF" w:rsidRPr="000579E0">
        <w:t>del orden del día,</w:t>
      </w:r>
      <w:r w:rsidR="00991BFF">
        <w:t xml:space="preserve"> </w:t>
      </w:r>
      <w:r w:rsidR="008F01A7" w:rsidRPr="000579E0">
        <w:t xml:space="preserve">Enrique de Alba Guerra presentó </w:t>
      </w:r>
      <w:r w:rsidR="00362005">
        <w:t xml:space="preserve">la propuesta del Grupo de trabajo de indicadores de precisión y confiabilidad sobre los valores de referencia para el coeficiente de variación (CV) y la cobertura de la variable de diseño, con base en </w:t>
      </w:r>
      <w:r w:rsidR="007E0F7D">
        <w:t xml:space="preserve">la revisión </w:t>
      </w:r>
      <w:r w:rsidR="00CF301B">
        <w:t xml:space="preserve">ampliada </w:t>
      </w:r>
      <w:r w:rsidR="007E0F7D">
        <w:t>de la experiencia internacional</w:t>
      </w:r>
      <w:r w:rsidR="008F01A7">
        <w:t>.</w:t>
      </w:r>
      <w:r w:rsidR="008F01A7" w:rsidRPr="000579E0">
        <w:t xml:space="preserve"> </w:t>
      </w:r>
      <w:r w:rsidR="000C2561">
        <w:t xml:space="preserve">El documento con la </w:t>
      </w:r>
      <w:r w:rsidR="006074B7">
        <w:t xml:space="preserve">propuesta del Grupo y la </w:t>
      </w:r>
      <w:r w:rsidR="000C2561">
        <w:t>revisión de la experiencia internacional</w:t>
      </w:r>
      <w:r w:rsidR="006074B7">
        <w:t>,</w:t>
      </w:r>
      <w:r w:rsidR="000C2561">
        <w:t xml:space="preserve"> </w:t>
      </w:r>
      <w:r w:rsidR="006074B7">
        <w:t>así como</w:t>
      </w:r>
      <w:r w:rsidR="000C2561">
        <w:t xml:space="preserve"> el anexo correspondiente fueron envi</w:t>
      </w:r>
      <w:bookmarkStart w:id="4" w:name="_GoBack"/>
      <w:bookmarkEnd w:id="4"/>
      <w:r w:rsidR="000C2561">
        <w:t>ados previamente en la carpeta de la sesión</w:t>
      </w:r>
      <w:r w:rsidR="004B6847">
        <w:t>.</w:t>
      </w:r>
      <w:r w:rsidR="000C2561">
        <w:t xml:space="preserve"> </w:t>
      </w:r>
      <w:r w:rsidR="004B6847">
        <w:t xml:space="preserve">Ambos </w:t>
      </w:r>
      <w:r w:rsidR="000C2561" w:rsidRPr="00E61E4C">
        <w:t xml:space="preserve">pueden ser consultados </w:t>
      </w:r>
      <w:r w:rsidR="000C2561">
        <w:t xml:space="preserve">en </w:t>
      </w:r>
      <w:hyperlink r:id="rId19" w:history="1">
        <w:r w:rsidR="000C2561" w:rsidRPr="00AA627F">
          <w:rPr>
            <w:rStyle w:val="Hipervnculo"/>
          </w:rPr>
          <w:t>https://365inegi.sharepoint.com/sites/calidad/SitePages/1_sesion_2018.aspx</w:t>
        </w:r>
      </w:hyperlink>
      <w:r w:rsidR="004B6847">
        <w:t xml:space="preserve">, constan de 9 y </w:t>
      </w:r>
      <w:r w:rsidR="00ED19C7" w:rsidRPr="008F22CD">
        <w:t>5</w:t>
      </w:r>
      <w:r w:rsidR="004B6847" w:rsidRPr="00E61E4C">
        <w:t xml:space="preserve"> hojas, </w:t>
      </w:r>
      <w:r w:rsidR="004B6847">
        <w:t>respectivamente,</w:t>
      </w:r>
      <w:r w:rsidR="000C2561">
        <w:t xml:space="preserve"> y forman parte de esta acta, para todos los efectos conducentes. L</w:t>
      </w:r>
      <w:r w:rsidR="001E1993">
        <w:t xml:space="preserve">a presentación </w:t>
      </w:r>
      <w:r w:rsidR="004B6847">
        <w:t xml:space="preserve">consta de 17 láminas disponibles en intranet en la dirección </w:t>
      </w:r>
      <w:hyperlink r:id="rId20" w:history="1">
        <w:r w:rsidR="004B6847" w:rsidRPr="00AA627F">
          <w:rPr>
            <w:rStyle w:val="Hipervnculo"/>
          </w:rPr>
          <w:t>https://365inegi.sharepoint.com/sites/calidad/SitePages/012018_presentaciones.aspx</w:t>
        </w:r>
      </w:hyperlink>
      <w:r w:rsidR="004B6847">
        <w:t xml:space="preserve">. </w:t>
      </w:r>
      <w:r w:rsidR="00570EBA">
        <w:t xml:space="preserve">Con ella se </w:t>
      </w:r>
      <w:r w:rsidR="001E1993">
        <w:t>atiende</w:t>
      </w:r>
      <w:r w:rsidR="00570EBA">
        <w:t>n</w:t>
      </w:r>
      <w:r w:rsidR="001E1993">
        <w:t xml:space="preserve"> los acuerdos </w:t>
      </w:r>
      <w:r w:rsidR="00C42E2B">
        <w:t xml:space="preserve">del Comité </w:t>
      </w:r>
      <w:r w:rsidR="001E1993" w:rsidRPr="001E1993">
        <w:t xml:space="preserve">CAC-005/04/2017 y CAC-007/04/2017 de la </w:t>
      </w:r>
      <w:r w:rsidR="001E1993">
        <w:t xml:space="preserve">sesión </w:t>
      </w:r>
      <w:r w:rsidR="00C42E2B">
        <w:t>anterior</w:t>
      </w:r>
      <w:r w:rsidR="00570EBA">
        <w:t>,</w:t>
      </w:r>
      <w:r w:rsidR="001F548F">
        <w:t xml:space="preserve"> ya que </w:t>
      </w:r>
      <w:r w:rsidR="00AB14FA">
        <w:t xml:space="preserve">contiene los resultados del </w:t>
      </w:r>
      <w:r w:rsidR="00C677B9">
        <w:t>an</w:t>
      </w:r>
      <w:r w:rsidR="00AB14FA">
        <w:t>á</w:t>
      </w:r>
      <w:r w:rsidR="00C677B9">
        <w:t>li</w:t>
      </w:r>
      <w:r w:rsidR="00AB14FA">
        <w:t>sis</w:t>
      </w:r>
      <w:r w:rsidR="00C677B9">
        <w:t xml:space="preserve"> </w:t>
      </w:r>
      <w:r w:rsidR="00AB14FA">
        <w:t>d</w:t>
      </w:r>
      <w:r w:rsidR="00C677B9">
        <w:t>el uso de valores de referencia</w:t>
      </w:r>
      <w:r w:rsidR="00AB14FA">
        <w:t xml:space="preserve"> para el CV y la cobertura</w:t>
      </w:r>
      <w:r w:rsidR="00C677B9">
        <w:t xml:space="preserve"> en 42 países, 35 de ellos miembros de la OCDE, y 2 organismos internacionales. Entre los hallazgos de la revisión se encontró que alrededor del 70% de los pa</w:t>
      </w:r>
      <w:r w:rsidR="00FC27A5">
        <w:t xml:space="preserve">íses publican el CV y solamente en tres países se practica la semaforización de los estimadores con base en el CV. </w:t>
      </w:r>
      <w:r w:rsidR="00FC7B49">
        <w:t xml:space="preserve">En menos de la mitad de los países se utilizan valores de referencia y hay una gran heterogeneidad en el número de cortes aplicados. </w:t>
      </w:r>
      <w:r w:rsidR="002B37C5">
        <w:t>Para el análisis</w:t>
      </w:r>
      <w:r w:rsidR="002705B0">
        <w:t xml:space="preserve"> del uso </w:t>
      </w:r>
      <w:r w:rsidR="004B70C8">
        <w:t xml:space="preserve">internacional </w:t>
      </w:r>
      <w:r w:rsidR="002705B0">
        <w:t>de</w:t>
      </w:r>
      <w:r w:rsidR="004B70C8">
        <w:t xml:space="preserve"> umbrales</w:t>
      </w:r>
      <w:r w:rsidR="002B37C5">
        <w:t xml:space="preserve"> </w:t>
      </w:r>
      <w:r w:rsidR="004B70C8">
        <w:t xml:space="preserve">para el CV </w:t>
      </w:r>
      <w:r w:rsidR="002B37C5">
        <w:t>se definieron dos límites</w:t>
      </w:r>
      <w:r w:rsidR="00914EA3">
        <w:t>.</w:t>
      </w:r>
      <w:r w:rsidR="002B37C5">
        <w:t xml:space="preserve"> </w:t>
      </w:r>
      <w:r w:rsidR="00914EA3">
        <w:t>E</w:t>
      </w:r>
      <w:r w:rsidR="00592378">
        <w:t>l L</w:t>
      </w:r>
      <w:r w:rsidR="002B37C5">
        <w:t>ímite 1</w:t>
      </w:r>
      <w:r w:rsidR="00914EA3">
        <w:t xml:space="preserve"> s</w:t>
      </w:r>
      <w:r w:rsidR="00914EA3" w:rsidRPr="00914EA3">
        <w:t xml:space="preserve">e refiere al valor de referencia </w:t>
      </w:r>
      <w:r w:rsidR="00914EA3" w:rsidRPr="00A53B9C">
        <w:rPr>
          <w:iCs/>
        </w:rPr>
        <w:t>más bajo</w:t>
      </w:r>
      <w:r w:rsidR="00914EA3" w:rsidRPr="00914EA3">
        <w:t xml:space="preserve"> usado para indicar que se debe tener cuidado con la precisión de las estimaciones, es decir, el valor que se usa para distinguir una precisión </w:t>
      </w:r>
      <w:r w:rsidR="00914EA3" w:rsidRPr="00A53B9C">
        <w:rPr>
          <w:bCs/>
        </w:rPr>
        <w:t>aceptable</w:t>
      </w:r>
      <w:r w:rsidR="00914EA3" w:rsidRPr="00914EA3">
        <w:t xml:space="preserve"> de una </w:t>
      </w:r>
      <w:r w:rsidR="00914EA3" w:rsidRPr="00A53B9C">
        <w:rPr>
          <w:bCs/>
        </w:rPr>
        <w:t xml:space="preserve">baja. </w:t>
      </w:r>
      <w:r w:rsidR="00592378" w:rsidRPr="00A53B9C">
        <w:rPr>
          <w:bCs/>
        </w:rPr>
        <w:t>El L</w:t>
      </w:r>
      <w:r w:rsidR="00914EA3" w:rsidRPr="00A53B9C">
        <w:rPr>
          <w:bCs/>
        </w:rPr>
        <w:t xml:space="preserve">ímite 2 se refiere al valor más alto usado para indicar una </w:t>
      </w:r>
      <w:r w:rsidR="00914EA3" w:rsidRPr="00A53B9C">
        <w:rPr>
          <w:bCs/>
          <w:iCs/>
        </w:rPr>
        <w:t>muy baja</w:t>
      </w:r>
      <w:r w:rsidR="00914EA3" w:rsidRPr="00A53B9C">
        <w:rPr>
          <w:bCs/>
        </w:rPr>
        <w:t xml:space="preserve"> precisión de las estimaciones</w:t>
      </w:r>
      <w:r w:rsidR="00592378" w:rsidRPr="00A53B9C">
        <w:rPr>
          <w:bCs/>
        </w:rPr>
        <w:t xml:space="preserve">. En unidades económicas se observa que </w:t>
      </w:r>
      <w:r w:rsidR="006D477E" w:rsidRPr="00A53B9C">
        <w:rPr>
          <w:bCs/>
        </w:rPr>
        <w:t xml:space="preserve">la media y la mediana del </w:t>
      </w:r>
      <w:r w:rsidR="00592378" w:rsidRPr="00A53B9C">
        <w:rPr>
          <w:bCs/>
        </w:rPr>
        <w:t>Límite 1 están alrededor de 20% y</w:t>
      </w:r>
      <w:r w:rsidR="006D477E" w:rsidRPr="00A53B9C">
        <w:rPr>
          <w:bCs/>
        </w:rPr>
        <w:t xml:space="preserve"> </w:t>
      </w:r>
      <w:r w:rsidR="00592378" w:rsidRPr="00A53B9C">
        <w:rPr>
          <w:bCs/>
        </w:rPr>
        <w:t>la moda tiene dos valores, 10 y 30%;</w:t>
      </w:r>
      <w:r w:rsidR="006D477E" w:rsidRPr="00A53B9C">
        <w:rPr>
          <w:bCs/>
        </w:rPr>
        <w:t xml:space="preserve"> </w:t>
      </w:r>
      <w:r w:rsidR="00592378" w:rsidRPr="00A53B9C">
        <w:rPr>
          <w:bCs/>
        </w:rPr>
        <w:t>p</w:t>
      </w:r>
      <w:r w:rsidR="006D477E" w:rsidRPr="00A53B9C">
        <w:rPr>
          <w:bCs/>
        </w:rPr>
        <w:t xml:space="preserve">ara el Límite 2, la media, mediana y la moda están alrededor de 30%. En otras unidades (hogares, viviendas, población), la media, mediana y moda del </w:t>
      </w:r>
      <w:r w:rsidR="00592378" w:rsidRPr="00A53B9C">
        <w:rPr>
          <w:bCs/>
        </w:rPr>
        <w:t>Límite 1 están alrededor de 20%, mientras que p</w:t>
      </w:r>
      <w:r w:rsidR="006D477E" w:rsidRPr="00A53B9C">
        <w:rPr>
          <w:bCs/>
        </w:rPr>
        <w:t xml:space="preserve">ara el Límite 2, la media es 25%, pero la mediana y la moda son 20%. </w:t>
      </w:r>
      <w:r w:rsidR="00726DA1" w:rsidRPr="00A53B9C">
        <w:rPr>
          <w:bCs/>
        </w:rPr>
        <w:t>Consideran</w:t>
      </w:r>
      <w:r w:rsidR="009D7DE6">
        <w:rPr>
          <w:bCs/>
        </w:rPr>
        <w:t xml:space="preserve">do estos resultados, </w:t>
      </w:r>
      <w:r w:rsidR="0092076E">
        <w:rPr>
          <w:bCs/>
        </w:rPr>
        <w:t xml:space="preserve">el Grupo de trabajo </w:t>
      </w:r>
      <w:r w:rsidR="009D7DE6">
        <w:rPr>
          <w:bCs/>
        </w:rPr>
        <w:t xml:space="preserve">realizó una </w:t>
      </w:r>
      <w:r w:rsidR="009D7DE6">
        <w:rPr>
          <w:bCs/>
        </w:rPr>
        <w:lastRenderedPageBreak/>
        <w:t>propuesta técnica acordada unánimemente</w:t>
      </w:r>
      <w:r w:rsidR="00A66E1E">
        <w:rPr>
          <w:bCs/>
        </w:rPr>
        <w:t xml:space="preserve"> que consiste en</w:t>
      </w:r>
      <w:r w:rsidR="009D7DE6">
        <w:rPr>
          <w:bCs/>
        </w:rPr>
        <w:t xml:space="preserve"> </w:t>
      </w:r>
      <w:r w:rsidR="00DA2EEA">
        <w:rPr>
          <w:bCs/>
        </w:rPr>
        <w:t>u</w:t>
      </w:r>
      <w:r w:rsidR="006D477E" w:rsidRPr="00A53B9C">
        <w:rPr>
          <w:bCs/>
        </w:rPr>
        <w:t>tilizar tre</w:t>
      </w:r>
      <w:r w:rsidR="00A53B9C" w:rsidRPr="00A53B9C">
        <w:rPr>
          <w:bCs/>
        </w:rPr>
        <w:t xml:space="preserve">s </w:t>
      </w:r>
      <w:r w:rsidR="00DA2EEA">
        <w:rPr>
          <w:bCs/>
        </w:rPr>
        <w:t>cortes</w:t>
      </w:r>
      <w:r w:rsidR="00A53B9C" w:rsidRPr="00A53B9C">
        <w:rPr>
          <w:bCs/>
        </w:rPr>
        <w:t xml:space="preserve"> </w:t>
      </w:r>
      <w:r w:rsidR="00DA2EEA">
        <w:rPr>
          <w:bCs/>
        </w:rPr>
        <w:t>para la</w:t>
      </w:r>
      <w:r w:rsidR="00A53B9C" w:rsidRPr="00A53B9C">
        <w:rPr>
          <w:bCs/>
        </w:rPr>
        <w:t xml:space="preserve"> semaforización</w:t>
      </w:r>
      <w:r w:rsidR="006D477E" w:rsidRPr="00A53B9C">
        <w:rPr>
          <w:bCs/>
        </w:rPr>
        <w:t xml:space="preserve">: </w:t>
      </w:r>
    </w:p>
    <w:p w14:paraId="6C184823" w14:textId="19534966" w:rsidR="00DA2EEA" w:rsidRPr="00DA2EEA" w:rsidRDefault="00DA2EEA" w:rsidP="00DA2EEA">
      <w:pPr>
        <w:pStyle w:val="Prrafodelista"/>
        <w:numPr>
          <w:ilvl w:val="0"/>
          <w:numId w:val="14"/>
        </w:numPr>
        <w:spacing w:after="200" w:line="276" w:lineRule="auto"/>
        <w:jc w:val="both"/>
        <w:rPr>
          <w:bCs/>
        </w:rPr>
      </w:pPr>
      <w:r w:rsidRPr="00DA2EEA">
        <w:rPr>
          <w:bCs/>
        </w:rPr>
        <w:t>P</w:t>
      </w:r>
      <w:r w:rsidR="006D477E" w:rsidRPr="00DA2EEA">
        <w:rPr>
          <w:bCs/>
        </w:rPr>
        <w:t>recisión alta: [0%, 20%)</w:t>
      </w:r>
    </w:p>
    <w:p w14:paraId="6C7804A4" w14:textId="77777777" w:rsidR="00DA2EEA" w:rsidRDefault="006D477E" w:rsidP="00DA2EEA">
      <w:pPr>
        <w:pStyle w:val="Prrafodelista"/>
        <w:numPr>
          <w:ilvl w:val="0"/>
          <w:numId w:val="14"/>
        </w:numPr>
        <w:spacing w:after="200" w:line="276" w:lineRule="auto"/>
        <w:jc w:val="both"/>
        <w:rPr>
          <w:bCs/>
        </w:rPr>
      </w:pPr>
      <w:r w:rsidRPr="00DA2EEA">
        <w:rPr>
          <w:bCs/>
        </w:rPr>
        <w:t>Precisión moderada: [20%, 30%)</w:t>
      </w:r>
    </w:p>
    <w:p w14:paraId="23668658" w14:textId="1DB96583" w:rsidR="00F45F11" w:rsidRPr="00DA2EEA" w:rsidRDefault="006D477E" w:rsidP="00DA2EEA">
      <w:pPr>
        <w:pStyle w:val="Prrafodelista"/>
        <w:numPr>
          <w:ilvl w:val="0"/>
          <w:numId w:val="14"/>
        </w:numPr>
        <w:spacing w:after="200" w:line="276" w:lineRule="auto"/>
        <w:jc w:val="both"/>
        <w:rPr>
          <w:bCs/>
        </w:rPr>
      </w:pPr>
      <w:r w:rsidRPr="00DA2EEA">
        <w:rPr>
          <w:bCs/>
        </w:rPr>
        <w:t>Precisión baja: &gt;= 30%.</w:t>
      </w:r>
    </w:p>
    <w:p w14:paraId="613B65D6" w14:textId="7A046A90" w:rsidR="00C658D9" w:rsidRPr="00C658D9" w:rsidRDefault="00F16F5D" w:rsidP="00C658D9">
      <w:pPr>
        <w:spacing w:after="200" w:line="276" w:lineRule="auto"/>
        <w:jc w:val="both"/>
        <w:rPr>
          <w:bCs/>
        </w:rPr>
      </w:pPr>
      <w:r>
        <w:rPr>
          <w:bCs/>
        </w:rPr>
        <w:t xml:space="preserve">Así </w:t>
      </w:r>
      <w:r w:rsidR="00405525">
        <w:rPr>
          <w:bCs/>
        </w:rPr>
        <w:t xml:space="preserve">mismo, </w:t>
      </w:r>
      <w:r w:rsidR="0001613E">
        <w:rPr>
          <w:bCs/>
        </w:rPr>
        <w:t xml:space="preserve">el Grupo de trabajo </w:t>
      </w:r>
      <w:r w:rsidR="00405525">
        <w:rPr>
          <w:bCs/>
        </w:rPr>
        <w:t>planteó</w:t>
      </w:r>
      <w:r>
        <w:rPr>
          <w:bCs/>
        </w:rPr>
        <w:t xml:space="preserve"> el uso de un texto uniforme para alertar </w:t>
      </w:r>
      <w:r w:rsidR="00C658D9" w:rsidRPr="00C658D9">
        <w:rPr>
          <w:bCs/>
        </w:rPr>
        <w:t>al usuario en caso de baja precisión, es decir, a partir de un CV mayor a 30%</w:t>
      </w:r>
      <w:r>
        <w:rPr>
          <w:bCs/>
        </w:rPr>
        <w:t>: “una precisión baja requiere</w:t>
      </w:r>
      <w:r w:rsidR="00C658D9">
        <w:rPr>
          <w:bCs/>
        </w:rPr>
        <w:t xml:space="preserve"> un </w:t>
      </w:r>
      <w:r w:rsidR="00C658D9" w:rsidRPr="00C658D9">
        <w:rPr>
          <w:bCs/>
        </w:rPr>
        <w:t xml:space="preserve">uso cauteloso de la estimación, analizando las causas de la alta variabilidad y </w:t>
      </w:r>
      <w:r>
        <w:rPr>
          <w:bCs/>
        </w:rPr>
        <w:t>considerando</w:t>
      </w:r>
      <w:r w:rsidR="00C658D9" w:rsidRPr="00C658D9">
        <w:rPr>
          <w:bCs/>
        </w:rPr>
        <w:t xml:space="preserve"> otros indicadores de precisión y confiabilidad, por ejemplo, el intervalo de confianza.</w:t>
      </w:r>
      <w:r>
        <w:rPr>
          <w:bCs/>
        </w:rPr>
        <w:t>”</w:t>
      </w:r>
    </w:p>
    <w:p w14:paraId="74C7F73B" w14:textId="6B24AD9A" w:rsidR="00F45F11" w:rsidRDefault="00CF0637" w:rsidP="00DA2EEA">
      <w:pPr>
        <w:spacing w:after="200" w:line="276" w:lineRule="auto"/>
        <w:jc w:val="both"/>
      </w:pPr>
      <w:r>
        <w:rPr>
          <w:bCs/>
        </w:rPr>
        <w:t xml:space="preserve">Al respecto, </w:t>
      </w:r>
      <w:r>
        <w:t xml:space="preserve">Edgar Vielma Orozco consideró que el valor de 20% es muy elevado para distinguir </w:t>
      </w:r>
      <w:r w:rsidR="00F16F5D">
        <w:t xml:space="preserve">entre </w:t>
      </w:r>
      <w:r>
        <w:t>una precisión alta</w:t>
      </w:r>
      <w:r w:rsidR="00F16F5D">
        <w:t xml:space="preserve"> y una aceptable</w:t>
      </w:r>
      <w:r>
        <w:t xml:space="preserve"> y propuso utilizar 15%</w:t>
      </w:r>
      <w:r w:rsidR="00405525">
        <w:t>,</w:t>
      </w:r>
      <w:r w:rsidR="00F16F5D">
        <w:t xml:space="preserve"> o en todo caso</w:t>
      </w:r>
      <w:r w:rsidR="00A6463E">
        <w:t>,</w:t>
      </w:r>
      <w:r w:rsidR="00F16F5D">
        <w:t xml:space="preserve"> usar un </w:t>
      </w:r>
      <w:r w:rsidR="00405525">
        <w:t xml:space="preserve">solo </w:t>
      </w:r>
      <w:r w:rsidR="00F16F5D">
        <w:t>corte en 30%</w:t>
      </w:r>
      <w:r w:rsidR="0001613E">
        <w:t>, como se había planteado en la sesión anterior</w:t>
      </w:r>
      <w:r>
        <w:t xml:space="preserve">. Por su parte, </w:t>
      </w:r>
      <w:r w:rsidR="00765E87">
        <w:t xml:space="preserve">José Arturo Blancas Espejo y </w:t>
      </w:r>
      <w:r>
        <w:t>Araceli Martínez Gama</w:t>
      </w:r>
      <w:r w:rsidR="000D7992">
        <w:t xml:space="preserve"> </w:t>
      </w:r>
      <w:r w:rsidR="00E53BE6">
        <w:t>–</w:t>
      </w:r>
      <w:r w:rsidR="000A0095">
        <w:t xml:space="preserve">quien se incorporó </w:t>
      </w:r>
      <w:r w:rsidR="000D0C02">
        <w:t>a la sesión en la s</w:t>
      </w:r>
      <w:r w:rsidR="000D0C02" w:rsidRPr="00FE108C">
        <w:t>ala de Videoconferencia 1 de Aguascalientes</w:t>
      </w:r>
      <w:r w:rsidR="000D0C02">
        <w:t xml:space="preserve"> </w:t>
      </w:r>
      <w:r w:rsidR="000A0095">
        <w:t xml:space="preserve">como </w:t>
      </w:r>
      <w:r w:rsidR="000A0095" w:rsidRPr="00711225">
        <w:t>invitada</w:t>
      </w:r>
      <w:r w:rsidR="000D0C02" w:rsidRPr="00711225">
        <w:t xml:space="preserve"> </w:t>
      </w:r>
      <w:r w:rsidR="000D0C02" w:rsidRPr="000D0C02">
        <w:t>para tratar</w:t>
      </w:r>
      <w:r w:rsidR="000D0C02">
        <w:t xml:space="preserve"> este punto del orden del día</w:t>
      </w:r>
      <w:r w:rsidR="00E53BE6">
        <w:t>–</w:t>
      </w:r>
      <w:r w:rsidR="000A0095" w:rsidRPr="000D7992">
        <w:t xml:space="preserve"> </w:t>
      </w:r>
      <w:r>
        <w:t>mencion</w:t>
      </w:r>
      <w:r w:rsidR="000130B6">
        <w:t>aron</w:t>
      </w:r>
      <w:r>
        <w:t xml:space="preserve"> que </w:t>
      </w:r>
      <w:r w:rsidR="000A0095">
        <w:t>de acuerdo con e</w:t>
      </w:r>
      <w:r w:rsidR="000A0095" w:rsidRPr="000D7992">
        <w:t xml:space="preserve">l artículo </w:t>
      </w:r>
      <w:r w:rsidR="000A0095">
        <w:t>publicado en enero 2018 por la</w:t>
      </w:r>
      <w:r w:rsidR="000A0095" w:rsidRPr="000D7992">
        <w:t xml:space="preserve"> International Association</w:t>
      </w:r>
      <w:r w:rsidR="000A0095">
        <w:t xml:space="preserve"> of Survey Statisticians (IASS), titulado “</w:t>
      </w:r>
      <w:r w:rsidR="000A0095" w:rsidRPr="000D7992">
        <w:t>¿Cómo difieren las encuestas de establecimientos de las encuestas de hogares?</w:t>
      </w:r>
      <w:r w:rsidR="000A0095">
        <w:t xml:space="preserve">” </w:t>
      </w:r>
      <w:r>
        <w:t>existen diferencias entre las encuestas en hogares y en unidades económicas que justificarían la aplicación de un corte diferenciado</w:t>
      </w:r>
      <w:r w:rsidR="00F16F5D">
        <w:t>, de manera que el corte en 20% e</w:t>
      </w:r>
      <w:r w:rsidR="00405525">
        <w:t>s</w:t>
      </w:r>
      <w:r w:rsidR="00F16F5D">
        <w:t xml:space="preserve"> más adecuado para encuestas en unidades económicas</w:t>
      </w:r>
      <w:r w:rsidR="000130B6">
        <w:t xml:space="preserve"> por medir aspectos más </w:t>
      </w:r>
      <w:r w:rsidR="00904351">
        <w:t xml:space="preserve">complejos </w:t>
      </w:r>
      <w:r w:rsidR="000130B6">
        <w:t>que las encuestas en hogares</w:t>
      </w:r>
      <w:r>
        <w:t xml:space="preserve">. </w:t>
      </w:r>
      <w:r w:rsidR="00F149D1">
        <w:t xml:space="preserve">Edgar Vielma Orozco </w:t>
      </w:r>
      <w:r w:rsidR="00E9667D">
        <w:t>opin</w:t>
      </w:r>
      <w:r w:rsidR="00F149D1">
        <w:t>ó que la interpretación del CV no depende del tipo de unidad de observación</w:t>
      </w:r>
      <w:r w:rsidR="006419F4">
        <w:t xml:space="preserve"> </w:t>
      </w:r>
      <w:r w:rsidR="00904351">
        <w:t xml:space="preserve">y aclaró </w:t>
      </w:r>
      <w:r w:rsidR="006419F4">
        <w:t xml:space="preserve">que en las encuestas en hogares </w:t>
      </w:r>
      <w:r w:rsidR="00904351">
        <w:t xml:space="preserve">también </w:t>
      </w:r>
      <w:r w:rsidR="006419F4">
        <w:t>se mide</w:t>
      </w:r>
      <w:r w:rsidR="00904351">
        <w:t>n variables complejas como</w:t>
      </w:r>
      <w:r w:rsidR="006419F4">
        <w:t xml:space="preserve"> el ingreso</w:t>
      </w:r>
      <w:r w:rsidR="00904351">
        <w:t>.</w:t>
      </w:r>
      <w:r w:rsidR="00F16F5D">
        <w:t xml:space="preserve"> </w:t>
      </w:r>
      <w:r w:rsidR="00D55487">
        <w:t xml:space="preserve">Asimismo, expuso </w:t>
      </w:r>
      <w:r w:rsidR="00F16F5D">
        <w:t>que la definición del tamaño de la muestra incluye un error máximo esperado definido a priori que debería usarse como guía de la precisión, en ese sentido, el error a posteriori es mayor al ser casi dos veces el coeficiente de variación</w:t>
      </w:r>
      <w:r w:rsidR="000130B6">
        <w:t xml:space="preserve"> y, por lo tanto, se debería alertar a los usuarios desde niveles más bajos del CV</w:t>
      </w:r>
      <w:r w:rsidR="00F149D1">
        <w:t>.</w:t>
      </w:r>
      <w:r w:rsidR="00F16F5D">
        <w:t xml:space="preserve"> </w:t>
      </w:r>
      <w:r w:rsidR="000130B6">
        <w:t xml:space="preserve">Adrián Franco Barrios coincidió con </w:t>
      </w:r>
      <w:r w:rsidR="00D55487">
        <w:t xml:space="preserve">lo anterior </w:t>
      </w:r>
      <w:r w:rsidR="000130B6">
        <w:t xml:space="preserve">y mencionó que las encuestas en hogares </w:t>
      </w:r>
      <w:r w:rsidR="00D55487">
        <w:t xml:space="preserve">de la DGEGSPJ </w:t>
      </w:r>
      <w:r w:rsidR="000130B6">
        <w:t>también miden aspectos complejos</w:t>
      </w:r>
      <w:r w:rsidR="006419F4">
        <w:t xml:space="preserve"> como la victimización</w:t>
      </w:r>
      <w:r w:rsidR="000130B6" w:rsidRPr="000130B6">
        <w:t xml:space="preserve"> </w:t>
      </w:r>
      <w:r w:rsidR="00D55487">
        <w:t xml:space="preserve">y que </w:t>
      </w:r>
      <w:r w:rsidR="000130B6">
        <w:t xml:space="preserve">se debería mantener el objetivo de lograr precisiones más altas en las estimaciones. </w:t>
      </w:r>
    </w:p>
    <w:p w14:paraId="362FD4CE" w14:textId="50DA806A" w:rsidR="00EE6145" w:rsidRDefault="00806A78" w:rsidP="00806A78">
      <w:pPr>
        <w:spacing w:after="200" w:line="276" w:lineRule="auto"/>
        <w:jc w:val="both"/>
      </w:pPr>
      <w:r>
        <w:t xml:space="preserve">Con base en la discusión y </w:t>
      </w:r>
      <w:r w:rsidRPr="00806A78">
        <w:t xml:space="preserve">el resultado de la </w:t>
      </w:r>
      <w:r>
        <w:t>revis</w:t>
      </w:r>
      <w:r w:rsidRPr="00806A78">
        <w:t>ión de la experiencia internacional</w:t>
      </w:r>
      <w:r>
        <w:t>, m</w:t>
      </w:r>
      <w:r w:rsidRPr="000579E0">
        <w:t xml:space="preserve">ediante el acuerdo </w:t>
      </w:r>
      <w:r w:rsidRPr="00C25F3B">
        <w:rPr>
          <w:u w:val="single"/>
        </w:rPr>
        <w:t>CAC-00</w:t>
      </w:r>
      <w:r w:rsidR="00360BBA">
        <w:rPr>
          <w:u w:val="single"/>
        </w:rPr>
        <w:t>6</w:t>
      </w:r>
      <w:r w:rsidRPr="00C25F3B">
        <w:rPr>
          <w:u w:val="single"/>
        </w:rPr>
        <w:t>/0</w:t>
      </w:r>
      <w:r>
        <w:rPr>
          <w:u w:val="single"/>
        </w:rPr>
        <w:t>1</w:t>
      </w:r>
      <w:r w:rsidRPr="00C25F3B">
        <w:rPr>
          <w:u w:val="single"/>
        </w:rPr>
        <w:t>/201</w:t>
      </w:r>
      <w:r>
        <w:rPr>
          <w:u w:val="single"/>
        </w:rPr>
        <w:t>8</w:t>
      </w:r>
      <w:r w:rsidRPr="000579E0">
        <w:t>, el Comité aprobó por unanimidad</w:t>
      </w:r>
      <w:r w:rsidR="007F36BA">
        <w:t xml:space="preserve"> de votos de sus integrantes presentes,</w:t>
      </w:r>
      <w:r>
        <w:t xml:space="preserve"> los siguientes umbrales </w:t>
      </w:r>
      <w:r w:rsidR="00B9454C">
        <w:t xml:space="preserve">y especificaciones </w:t>
      </w:r>
      <w:r>
        <w:t>para la publicación en los tabulados del CV:</w:t>
      </w:r>
    </w:p>
    <w:p w14:paraId="697D4975" w14:textId="77777777" w:rsidR="00EE6145" w:rsidRDefault="00EE6145">
      <w:r>
        <w:br w:type="page"/>
      </w:r>
    </w:p>
    <w:p w14:paraId="19579ACE" w14:textId="77777777" w:rsidR="00806A78" w:rsidRDefault="00806A78" w:rsidP="00806A78">
      <w:pPr>
        <w:spacing w:after="200" w:line="276" w:lineRule="auto"/>
        <w:jc w:val="both"/>
      </w:pPr>
    </w:p>
    <w:p w14:paraId="6403BE9F" w14:textId="498C9C87" w:rsidR="00806A78" w:rsidRPr="002C60C6" w:rsidRDefault="00806A78" w:rsidP="00806A78">
      <w:pPr>
        <w:spacing w:after="0" w:line="276" w:lineRule="auto"/>
        <w:jc w:val="center"/>
        <w:rPr>
          <w:b/>
        </w:rPr>
      </w:pPr>
      <w:r w:rsidRPr="002C60C6">
        <w:rPr>
          <w:b/>
        </w:rPr>
        <w:t xml:space="preserve">Umbrales </w:t>
      </w:r>
      <w:r w:rsidR="00AA15DA">
        <w:rPr>
          <w:b/>
        </w:rPr>
        <w:t xml:space="preserve">y especificaciones </w:t>
      </w:r>
      <w:r w:rsidRPr="002C60C6">
        <w:rPr>
          <w:b/>
        </w:rPr>
        <w:t xml:space="preserve">para el reporte </w:t>
      </w:r>
      <w:r>
        <w:rPr>
          <w:b/>
        </w:rPr>
        <w:t xml:space="preserve">de la precisión de acuerdo con </w:t>
      </w:r>
      <w:r w:rsidRPr="002C60C6">
        <w:rPr>
          <w:b/>
        </w:rPr>
        <w:t>el coeficiente de variación en los tabulados de resultados</w:t>
      </w:r>
      <w:r>
        <w:rPr>
          <w:b/>
        </w:rPr>
        <w:t xml:space="preserve"> de los proyectos con muestreo probabilístico</w:t>
      </w:r>
    </w:p>
    <w:tbl>
      <w:tblPr>
        <w:tblStyle w:val="Tablaconcuadrcula"/>
        <w:tblW w:w="8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283"/>
        <w:gridCol w:w="1701"/>
        <w:gridCol w:w="284"/>
        <w:gridCol w:w="2126"/>
        <w:gridCol w:w="284"/>
        <w:gridCol w:w="2268"/>
      </w:tblGrid>
      <w:tr w:rsidR="00B9454C" w:rsidRPr="00B9454C" w14:paraId="45F4F492" w14:textId="77777777" w:rsidTr="00B9454C">
        <w:trPr>
          <w:jc w:val="center"/>
        </w:trPr>
        <w:tc>
          <w:tcPr>
            <w:tcW w:w="1702" w:type="dxa"/>
            <w:tcBorders>
              <w:top w:val="single" w:sz="4" w:space="0" w:color="auto"/>
              <w:bottom w:val="single" w:sz="4" w:space="0" w:color="auto"/>
            </w:tcBorders>
          </w:tcPr>
          <w:p w14:paraId="7EB4C727" w14:textId="77777777" w:rsidR="00B9454C" w:rsidRPr="00B9454C" w:rsidRDefault="00B9454C" w:rsidP="007F36BA"/>
        </w:tc>
        <w:tc>
          <w:tcPr>
            <w:tcW w:w="283" w:type="dxa"/>
            <w:tcBorders>
              <w:top w:val="single" w:sz="4" w:space="0" w:color="auto"/>
              <w:bottom w:val="single" w:sz="4" w:space="0" w:color="auto"/>
            </w:tcBorders>
          </w:tcPr>
          <w:p w14:paraId="78492ADC" w14:textId="77777777" w:rsidR="00B9454C" w:rsidRPr="00B9454C" w:rsidRDefault="00B9454C" w:rsidP="007F36BA"/>
        </w:tc>
        <w:tc>
          <w:tcPr>
            <w:tcW w:w="1701" w:type="dxa"/>
            <w:tcBorders>
              <w:top w:val="single" w:sz="4" w:space="0" w:color="auto"/>
              <w:bottom w:val="single" w:sz="4" w:space="0" w:color="auto"/>
            </w:tcBorders>
          </w:tcPr>
          <w:p w14:paraId="29FE3854" w14:textId="77777777" w:rsidR="00B9454C" w:rsidRPr="00B9454C" w:rsidRDefault="00B9454C" w:rsidP="007F36BA"/>
        </w:tc>
        <w:tc>
          <w:tcPr>
            <w:tcW w:w="284" w:type="dxa"/>
            <w:tcBorders>
              <w:top w:val="single" w:sz="4" w:space="0" w:color="auto"/>
              <w:bottom w:val="single" w:sz="4" w:space="0" w:color="auto"/>
            </w:tcBorders>
          </w:tcPr>
          <w:p w14:paraId="18C3B27A" w14:textId="77777777" w:rsidR="00B9454C" w:rsidRPr="00B9454C" w:rsidRDefault="00B9454C" w:rsidP="007F36BA"/>
        </w:tc>
        <w:tc>
          <w:tcPr>
            <w:tcW w:w="2126" w:type="dxa"/>
            <w:tcBorders>
              <w:top w:val="single" w:sz="4" w:space="0" w:color="auto"/>
              <w:bottom w:val="single" w:sz="4" w:space="0" w:color="auto"/>
            </w:tcBorders>
          </w:tcPr>
          <w:p w14:paraId="26A2C27F" w14:textId="77777777" w:rsidR="00B9454C" w:rsidRPr="00B9454C" w:rsidRDefault="00B9454C" w:rsidP="007F36BA">
            <w:pPr>
              <w:jc w:val="center"/>
              <w:rPr>
                <w:b/>
                <w:lang w:val="es-MX"/>
              </w:rPr>
            </w:pPr>
            <w:r w:rsidRPr="00B9454C">
              <w:rPr>
                <w:b/>
                <w:lang w:val="es-MX"/>
              </w:rPr>
              <w:t>Viviendas / Hogares/Otras unidades diferentes a las económicas</w:t>
            </w:r>
          </w:p>
        </w:tc>
        <w:tc>
          <w:tcPr>
            <w:tcW w:w="284" w:type="dxa"/>
            <w:tcBorders>
              <w:top w:val="single" w:sz="4" w:space="0" w:color="auto"/>
              <w:bottom w:val="single" w:sz="4" w:space="0" w:color="auto"/>
            </w:tcBorders>
          </w:tcPr>
          <w:p w14:paraId="4D0C4340" w14:textId="77777777" w:rsidR="00B9454C" w:rsidRPr="00B9454C" w:rsidRDefault="00B9454C" w:rsidP="007F36BA">
            <w:pPr>
              <w:jc w:val="center"/>
              <w:rPr>
                <w:b/>
              </w:rPr>
            </w:pPr>
          </w:p>
        </w:tc>
        <w:tc>
          <w:tcPr>
            <w:tcW w:w="2268" w:type="dxa"/>
            <w:tcBorders>
              <w:top w:val="single" w:sz="4" w:space="0" w:color="auto"/>
              <w:left w:val="nil"/>
              <w:bottom w:val="single" w:sz="4" w:space="0" w:color="auto"/>
            </w:tcBorders>
          </w:tcPr>
          <w:p w14:paraId="4F31D63E" w14:textId="21701739" w:rsidR="00B9454C" w:rsidRPr="00B9454C" w:rsidRDefault="00B9454C" w:rsidP="007F36BA">
            <w:pPr>
              <w:jc w:val="center"/>
              <w:rPr>
                <w:b/>
              </w:rPr>
            </w:pPr>
            <w:r w:rsidRPr="00B9454C">
              <w:rPr>
                <w:b/>
                <w:lang w:val="es-MX"/>
              </w:rPr>
              <w:t>Unidades económicas</w:t>
            </w:r>
          </w:p>
        </w:tc>
      </w:tr>
      <w:tr w:rsidR="00B9454C" w:rsidRPr="00B9454C" w14:paraId="43E06E98" w14:textId="77777777" w:rsidTr="00B9454C">
        <w:trPr>
          <w:jc w:val="center"/>
        </w:trPr>
        <w:tc>
          <w:tcPr>
            <w:tcW w:w="1702" w:type="dxa"/>
            <w:tcBorders>
              <w:top w:val="single" w:sz="4" w:space="0" w:color="auto"/>
              <w:bottom w:val="single" w:sz="4" w:space="0" w:color="auto"/>
            </w:tcBorders>
          </w:tcPr>
          <w:p w14:paraId="61575C07" w14:textId="77777777" w:rsidR="00B9454C" w:rsidRPr="00B9454C" w:rsidRDefault="00B9454C" w:rsidP="007F36BA">
            <w:pPr>
              <w:rPr>
                <w:b/>
                <w:lang w:val="es-MX"/>
              </w:rPr>
            </w:pPr>
            <w:r w:rsidRPr="00B9454C">
              <w:rPr>
                <w:b/>
                <w:lang w:val="es-MX"/>
              </w:rPr>
              <w:t>Interpretación</w:t>
            </w:r>
          </w:p>
        </w:tc>
        <w:tc>
          <w:tcPr>
            <w:tcW w:w="283" w:type="dxa"/>
            <w:tcBorders>
              <w:top w:val="single" w:sz="4" w:space="0" w:color="auto"/>
              <w:bottom w:val="single" w:sz="4" w:space="0" w:color="auto"/>
            </w:tcBorders>
          </w:tcPr>
          <w:p w14:paraId="6F727452" w14:textId="77777777" w:rsidR="00B9454C" w:rsidRPr="00B9454C" w:rsidRDefault="00B9454C" w:rsidP="007F36BA">
            <w:pPr>
              <w:rPr>
                <w:b/>
              </w:rPr>
            </w:pPr>
          </w:p>
        </w:tc>
        <w:tc>
          <w:tcPr>
            <w:tcW w:w="1701" w:type="dxa"/>
            <w:tcBorders>
              <w:top w:val="single" w:sz="4" w:space="0" w:color="auto"/>
              <w:bottom w:val="single" w:sz="4" w:space="0" w:color="auto"/>
            </w:tcBorders>
          </w:tcPr>
          <w:p w14:paraId="14E570B1" w14:textId="77777777" w:rsidR="00B9454C" w:rsidRPr="00B9454C" w:rsidRDefault="00B9454C" w:rsidP="007F36BA">
            <w:pPr>
              <w:rPr>
                <w:b/>
                <w:lang w:val="es-MX"/>
              </w:rPr>
            </w:pPr>
            <w:r w:rsidRPr="00B9454C">
              <w:rPr>
                <w:b/>
                <w:lang w:val="es-MX"/>
              </w:rPr>
              <w:t>Semaforización</w:t>
            </w:r>
          </w:p>
        </w:tc>
        <w:tc>
          <w:tcPr>
            <w:tcW w:w="284" w:type="dxa"/>
            <w:tcBorders>
              <w:top w:val="single" w:sz="4" w:space="0" w:color="auto"/>
              <w:bottom w:val="single" w:sz="4" w:space="0" w:color="auto"/>
            </w:tcBorders>
          </w:tcPr>
          <w:p w14:paraId="4120F65D" w14:textId="77777777" w:rsidR="00B9454C" w:rsidRPr="00B9454C" w:rsidRDefault="00B9454C" w:rsidP="007F36BA"/>
        </w:tc>
        <w:tc>
          <w:tcPr>
            <w:tcW w:w="2126" w:type="dxa"/>
            <w:tcBorders>
              <w:top w:val="single" w:sz="4" w:space="0" w:color="auto"/>
              <w:bottom w:val="single" w:sz="4" w:space="0" w:color="auto"/>
            </w:tcBorders>
          </w:tcPr>
          <w:p w14:paraId="2898333D" w14:textId="58954770" w:rsidR="00B9454C" w:rsidRPr="00B9454C" w:rsidRDefault="00B9454C" w:rsidP="00F94350">
            <w:pPr>
              <w:jc w:val="center"/>
              <w:rPr>
                <w:b/>
                <w:lang w:val="es-MX"/>
              </w:rPr>
            </w:pPr>
            <w:r w:rsidRPr="00B9454C">
              <w:rPr>
                <w:b/>
                <w:lang w:val="es-MX"/>
              </w:rPr>
              <w:t>DGES / DGEGSPJ</w:t>
            </w:r>
          </w:p>
        </w:tc>
        <w:tc>
          <w:tcPr>
            <w:tcW w:w="284" w:type="dxa"/>
            <w:tcBorders>
              <w:top w:val="single" w:sz="4" w:space="0" w:color="auto"/>
              <w:bottom w:val="single" w:sz="4" w:space="0" w:color="auto"/>
            </w:tcBorders>
          </w:tcPr>
          <w:p w14:paraId="71F282C0" w14:textId="77777777" w:rsidR="00B9454C" w:rsidRPr="00B9454C" w:rsidRDefault="00B9454C" w:rsidP="007F36BA">
            <w:pPr>
              <w:jc w:val="center"/>
              <w:rPr>
                <w:b/>
              </w:rPr>
            </w:pPr>
          </w:p>
        </w:tc>
        <w:tc>
          <w:tcPr>
            <w:tcW w:w="2268" w:type="dxa"/>
            <w:tcBorders>
              <w:top w:val="single" w:sz="4" w:space="0" w:color="auto"/>
              <w:bottom w:val="single" w:sz="4" w:space="0" w:color="auto"/>
            </w:tcBorders>
          </w:tcPr>
          <w:p w14:paraId="282F9128" w14:textId="1ABA799C" w:rsidR="00B9454C" w:rsidRPr="00B9454C" w:rsidRDefault="00B9454C" w:rsidP="00F94350">
            <w:pPr>
              <w:jc w:val="center"/>
              <w:rPr>
                <w:b/>
              </w:rPr>
            </w:pPr>
            <w:r w:rsidRPr="00B9454C">
              <w:rPr>
                <w:b/>
                <w:lang w:val="es-MX"/>
              </w:rPr>
              <w:t>DGEE/ DGEGSPJ</w:t>
            </w:r>
          </w:p>
        </w:tc>
      </w:tr>
      <w:tr w:rsidR="00B9454C" w:rsidRPr="00B9454C" w14:paraId="76420B9C" w14:textId="77777777" w:rsidTr="00B9454C">
        <w:trPr>
          <w:trHeight w:val="336"/>
          <w:jc w:val="center"/>
        </w:trPr>
        <w:tc>
          <w:tcPr>
            <w:tcW w:w="1702" w:type="dxa"/>
            <w:tcBorders>
              <w:top w:val="single" w:sz="4" w:space="0" w:color="auto"/>
            </w:tcBorders>
            <w:vAlign w:val="center"/>
          </w:tcPr>
          <w:p w14:paraId="13FF8680" w14:textId="77777777" w:rsidR="00B9454C" w:rsidRPr="00B9454C" w:rsidRDefault="00B9454C" w:rsidP="007F36BA">
            <w:pPr>
              <w:rPr>
                <w:b/>
                <w:lang w:val="es-MX"/>
              </w:rPr>
            </w:pPr>
            <w:r w:rsidRPr="00B9454C">
              <w:rPr>
                <w:b/>
                <w:lang w:val="es-MX"/>
              </w:rPr>
              <w:t>Alta</w:t>
            </w:r>
          </w:p>
        </w:tc>
        <w:tc>
          <w:tcPr>
            <w:tcW w:w="283" w:type="dxa"/>
            <w:tcBorders>
              <w:top w:val="single" w:sz="4" w:space="0" w:color="auto"/>
            </w:tcBorders>
            <w:vAlign w:val="center"/>
          </w:tcPr>
          <w:p w14:paraId="4CD7A8B4" w14:textId="77777777" w:rsidR="00B9454C" w:rsidRPr="00B9454C" w:rsidRDefault="00B9454C" w:rsidP="007F36BA"/>
        </w:tc>
        <w:tc>
          <w:tcPr>
            <w:tcW w:w="1701" w:type="dxa"/>
            <w:tcBorders>
              <w:top w:val="single" w:sz="4" w:space="0" w:color="auto"/>
            </w:tcBorders>
            <w:vAlign w:val="center"/>
          </w:tcPr>
          <w:p w14:paraId="086FD0D1" w14:textId="77777777" w:rsidR="00B9454C" w:rsidRPr="00B9454C" w:rsidRDefault="00B9454C" w:rsidP="007F36BA">
            <w:r w:rsidRPr="00B9454C">
              <w:t>Blanco</w:t>
            </w:r>
          </w:p>
        </w:tc>
        <w:tc>
          <w:tcPr>
            <w:tcW w:w="284" w:type="dxa"/>
            <w:tcBorders>
              <w:top w:val="single" w:sz="4" w:space="0" w:color="auto"/>
            </w:tcBorders>
            <w:vAlign w:val="center"/>
          </w:tcPr>
          <w:p w14:paraId="44AAAA15" w14:textId="77777777" w:rsidR="00B9454C" w:rsidRPr="00B9454C" w:rsidRDefault="00B9454C" w:rsidP="007F36BA"/>
        </w:tc>
        <w:tc>
          <w:tcPr>
            <w:tcW w:w="2126" w:type="dxa"/>
            <w:tcBorders>
              <w:top w:val="single" w:sz="4" w:space="0" w:color="auto"/>
            </w:tcBorders>
            <w:vAlign w:val="center"/>
          </w:tcPr>
          <w:p w14:paraId="624BBE65" w14:textId="77777777" w:rsidR="00B9454C" w:rsidRPr="00B9454C" w:rsidRDefault="00B9454C" w:rsidP="007F36BA">
            <w:pPr>
              <w:jc w:val="center"/>
            </w:pPr>
            <w:r w:rsidRPr="00B9454C">
              <w:t>[0%, 15%)</w:t>
            </w:r>
          </w:p>
        </w:tc>
        <w:tc>
          <w:tcPr>
            <w:tcW w:w="284" w:type="dxa"/>
            <w:tcBorders>
              <w:top w:val="single" w:sz="4" w:space="0" w:color="auto"/>
            </w:tcBorders>
            <w:vAlign w:val="center"/>
          </w:tcPr>
          <w:p w14:paraId="0ED40F92" w14:textId="77777777" w:rsidR="00B9454C" w:rsidRPr="00B9454C" w:rsidRDefault="00B9454C" w:rsidP="007F36BA"/>
        </w:tc>
        <w:tc>
          <w:tcPr>
            <w:tcW w:w="2268" w:type="dxa"/>
            <w:tcBorders>
              <w:top w:val="single" w:sz="4" w:space="0" w:color="auto"/>
            </w:tcBorders>
            <w:vAlign w:val="center"/>
          </w:tcPr>
          <w:p w14:paraId="7F7CEAA0" w14:textId="71A3E2F6" w:rsidR="00B9454C" w:rsidRPr="00B9454C" w:rsidRDefault="00B9454C" w:rsidP="007F36BA">
            <w:pPr>
              <w:jc w:val="center"/>
            </w:pPr>
            <w:r w:rsidRPr="00B9454C">
              <w:t>[0%, 20%)</w:t>
            </w:r>
          </w:p>
        </w:tc>
      </w:tr>
      <w:tr w:rsidR="00B9454C" w:rsidRPr="00B9454C" w14:paraId="5B57ED65" w14:textId="77777777" w:rsidTr="00276450">
        <w:trPr>
          <w:trHeight w:val="289"/>
          <w:jc w:val="center"/>
        </w:trPr>
        <w:tc>
          <w:tcPr>
            <w:tcW w:w="1702" w:type="dxa"/>
            <w:vAlign w:val="center"/>
          </w:tcPr>
          <w:p w14:paraId="5EC459E1" w14:textId="77777777" w:rsidR="00B9454C" w:rsidRPr="00B9454C" w:rsidRDefault="00B9454C" w:rsidP="007F36BA">
            <w:pPr>
              <w:rPr>
                <w:b/>
                <w:lang w:val="es-MX"/>
              </w:rPr>
            </w:pPr>
            <w:r w:rsidRPr="00B9454C">
              <w:rPr>
                <w:b/>
                <w:lang w:val="es-MX"/>
              </w:rPr>
              <w:t>Moderada</w:t>
            </w:r>
          </w:p>
        </w:tc>
        <w:tc>
          <w:tcPr>
            <w:tcW w:w="283" w:type="dxa"/>
            <w:vAlign w:val="center"/>
          </w:tcPr>
          <w:p w14:paraId="2DB8F078" w14:textId="77777777" w:rsidR="00B9454C" w:rsidRPr="00B9454C" w:rsidRDefault="00B9454C" w:rsidP="007F36BA"/>
        </w:tc>
        <w:tc>
          <w:tcPr>
            <w:tcW w:w="1701" w:type="dxa"/>
            <w:shd w:val="clear" w:color="auto" w:fill="auto"/>
            <w:vAlign w:val="center"/>
          </w:tcPr>
          <w:p w14:paraId="2AEDFC5E" w14:textId="77777777" w:rsidR="00B9454C" w:rsidRPr="00B9454C" w:rsidRDefault="00B9454C" w:rsidP="007F36BA">
            <w:r w:rsidRPr="00B9454C">
              <w:t>Amarillo</w:t>
            </w:r>
          </w:p>
        </w:tc>
        <w:tc>
          <w:tcPr>
            <w:tcW w:w="284" w:type="dxa"/>
            <w:vAlign w:val="center"/>
          </w:tcPr>
          <w:p w14:paraId="06F774A6" w14:textId="77777777" w:rsidR="00B9454C" w:rsidRPr="00B9454C" w:rsidRDefault="00B9454C" w:rsidP="007F36BA"/>
        </w:tc>
        <w:tc>
          <w:tcPr>
            <w:tcW w:w="2126" w:type="dxa"/>
            <w:vAlign w:val="center"/>
          </w:tcPr>
          <w:p w14:paraId="5E42B741" w14:textId="77777777" w:rsidR="00B9454C" w:rsidRPr="00B9454C" w:rsidRDefault="00B9454C" w:rsidP="007F36BA">
            <w:pPr>
              <w:jc w:val="center"/>
            </w:pPr>
            <w:r w:rsidRPr="00B9454C">
              <w:rPr>
                <w:lang w:val="es-MX"/>
              </w:rPr>
              <w:t>[15%, 30%)</w:t>
            </w:r>
          </w:p>
        </w:tc>
        <w:tc>
          <w:tcPr>
            <w:tcW w:w="284" w:type="dxa"/>
            <w:vAlign w:val="center"/>
          </w:tcPr>
          <w:p w14:paraId="407D263C" w14:textId="77777777" w:rsidR="00B9454C" w:rsidRPr="00B9454C" w:rsidRDefault="00B9454C" w:rsidP="007F36BA"/>
        </w:tc>
        <w:tc>
          <w:tcPr>
            <w:tcW w:w="2268" w:type="dxa"/>
            <w:vAlign w:val="center"/>
          </w:tcPr>
          <w:p w14:paraId="0FD0E117" w14:textId="143A568B" w:rsidR="00B9454C" w:rsidRPr="00B9454C" w:rsidRDefault="00B9454C" w:rsidP="007F36BA">
            <w:pPr>
              <w:jc w:val="center"/>
            </w:pPr>
            <w:r w:rsidRPr="00B9454C">
              <w:rPr>
                <w:lang w:val="es-MX"/>
              </w:rPr>
              <w:t>[20%, 30%)</w:t>
            </w:r>
          </w:p>
        </w:tc>
      </w:tr>
      <w:tr w:rsidR="00B9454C" w:rsidRPr="00B9454C" w14:paraId="05F97DEB" w14:textId="77777777" w:rsidTr="00276450">
        <w:trPr>
          <w:trHeight w:val="280"/>
          <w:jc w:val="center"/>
        </w:trPr>
        <w:tc>
          <w:tcPr>
            <w:tcW w:w="1702" w:type="dxa"/>
            <w:tcBorders>
              <w:bottom w:val="single" w:sz="4" w:space="0" w:color="auto"/>
            </w:tcBorders>
            <w:vAlign w:val="center"/>
          </w:tcPr>
          <w:p w14:paraId="573B24D1" w14:textId="77777777" w:rsidR="00B9454C" w:rsidRPr="00B9454C" w:rsidRDefault="00B9454C" w:rsidP="007F36BA">
            <w:pPr>
              <w:rPr>
                <w:b/>
                <w:lang w:val="es-MX"/>
              </w:rPr>
            </w:pPr>
            <w:r w:rsidRPr="00B9454C">
              <w:rPr>
                <w:b/>
                <w:lang w:val="es-MX"/>
              </w:rPr>
              <w:t>Baja</w:t>
            </w:r>
          </w:p>
        </w:tc>
        <w:tc>
          <w:tcPr>
            <w:tcW w:w="283" w:type="dxa"/>
            <w:tcBorders>
              <w:bottom w:val="single" w:sz="4" w:space="0" w:color="auto"/>
            </w:tcBorders>
            <w:vAlign w:val="center"/>
          </w:tcPr>
          <w:p w14:paraId="130039B3" w14:textId="77777777" w:rsidR="00B9454C" w:rsidRPr="00B9454C" w:rsidRDefault="00B9454C" w:rsidP="007F36BA"/>
        </w:tc>
        <w:tc>
          <w:tcPr>
            <w:tcW w:w="1701" w:type="dxa"/>
            <w:tcBorders>
              <w:bottom w:val="single" w:sz="4" w:space="0" w:color="auto"/>
            </w:tcBorders>
            <w:shd w:val="clear" w:color="auto" w:fill="auto"/>
            <w:vAlign w:val="center"/>
          </w:tcPr>
          <w:p w14:paraId="0AB23E5B" w14:textId="77777777" w:rsidR="00B9454C" w:rsidRPr="00B9454C" w:rsidRDefault="00B9454C" w:rsidP="007F36BA">
            <w:r w:rsidRPr="00B9454C">
              <w:t>Naranja oscuro</w:t>
            </w:r>
          </w:p>
        </w:tc>
        <w:tc>
          <w:tcPr>
            <w:tcW w:w="284" w:type="dxa"/>
            <w:tcBorders>
              <w:bottom w:val="single" w:sz="4" w:space="0" w:color="auto"/>
            </w:tcBorders>
            <w:vAlign w:val="center"/>
          </w:tcPr>
          <w:p w14:paraId="730ED09E" w14:textId="77777777" w:rsidR="00B9454C" w:rsidRPr="00B9454C" w:rsidRDefault="00B9454C" w:rsidP="007F36BA"/>
        </w:tc>
        <w:tc>
          <w:tcPr>
            <w:tcW w:w="2126" w:type="dxa"/>
            <w:tcBorders>
              <w:bottom w:val="single" w:sz="4" w:space="0" w:color="auto"/>
            </w:tcBorders>
            <w:vAlign w:val="center"/>
          </w:tcPr>
          <w:p w14:paraId="1A663A02" w14:textId="77777777" w:rsidR="00B9454C" w:rsidRPr="00B9454C" w:rsidRDefault="00B9454C" w:rsidP="007F36BA">
            <w:pPr>
              <w:jc w:val="center"/>
              <w:rPr>
                <w:lang w:val="es-MX"/>
              </w:rPr>
            </w:pPr>
            <w:r w:rsidRPr="00B9454C">
              <w:rPr>
                <w:lang w:val="es-MX"/>
              </w:rPr>
              <w:t>&gt;= 30%</w:t>
            </w:r>
          </w:p>
        </w:tc>
        <w:tc>
          <w:tcPr>
            <w:tcW w:w="284" w:type="dxa"/>
            <w:tcBorders>
              <w:bottom w:val="single" w:sz="4" w:space="0" w:color="auto"/>
            </w:tcBorders>
            <w:vAlign w:val="center"/>
          </w:tcPr>
          <w:p w14:paraId="5ECC14E6" w14:textId="77777777" w:rsidR="00B9454C" w:rsidRPr="00B9454C" w:rsidRDefault="00B9454C" w:rsidP="007F36BA"/>
        </w:tc>
        <w:tc>
          <w:tcPr>
            <w:tcW w:w="2268" w:type="dxa"/>
            <w:tcBorders>
              <w:bottom w:val="single" w:sz="4" w:space="0" w:color="auto"/>
            </w:tcBorders>
            <w:vAlign w:val="center"/>
          </w:tcPr>
          <w:p w14:paraId="08321FC5" w14:textId="4792B597" w:rsidR="00B9454C" w:rsidRPr="00B9454C" w:rsidRDefault="00B9454C" w:rsidP="007F36BA">
            <w:pPr>
              <w:jc w:val="center"/>
            </w:pPr>
            <w:r w:rsidRPr="00B9454C">
              <w:rPr>
                <w:lang w:val="es-MX"/>
              </w:rPr>
              <w:t>&gt;= 30%</w:t>
            </w:r>
          </w:p>
        </w:tc>
      </w:tr>
      <w:tr w:rsidR="00B9454C" w:rsidRPr="00B9454C" w14:paraId="11DB64C1" w14:textId="77777777" w:rsidTr="00276450">
        <w:trPr>
          <w:trHeight w:val="280"/>
          <w:jc w:val="center"/>
        </w:trPr>
        <w:tc>
          <w:tcPr>
            <w:tcW w:w="8648" w:type="dxa"/>
            <w:gridSpan w:val="7"/>
            <w:tcBorders>
              <w:top w:val="single" w:sz="4" w:space="0" w:color="auto"/>
              <w:bottom w:val="single" w:sz="4" w:space="0" w:color="auto"/>
            </w:tcBorders>
          </w:tcPr>
          <w:p w14:paraId="5741C97B" w14:textId="6874BF42" w:rsidR="00B9454C" w:rsidRPr="00B9454C" w:rsidRDefault="00B9454C" w:rsidP="0002614C">
            <w:pPr>
              <w:jc w:val="both"/>
            </w:pPr>
            <w:r w:rsidRPr="00B9454C">
              <w:rPr>
                <w:b/>
              </w:rPr>
              <w:t>Especificaciones:</w:t>
            </w:r>
            <w:r w:rsidRPr="00B9454C">
              <w:t xml:space="preserve"> </w:t>
            </w:r>
            <w:r w:rsidR="00EC0D89">
              <w:t>En</w:t>
            </w:r>
            <w:r w:rsidR="0002614C">
              <w:t xml:space="preserve"> los tabulados de resultados </w:t>
            </w:r>
            <w:r w:rsidRPr="00B9454C">
              <w:t xml:space="preserve">se </w:t>
            </w:r>
            <w:r w:rsidR="0002614C">
              <w:t>incluir</w:t>
            </w:r>
            <w:r w:rsidRPr="00B9454C">
              <w:t>á</w:t>
            </w:r>
            <w:r w:rsidR="0002614C">
              <w:t>n</w:t>
            </w:r>
            <w:r w:rsidRPr="00B9454C">
              <w:t xml:space="preserve"> l</w:t>
            </w:r>
            <w:r w:rsidR="00EC0D89">
              <w:t>os</w:t>
            </w:r>
            <w:r w:rsidRPr="00B9454C">
              <w:t xml:space="preserve"> valor</w:t>
            </w:r>
            <w:r w:rsidR="00EC0D89">
              <w:t>es</w:t>
            </w:r>
            <w:r w:rsidRPr="00B9454C">
              <w:t xml:space="preserve"> del CV, el error estándar y el intervalo de confianza. La semaforización se acompañará de un texto homologado para la descripción del CV y para la interpretación de la precisión baja basado en la propuesta presentada al Comité. Adicionalmente, se homologarán los colores utilizados para la semaforización conforme lo establezca la DGVSPI.</w:t>
            </w:r>
          </w:p>
        </w:tc>
      </w:tr>
    </w:tbl>
    <w:p w14:paraId="3B953A97" w14:textId="1414EA4F" w:rsidR="00F45F11" w:rsidRPr="0054566C" w:rsidRDefault="00EC4511" w:rsidP="00F92178">
      <w:pPr>
        <w:spacing w:before="240" w:after="200" w:line="276" w:lineRule="auto"/>
        <w:jc w:val="both"/>
      </w:pPr>
      <w:r w:rsidRPr="00E9667D">
        <w:rPr>
          <w:bCs/>
        </w:rPr>
        <w:t xml:space="preserve">Con respecto a la </w:t>
      </w:r>
      <w:r w:rsidR="0054566C" w:rsidRPr="00E9667D">
        <w:rPr>
          <w:bCs/>
        </w:rPr>
        <w:t xml:space="preserve">revisión </w:t>
      </w:r>
      <w:r w:rsidR="00E9667D" w:rsidRPr="00E9667D">
        <w:rPr>
          <w:bCs/>
        </w:rPr>
        <w:t xml:space="preserve">ampliada </w:t>
      </w:r>
      <w:r w:rsidR="0054566C" w:rsidRPr="00E9667D">
        <w:rPr>
          <w:bCs/>
        </w:rPr>
        <w:t xml:space="preserve">de la experiencia internacional </w:t>
      </w:r>
      <w:r w:rsidR="00E9667D" w:rsidRPr="00E9667D">
        <w:rPr>
          <w:bCs/>
        </w:rPr>
        <w:t xml:space="preserve">sobre </w:t>
      </w:r>
      <w:r w:rsidR="0054566C" w:rsidRPr="00E9667D">
        <w:rPr>
          <w:bCs/>
        </w:rPr>
        <w:t xml:space="preserve">el uso de la </w:t>
      </w:r>
      <w:r w:rsidRPr="00E9667D">
        <w:rPr>
          <w:bCs/>
        </w:rPr>
        <w:t>cobertura de la variable de diseño</w:t>
      </w:r>
      <w:r w:rsidR="0054566C" w:rsidRPr="00E9667D">
        <w:rPr>
          <w:bCs/>
        </w:rPr>
        <w:t xml:space="preserve"> en muestreos no probabilísticos</w:t>
      </w:r>
      <w:r w:rsidRPr="00E9667D">
        <w:rPr>
          <w:bCs/>
        </w:rPr>
        <w:t xml:space="preserve">, </w:t>
      </w:r>
      <w:r w:rsidRPr="00E9667D">
        <w:t>Enrique de Alba Guerra</w:t>
      </w:r>
      <w:r w:rsidR="0054566C" w:rsidRPr="00E9667D">
        <w:t xml:space="preserve"> mencionó que la DGEE </w:t>
      </w:r>
      <w:r w:rsidR="00645DC8">
        <w:t>presentó al Grupo de trabajo</w:t>
      </w:r>
      <w:r w:rsidR="0054566C" w:rsidRPr="00E9667D">
        <w:t xml:space="preserve"> </w:t>
      </w:r>
      <w:r w:rsidR="00645DC8">
        <w:t xml:space="preserve">los resultados del </w:t>
      </w:r>
      <w:r w:rsidR="0054566C" w:rsidRPr="00E9667D">
        <w:t xml:space="preserve">análisis </w:t>
      </w:r>
      <w:r w:rsidR="00645DC8">
        <w:t xml:space="preserve">considerando un universo de países </w:t>
      </w:r>
      <w:r w:rsidR="0054566C" w:rsidRPr="00E9667D">
        <w:t>similar</w:t>
      </w:r>
      <w:r w:rsidR="00645DC8">
        <w:t xml:space="preserve"> al del CV</w:t>
      </w:r>
      <w:r w:rsidR="0054566C" w:rsidRPr="00E9667D">
        <w:t xml:space="preserve">. Sin embargo, se encontraron pocos casos </w:t>
      </w:r>
      <w:r w:rsidR="00645DC8">
        <w:t>del uso de</w:t>
      </w:r>
      <w:r w:rsidR="000F3858">
        <w:t xml:space="preserve"> este</w:t>
      </w:r>
      <w:r w:rsidR="00645DC8">
        <w:t xml:space="preserve"> indicador </w:t>
      </w:r>
      <w:r w:rsidR="0054566C" w:rsidRPr="00E9667D">
        <w:t xml:space="preserve">ya que la mayoría de los países utilizan muestreo probabilístico o registros administrativos para generar estadísticas económicas. Con base en la revisión, </w:t>
      </w:r>
      <w:r w:rsidR="00457752">
        <w:t>el Grupo de trabajo</w:t>
      </w:r>
      <w:r w:rsidR="0054566C" w:rsidRPr="00E9667D">
        <w:t xml:space="preserve"> propuso m</w:t>
      </w:r>
      <w:r w:rsidR="006D477E" w:rsidRPr="00E9667D">
        <w:t>antener los tres niveles actuales de semaforización</w:t>
      </w:r>
      <w:r w:rsidR="00645DC8">
        <w:t xml:space="preserve">, </w:t>
      </w:r>
      <w:r w:rsidR="00174504" w:rsidRPr="00174504">
        <w:t xml:space="preserve">ya que coinciden </w:t>
      </w:r>
      <w:r w:rsidR="00174504">
        <w:t xml:space="preserve">en términos generales </w:t>
      </w:r>
      <w:r w:rsidR="00174504" w:rsidRPr="00174504">
        <w:t>con los resultados de la investigación</w:t>
      </w:r>
      <w:r w:rsidR="00174504" w:rsidRPr="00CD26A0">
        <w:t xml:space="preserve">, </w:t>
      </w:r>
      <w:r w:rsidR="00645DC8">
        <w:t>utilizando la misma terminología y colorimetría que en el CV</w:t>
      </w:r>
      <w:r w:rsidR="006D477E" w:rsidRPr="00E9667D">
        <w:t>:</w:t>
      </w:r>
      <w:r w:rsidR="006D477E" w:rsidRPr="0054566C">
        <w:t xml:space="preserve"> </w:t>
      </w:r>
    </w:p>
    <w:p w14:paraId="66F5972F" w14:textId="77777777" w:rsidR="00F45F11" w:rsidRPr="0054566C" w:rsidRDefault="006D477E" w:rsidP="0054566C">
      <w:pPr>
        <w:numPr>
          <w:ilvl w:val="1"/>
          <w:numId w:val="15"/>
        </w:numPr>
        <w:spacing w:after="200" w:line="276" w:lineRule="auto"/>
        <w:jc w:val="both"/>
      </w:pPr>
      <w:r w:rsidRPr="0054566C">
        <w:t>Cobertura alta (mayor a 80%)</w:t>
      </w:r>
    </w:p>
    <w:p w14:paraId="76B5C83A" w14:textId="77777777" w:rsidR="00F45F11" w:rsidRPr="0054566C" w:rsidRDefault="006D477E" w:rsidP="0054566C">
      <w:pPr>
        <w:numPr>
          <w:ilvl w:val="1"/>
          <w:numId w:val="15"/>
        </w:numPr>
        <w:spacing w:after="200" w:line="276" w:lineRule="auto"/>
        <w:jc w:val="both"/>
      </w:pPr>
      <w:r w:rsidRPr="0054566C">
        <w:t>Cobertura moderada (entre 60% y 80%)</w:t>
      </w:r>
    </w:p>
    <w:p w14:paraId="36CF5753" w14:textId="77777777" w:rsidR="00F45F11" w:rsidRPr="0054566C" w:rsidRDefault="006D477E" w:rsidP="0054566C">
      <w:pPr>
        <w:numPr>
          <w:ilvl w:val="1"/>
          <w:numId w:val="15"/>
        </w:numPr>
        <w:spacing w:after="200" w:line="276" w:lineRule="auto"/>
        <w:jc w:val="both"/>
      </w:pPr>
      <w:r w:rsidRPr="0054566C">
        <w:t>Cobertura baja (menor a 60%)</w:t>
      </w:r>
    </w:p>
    <w:p w14:paraId="24E58C6C" w14:textId="6FF35136" w:rsidR="0054566C" w:rsidRPr="000F3858" w:rsidRDefault="008D6B12" w:rsidP="0054566C">
      <w:pPr>
        <w:spacing w:after="200" w:line="276" w:lineRule="auto"/>
        <w:jc w:val="both"/>
        <w:rPr>
          <w:bCs/>
        </w:rPr>
      </w:pPr>
      <w:r>
        <w:rPr>
          <w:bCs/>
        </w:rPr>
        <w:t xml:space="preserve">En este caso, </w:t>
      </w:r>
      <w:r w:rsidR="00457752">
        <w:rPr>
          <w:bCs/>
        </w:rPr>
        <w:t>el Grupo de trabajo</w:t>
      </w:r>
      <w:r w:rsidR="0054566C" w:rsidRPr="0054566C">
        <w:rPr>
          <w:bCs/>
        </w:rPr>
        <w:t xml:space="preserve"> </w:t>
      </w:r>
      <w:r>
        <w:rPr>
          <w:bCs/>
        </w:rPr>
        <w:t>prop</w:t>
      </w:r>
      <w:r w:rsidR="00457752">
        <w:rPr>
          <w:bCs/>
        </w:rPr>
        <w:t>uso</w:t>
      </w:r>
      <w:r>
        <w:rPr>
          <w:bCs/>
        </w:rPr>
        <w:t xml:space="preserve"> </w:t>
      </w:r>
      <w:r w:rsidR="00E72DD8">
        <w:rPr>
          <w:bCs/>
        </w:rPr>
        <w:t xml:space="preserve">también </w:t>
      </w:r>
      <w:r w:rsidR="0054566C" w:rsidRPr="0054566C">
        <w:rPr>
          <w:bCs/>
        </w:rPr>
        <w:t>alertar al usuario en caso de baja cobertura, es decir, cuando ésta sea menor a 60%, con el siguiente texto:</w:t>
      </w:r>
      <w:r w:rsidR="0054566C">
        <w:rPr>
          <w:bCs/>
        </w:rPr>
        <w:t xml:space="preserve"> </w:t>
      </w:r>
      <w:r w:rsidR="0054566C" w:rsidRPr="0054566C">
        <w:rPr>
          <w:bCs/>
          <w:i/>
          <w:iCs/>
        </w:rPr>
        <w:t>Una cobertura baja requiere un uso cauteloso de la información.</w:t>
      </w:r>
      <w:r w:rsidR="000F3858">
        <w:rPr>
          <w:bCs/>
          <w:i/>
          <w:iCs/>
        </w:rPr>
        <w:t xml:space="preserve"> </w:t>
      </w:r>
      <w:r w:rsidR="000F3858">
        <w:rPr>
          <w:bCs/>
          <w:iCs/>
        </w:rPr>
        <w:t xml:space="preserve">Al respecto, el Presidente </w:t>
      </w:r>
      <w:r w:rsidR="00872612">
        <w:rPr>
          <w:bCs/>
          <w:iCs/>
        </w:rPr>
        <w:t xml:space="preserve">del Comité </w:t>
      </w:r>
      <w:r w:rsidR="000F3858">
        <w:rPr>
          <w:bCs/>
          <w:iCs/>
        </w:rPr>
        <w:t>aclaró que este indicador s</w:t>
      </w:r>
      <w:r w:rsidR="007F36BA">
        <w:rPr>
          <w:bCs/>
          <w:iCs/>
        </w:rPr>
        <w:t>ó</w:t>
      </w:r>
      <w:r w:rsidR="000F3858">
        <w:rPr>
          <w:bCs/>
          <w:iCs/>
        </w:rPr>
        <w:t>lo se aplicará a los proyectos con muestreo no probabilístico en unidades económicas.</w:t>
      </w:r>
    </w:p>
    <w:p w14:paraId="6BCB3A1E" w14:textId="45F0D80F" w:rsidR="00D976A3" w:rsidRDefault="00806A78" w:rsidP="008F01A7">
      <w:pPr>
        <w:spacing w:after="200" w:line="276" w:lineRule="auto"/>
        <w:jc w:val="both"/>
      </w:pPr>
      <w:r>
        <w:t>M</w:t>
      </w:r>
      <w:r w:rsidR="008F01A7" w:rsidRPr="000579E0">
        <w:t xml:space="preserve">ediante el acuerdo </w:t>
      </w:r>
      <w:r w:rsidR="008F01A7" w:rsidRPr="00C25F3B">
        <w:rPr>
          <w:u w:val="single"/>
        </w:rPr>
        <w:t>CAC-00</w:t>
      </w:r>
      <w:r w:rsidR="00360BBA">
        <w:rPr>
          <w:u w:val="single"/>
        </w:rPr>
        <w:t>7</w:t>
      </w:r>
      <w:r w:rsidR="008F01A7" w:rsidRPr="00C25F3B">
        <w:rPr>
          <w:u w:val="single"/>
        </w:rPr>
        <w:t>/0</w:t>
      </w:r>
      <w:r w:rsidR="00773641">
        <w:rPr>
          <w:u w:val="single"/>
        </w:rPr>
        <w:t>1</w:t>
      </w:r>
      <w:r w:rsidR="008F01A7" w:rsidRPr="00C25F3B">
        <w:rPr>
          <w:u w:val="single"/>
        </w:rPr>
        <w:t>/201</w:t>
      </w:r>
      <w:r w:rsidR="00773641">
        <w:rPr>
          <w:u w:val="single"/>
        </w:rPr>
        <w:t>8</w:t>
      </w:r>
      <w:r w:rsidR="008F01A7" w:rsidRPr="000579E0">
        <w:t>, el Comité aprobó por unanimidad</w:t>
      </w:r>
      <w:r w:rsidR="007F36BA">
        <w:t xml:space="preserve"> de votos de sus integrantes presentes,</w:t>
      </w:r>
      <w:r w:rsidR="008F01A7">
        <w:t xml:space="preserve"> </w:t>
      </w:r>
      <w:r w:rsidR="00773641">
        <w:t xml:space="preserve">los siguientes umbrales </w:t>
      </w:r>
      <w:r w:rsidR="00276450">
        <w:t xml:space="preserve">y especificaciones </w:t>
      </w:r>
      <w:r w:rsidR="00773641">
        <w:t>para la publicación en los tabulados de la cob</w:t>
      </w:r>
      <w:r w:rsidR="00D976A3">
        <w:t>ertura de la variable de diseño:</w:t>
      </w:r>
    </w:p>
    <w:p w14:paraId="193D0627" w14:textId="0D4534D8" w:rsidR="00590A1B" w:rsidRPr="002C60C6" w:rsidRDefault="00590A1B" w:rsidP="00590A1B">
      <w:pPr>
        <w:spacing w:after="0" w:line="276" w:lineRule="auto"/>
        <w:jc w:val="center"/>
        <w:rPr>
          <w:b/>
        </w:rPr>
      </w:pPr>
      <w:r w:rsidRPr="002C60C6">
        <w:rPr>
          <w:b/>
        </w:rPr>
        <w:lastRenderedPageBreak/>
        <w:t>Umbrales para el reporte de</w:t>
      </w:r>
      <w:r>
        <w:rPr>
          <w:b/>
        </w:rPr>
        <w:t xml:space="preserve"> </w:t>
      </w:r>
      <w:r w:rsidRPr="002C60C6">
        <w:rPr>
          <w:b/>
        </w:rPr>
        <w:t>l</w:t>
      </w:r>
      <w:r>
        <w:rPr>
          <w:b/>
        </w:rPr>
        <w:t>a</w:t>
      </w:r>
      <w:r w:rsidRPr="002C60C6">
        <w:rPr>
          <w:b/>
        </w:rPr>
        <w:t xml:space="preserve"> </w:t>
      </w:r>
      <w:r>
        <w:rPr>
          <w:b/>
        </w:rPr>
        <w:t>cobertura de la variable de diseño</w:t>
      </w:r>
      <w:r w:rsidR="00276450">
        <w:rPr>
          <w:b/>
        </w:rPr>
        <w:t xml:space="preserve"> para los proyectos con muestreo no probabilístico</w:t>
      </w:r>
    </w:p>
    <w:tbl>
      <w:tblPr>
        <w:tblStyle w:val="Tablaconcuadrcula"/>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4"/>
        <w:gridCol w:w="1701"/>
        <w:gridCol w:w="425"/>
        <w:gridCol w:w="4394"/>
      </w:tblGrid>
      <w:tr w:rsidR="00590A1B" w:rsidRPr="00276450" w14:paraId="368D4FAC" w14:textId="77777777" w:rsidTr="00276450">
        <w:trPr>
          <w:jc w:val="center"/>
        </w:trPr>
        <w:tc>
          <w:tcPr>
            <w:tcW w:w="1701" w:type="dxa"/>
            <w:tcBorders>
              <w:top w:val="single" w:sz="4" w:space="0" w:color="auto"/>
              <w:bottom w:val="single" w:sz="4" w:space="0" w:color="auto"/>
            </w:tcBorders>
          </w:tcPr>
          <w:p w14:paraId="5521C8EE" w14:textId="77777777" w:rsidR="00590A1B" w:rsidRPr="00276450" w:rsidRDefault="00590A1B" w:rsidP="009A7765"/>
        </w:tc>
        <w:tc>
          <w:tcPr>
            <w:tcW w:w="284" w:type="dxa"/>
            <w:tcBorders>
              <w:top w:val="single" w:sz="4" w:space="0" w:color="auto"/>
              <w:bottom w:val="single" w:sz="4" w:space="0" w:color="auto"/>
            </w:tcBorders>
          </w:tcPr>
          <w:p w14:paraId="0C26263C" w14:textId="77777777" w:rsidR="00590A1B" w:rsidRPr="00276450" w:rsidRDefault="00590A1B" w:rsidP="009A7765"/>
        </w:tc>
        <w:tc>
          <w:tcPr>
            <w:tcW w:w="1701" w:type="dxa"/>
            <w:tcBorders>
              <w:top w:val="single" w:sz="4" w:space="0" w:color="auto"/>
              <w:bottom w:val="single" w:sz="4" w:space="0" w:color="auto"/>
            </w:tcBorders>
          </w:tcPr>
          <w:p w14:paraId="2E95821F" w14:textId="77777777" w:rsidR="00590A1B" w:rsidRPr="00276450" w:rsidRDefault="00590A1B" w:rsidP="009A7765"/>
        </w:tc>
        <w:tc>
          <w:tcPr>
            <w:tcW w:w="425" w:type="dxa"/>
            <w:tcBorders>
              <w:top w:val="single" w:sz="4" w:space="0" w:color="auto"/>
              <w:bottom w:val="single" w:sz="4" w:space="0" w:color="auto"/>
            </w:tcBorders>
          </w:tcPr>
          <w:p w14:paraId="38ADAD30" w14:textId="77777777" w:rsidR="00590A1B" w:rsidRPr="00276450" w:rsidRDefault="00590A1B" w:rsidP="009A7765"/>
        </w:tc>
        <w:tc>
          <w:tcPr>
            <w:tcW w:w="4394" w:type="dxa"/>
            <w:tcBorders>
              <w:top w:val="single" w:sz="4" w:space="0" w:color="auto"/>
              <w:bottom w:val="single" w:sz="4" w:space="0" w:color="auto"/>
            </w:tcBorders>
          </w:tcPr>
          <w:p w14:paraId="79D9E0AD" w14:textId="128E20AA" w:rsidR="00590A1B" w:rsidRPr="00276450" w:rsidRDefault="00590A1B" w:rsidP="009A7765">
            <w:pPr>
              <w:jc w:val="center"/>
              <w:rPr>
                <w:b/>
                <w:lang w:val="es-MX"/>
              </w:rPr>
            </w:pPr>
            <w:r w:rsidRPr="00276450">
              <w:rPr>
                <w:b/>
                <w:lang w:val="es-MX"/>
              </w:rPr>
              <w:t>Unidad de observación</w:t>
            </w:r>
            <w:r w:rsidR="005C1E32" w:rsidRPr="00276450">
              <w:rPr>
                <w:b/>
                <w:lang w:val="es-MX"/>
              </w:rPr>
              <w:t>: Unidades económicas</w:t>
            </w:r>
          </w:p>
        </w:tc>
      </w:tr>
      <w:tr w:rsidR="00590A1B" w:rsidRPr="00276450" w14:paraId="095E7474" w14:textId="77777777" w:rsidTr="00276450">
        <w:trPr>
          <w:jc w:val="center"/>
        </w:trPr>
        <w:tc>
          <w:tcPr>
            <w:tcW w:w="1701" w:type="dxa"/>
            <w:tcBorders>
              <w:top w:val="single" w:sz="4" w:space="0" w:color="auto"/>
              <w:bottom w:val="single" w:sz="4" w:space="0" w:color="auto"/>
            </w:tcBorders>
          </w:tcPr>
          <w:p w14:paraId="4B89AD59" w14:textId="77777777" w:rsidR="00590A1B" w:rsidRPr="00276450" w:rsidRDefault="00590A1B" w:rsidP="009A7765">
            <w:pPr>
              <w:rPr>
                <w:b/>
                <w:lang w:val="es-MX"/>
              </w:rPr>
            </w:pPr>
            <w:r w:rsidRPr="00276450">
              <w:rPr>
                <w:b/>
                <w:lang w:val="es-MX"/>
              </w:rPr>
              <w:t>Interpretación</w:t>
            </w:r>
          </w:p>
        </w:tc>
        <w:tc>
          <w:tcPr>
            <w:tcW w:w="284" w:type="dxa"/>
            <w:tcBorders>
              <w:top w:val="single" w:sz="4" w:space="0" w:color="auto"/>
              <w:bottom w:val="single" w:sz="4" w:space="0" w:color="auto"/>
            </w:tcBorders>
          </w:tcPr>
          <w:p w14:paraId="7BCBFB75" w14:textId="77777777" w:rsidR="00590A1B" w:rsidRPr="00276450" w:rsidRDefault="00590A1B" w:rsidP="009A7765">
            <w:pPr>
              <w:rPr>
                <w:b/>
              </w:rPr>
            </w:pPr>
          </w:p>
        </w:tc>
        <w:tc>
          <w:tcPr>
            <w:tcW w:w="1701" w:type="dxa"/>
            <w:tcBorders>
              <w:top w:val="single" w:sz="4" w:space="0" w:color="auto"/>
              <w:bottom w:val="single" w:sz="4" w:space="0" w:color="auto"/>
            </w:tcBorders>
          </w:tcPr>
          <w:p w14:paraId="5B7AA652" w14:textId="77777777" w:rsidR="00590A1B" w:rsidRPr="00276450" w:rsidRDefault="00590A1B" w:rsidP="009A7765">
            <w:pPr>
              <w:rPr>
                <w:b/>
                <w:lang w:val="es-MX"/>
              </w:rPr>
            </w:pPr>
            <w:r w:rsidRPr="00276450">
              <w:rPr>
                <w:b/>
                <w:lang w:val="es-MX"/>
              </w:rPr>
              <w:t>Semaforización</w:t>
            </w:r>
          </w:p>
        </w:tc>
        <w:tc>
          <w:tcPr>
            <w:tcW w:w="425" w:type="dxa"/>
            <w:tcBorders>
              <w:top w:val="single" w:sz="4" w:space="0" w:color="auto"/>
              <w:bottom w:val="single" w:sz="4" w:space="0" w:color="auto"/>
            </w:tcBorders>
          </w:tcPr>
          <w:p w14:paraId="0B4B8A82" w14:textId="77777777" w:rsidR="00590A1B" w:rsidRPr="00276450" w:rsidRDefault="00590A1B" w:rsidP="009A7765"/>
        </w:tc>
        <w:tc>
          <w:tcPr>
            <w:tcW w:w="4394" w:type="dxa"/>
            <w:tcBorders>
              <w:top w:val="single" w:sz="4" w:space="0" w:color="auto"/>
              <w:bottom w:val="single" w:sz="4" w:space="0" w:color="auto"/>
            </w:tcBorders>
          </w:tcPr>
          <w:p w14:paraId="28F991E3" w14:textId="0863F60D" w:rsidR="00590A1B" w:rsidRPr="00276450" w:rsidRDefault="00590A1B" w:rsidP="009A7765">
            <w:pPr>
              <w:jc w:val="center"/>
              <w:rPr>
                <w:b/>
              </w:rPr>
            </w:pPr>
            <w:r w:rsidRPr="00276450">
              <w:rPr>
                <w:b/>
                <w:lang w:val="es-MX"/>
              </w:rPr>
              <w:t>DGEE</w:t>
            </w:r>
          </w:p>
        </w:tc>
      </w:tr>
      <w:tr w:rsidR="00590A1B" w:rsidRPr="00276450" w14:paraId="4794F2D8" w14:textId="77777777" w:rsidTr="00276450">
        <w:trPr>
          <w:trHeight w:val="336"/>
          <w:jc w:val="center"/>
        </w:trPr>
        <w:tc>
          <w:tcPr>
            <w:tcW w:w="1701" w:type="dxa"/>
            <w:tcBorders>
              <w:top w:val="single" w:sz="4" w:space="0" w:color="auto"/>
            </w:tcBorders>
            <w:vAlign w:val="center"/>
          </w:tcPr>
          <w:p w14:paraId="07A64875" w14:textId="77777777" w:rsidR="00590A1B" w:rsidRPr="00276450" w:rsidRDefault="00590A1B" w:rsidP="009A7765">
            <w:pPr>
              <w:rPr>
                <w:b/>
                <w:lang w:val="es-MX"/>
              </w:rPr>
            </w:pPr>
            <w:r w:rsidRPr="00276450">
              <w:rPr>
                <w:b/>
                <w:lang w:val="es-MX"/>
              </w:rPr>
              <w:t>Alta</w:t>
            </w:r>
          </w:p>
        </w:tc>
        <w:tc>
          <w:tcPr>
            <w:tcW w:w="284" w:type="dxa"/>
            <w:tcBorders>
              <w:top w:val="single" w:sz="4" w:space="0" w:color="auto"/>
            </w:tcBorders>
            <w:vAlign w:val="center"/>
          </w:tcPr>
          <w:p w14:paraId="11365A78" w14:textId="77777777" w:rsidR="00590A1B" w:rsidRPr="00276450" w:rsidRDefault="00590A1B" w:rsidP="009A7765"/>
        </w:tc>
        <w:tc>
          <w:tcPr>
            <w:tcW w:w="1701" w:type="dxa"/>
            <w:tcBorders>
              <w:top w:val="single" w:sz="4" w:space="0" w:color="auto"/>
            </w:tcBorders>
            <w:vAlign w:val="center"/>
          </w:tcPr>
          <w:p w14:paraId="6D395647" w14:textId="77777777" w:rsidR="00590A1B" w:rsidRPr="00276450" w:rsidRDefault="00590A1B" w:rsidP="009A7765">
            <w:r w:rsidRPr="00276450">
              <w:t>Blanco</w:t>
            </w:r>
          </w:p>
        </w:tc>
        <w:tc>
          <w:tcPr>
            <w:tcW w:w="425" w:type="dxa"/>
            <w:tcBorders>
              <w:top w:val="single" w:sz="4" w:space="0" w:color="auto"/>
            </w:tcBorders>
            <w:vAlign w:val="center"/>
          </w:tcPr>
          <w:p w14:paraId="4BAFD3D5" w14:textId="77777777" w:rsidR="00590A1B" w:rsidRPr="00276450" w:rsidRDefault="00590A1B" w:rsidP="009A7765"/>
        </w:tc>
        <w:tc>
          <w:tcPr>
            <w:tcW w:w="4394" w:type="dxa"/>
            <w:tcBorders>
              <w:top w:val="single" w:sz="4" w:space="0" w:color="auto"/>
            </w:tcBorders>
            <w:vAlign w:val="center"/>
          </w:tcPr>
          <w:p w14:paraId="0D3BBB81" w14:textId="4765AB73" w:rsidR="00590A1B" w:rsidRPr="00276450" w:rsidRDefault="00397F32" w:rsidP="009A7765">
            <w:pPr>
              <w:jc w:val="center"/>
            </w:pPr>
            <w:r w:rsidRPr="00276450">
              <w:rPr>
                <w:lang w:val="es-MX"/>
              </w:rPr>
              <w:t>&gt;= 80%</w:t>
            </w:r>
          </w:p>
        </w:tc>
      </w:tr>
      <w:tr w:rsidR="00590A1B" w:rsidRPr="00276450" w14:paraId="7C23764C" w14:textId="77777777" w:rsidTr="00276450">
        <w:trPr>
          <w:trHeight w:val="289"/>
          <w:jc w:val="center"/>
        </w:trPr>
        <w:tc>
          <w:tcPr>
            <w:tcW w:w="1701" w:type="dxa"/>
            <w:vAlign w:val="center"/>
          </w:tcPr>
          <w:p w14:paraId="38351E0A" w14:textId="77777777" w:rsidR="00590A1B" w:rsidRPr="00276450" w:rsidRDefault="00590A1B" w:rsidP="009A7765">
            <w:pPr>
              <w:rPr>
                <w:b/>
                <w:lang w:val="es-MX"/>
              </w:rPr>
            </w:pPr>
            <w:r w:rsidRPr="00276450">
              <w:rPr>
                <w:b/>
                <w:lang w:val="es-MX"/>
              </w:rPr>
              <w:t>Moderada</w:t>
            </w:r>
          </w:p>
        </w:tc>
        <w:tc>
          <w:tcPr>
            <w:tcW w:w="284" w:type="dxa"/>
            <w:vAlign w:val="center"/>
          </w:tcPr>
          <w:p w14:paraId="68CE29BE" w14:textId="77777777" w:rsidR="00590A1B" w:rsidRPr="00276450" w:rsidRDefault="00590A1B" w:rsidP="009A7765"/>
        </w:tc>
        <w:tc>
          <w:tcPr>
            <w:tcW w:w="1701" w:type="dxa"/>
            <w:shd w:val="clear" w:color="auto" w:fill="auto"/>
            <w:vAlign w:val="center"/>
          </w:tcPr>
          <w:p w14:paraId="48243C22" w14:textId="77777777" w:rsidR="00590A1B" w:rsidRPr="00276450" w:rsidRDefault="00590A1B" w:rsidP="009A7765">
            <w:r w:rsidRPr="00276450">
              <w:t>Amarillo</w:t>
            </w:r>
          </w:p>
        </w:tc>
        <w:tc>
          <w:tcPr>
            <w:tcW w:w="425" w:type="dxa"/>
            <w:vAlign w:val="center"/>
          </w:tcPr>
          <w:p w14:paraId="3123C396" w14:textId="77777777" w:rsidR="00590A1B" w:rsidRPr="00276450" w:rsidRDefault="00590A1B" w:rsidP="009A7765"/>
        </w:tc>
        <w:tc>
          <w:tcPr>
            <w:tcW w:w="4394" w:type="dxa"/>
            <w:vAlign w:val="center"/>
          </w:tcPr>
          <w:p w14:paraId="2E2FD5A2" w14:textId="66E050A8" w:rsidR="00590A1B" w:rsidRPr="00276450" w:rsidRDefault="00397F32" w:rsidP="009A7765">
            <w:pPr>
              <w:jc w:val="center"/>
            </w:pPr>
            <w:r w:rsidRPr="00276450">
              <w:rPr>
                <w:lang w:val="es-MX"/>
              </w:rPr>
              <w:t>(80%, 6</w:t>
            </w:r>
            <w:r w:rsidR="00590A1B" w:rsidRPr="00276450">
              <w:rPr>
                <w:lang w:val="es-MX"/>
              </w:rPr>
              <w:t>0</w:t>
            </w:r>
            <w:r w:rsidRPr="00276450">
              <w:rPr>
                <w:lang w:val="es-MX"/>
              </w:rPr>
              <w:t>%]</w:t>
            </w:r>
          </w:p>
        </w:tc>
      </w:tr>
      <w:tr w:rsidR="00590A1B" w:rsidRPr="00276450" w14:paraId="38B31F05" w14:textId="77777777" w:rsidTr="00276450">
        <w:trPr>
          <w:trHeight w:val="280"/>
          <w:jc w:val="center"/>
        </w:trPr>
        <w:tc>
          <w:tcPr>
            <w:tcW w:w="1701" w:type="dxa"/>
            <w:vAlign w:val="center"/>
          </w:tcPr>
          <w:p w14:paraId="777E48A1" w14:textId="77777777" w:rsidR="00590A1B" w:rsidRPr="00276450" w:rsidRDefault="00590A1B" w:rsidP="009A7765">
            <w:pPr>
              <w:rPr>
                <w:b/>
                <w:lang w:val="es-MX"/>
              </w:rPr>
            </w:pPr>
            <w:r w:rsidRPr="00276450">
              <w:rPr>
                <w:b/>
                <w:lang w:val="es-MX"/>
              </w:rPr>
              <w:t>Baja</w:t>
            </w:r>
          </w:p>
        </w:tc>
        <w:tc>
          <w:tcPr>
            <w:tcW w:w="284" w:type="dxa"/>
            <w:vAlign w:val="center"/>
          </w:tcPr>
          <w:p w14:paraId="42B52E9E" w14:textId="77777777" w:rsidR="00590A1B" w:rsidRPr="00276450" w:rsidRDefault="00590A1B" w:rsidP="009A7765"/>
        </w:tc>
        <w:tc>
          <w:tcPr>
            <w:tcW w:w="1701" w:type="dxa"/>
            <w:shd w:val="clear" w:color="auto" w:fill="auto"/>
            <w:vAlign w:val="center"/>
          </w:tcPr>
          <w:p w14:paraId="3BCA2D0E" w14:textId="77777777" w:rsidR="00590A1B" w:rsidRPr="00276450" w:rsidRDefault="00590A1B" w:rsidP="009A7765">
            <w:r w:rsidRPr="00276450">
              <w:t>Naranja oscuro</w:t>
            </w:r>
          </w:p>
        </w:tc>
        <w:tc>
          <w:tcPr>
            <w:tcW w:w="425" w:type="dxa"/>
            <w:vAlign w:val="center"/>
          </w:tcPr>
          <w:p w14:paraId="562F3AC4" w14:textId="77777777" w:rsidR="00590A1B" w:rsidRPr="00276450" w:rsidRDefault="00590A1B" w:rsidP="009A7765"/>
        </w:tc>
        <w:tc>
          <w:tcPr>
            <w:tcW w:w="4394" w:type="dxa"/>
            <w:vAlign w:val="center"/>
          </w:tcPr>
          <w:p w14:paraId="678371D6" w14:textId="311FBC40" w:rsidR="00590A1B" w:rsidRPr="00276450" w:rsidRDefault="005D0946" w:rsidP="009A7765">
            <w:pPr>
              <w:jc w:val="center"/>
            </w:pPr>
            <w:r w:rsidRPr="00276450">
              <w:rPr>
                <w:lang w:val="es-MX"/>
              </w:rPr>
              <w:t>&lt;</w:t>
            </w:r>
            <w:r w:rsidR="00590A1B" w:rsidRPr="00276450">
              <w:rPr>
                <w:lang w:val="es-MX"/>
              </w:rPr>
              <w:t xml:space="preserve"> </w:t>
            </w:r>
            <w:r w:rsidR="00397F32" w:rsidRPr="00276450">
              <w:rPr>
                <w:lang w:val="es-MX"/>
              </w:rPr>
              <w:t>6</w:t>
            </w:r>
            <w:r w:rsidR="00590A1B" w:rsidRPr="00276450">
              <w:rPr>
                <w:lang w:val="es-MX"/>
              </w:rPr>
              <w:t>0%</w:t>
            </w:r>
          </w:p>
        </w:tc>
      </w:tr>
      <w:tr w:rsidR="00276450" w:rsidRPr="00276450" w14:paraId="6552EE38" w14:textId="77777777" w:rsidTr="00276450">
        <w:trPr>
          <w:trHeight w:val="280"/>
          <w:jc w:val="center"/>
        </w:trPr>
        <w:tc>
          <w:tcPr>
            <w:tcW w:w="8505" w:type="dxa"/>
            <w:gridSpan w:val="5"/>
            <w:tcBorders>
              <w:bottom w:val="single" w:sz="4" w:space="0" w:color="auto"/>
            </w:tcBorders>
          </w:tcPr>
          <w:p w14:paraId="589849C5" w14:textId="3C036CBF" w:rsidR="00276450" w:rsidRPr="00276450" w:rsidRDefault="00276450" w:rsidP="00EC0D89">
            <w:pPr>
              <w:jc w:val="both"/>
            </w:pPr>
            <w:r w:rsidRPr="00B9454C">
              <w:rPr>
                <w:b/>
              </w:rPr>
              <w:t>Especificaciones:</w:t>
            </w:r>
            <w:r>
              <w:rPr>
                <w:b/>
              </w:rPr>
              <w:t xml:space="preserve"> </w:t>
            </w:r>
            <w:r w:rsidR="00EC0D89">
              <w:t xml:space="preserve">En los tabulados de resultados </w:t>
            </w:r>
            <w:r w:rsidR="00EC0D89" w:rsidRPr="00B9454C">
              <w:t xml:space="preserve">se </w:t>
            </w:r>
            <w:r w:rsidR="00EC0D89">
              <w:t>incluir</w:t>
            </w:r>
            <w:r w:rsidR="00EC0D89" w:rsidRPr="00B9454C">
              <w:t>á</w:t>
            </w:r>
            <w:r w:rsidR="00EC0D89">
              <w:t xml:space="preserve"> </w:t>
            </w:r>
            <w:r>
              <w:t>el valor de la cobertura de la variable de diseño y un texto homologado para la descripción de la cobertura de la variable de diseño y para la interpretación de la cobertura baja</w:t>
            </w:r>
            <w:r w:rsidR="00EC0D89">
              <w:t>,</w:t>
            </w:r>
            <w:r>
              <w:t xml:space="preserve"> basado en la propuesta presentada al Comité. Adicionalmente, se homologarán los colores utilizados para la semaforización de la cobertura de la variable de diseño con los colores definidos para el CV por la DGVSPI.</w:t>
            </w:r>
          </w:p>
        </w:tc>
      </w:tr>
    </w:tbl>
    <w:p w14:paraId="42BDB33D" w14:textId="51FA9ACA" w:rsidR="00352D3A" w:rsidRDefault="00352D3A" w:rsidP="00276450">
      <w:pPr>
        <w:spacing w:before="240" w:after="200" w:line="276" w:lineRule="auto"/>
        <w:jc w:val="both"/>
      </w:pPr>
      <w:r w:rsidRPr="00872612">
        <w:rPr>
          <w:b/>
        </w:rPr>
        <w:t>IX. ACUERDOS</w:t>
      </w:r>
      <w:r>
        <w:t xml:space="preserve">. </w:t>
      </w:r>
      <w:r w:rsidR="00204D52" w:rsidRPr="000579E0">
        <w:t xml:space="preserve">Como </w:t>
      </w:r>
      <w:r w:rsidR="002E355F">
        <w:t>noveno</w:t>
      </w:r>
      <w:r w:rsidR="00204D52" w:rsidRPr="000579E0">
        <w:t xml:space="preserve"> </w:t>
      </w:r>
      <w:r w:rsidR="00F94350">
        <w:t>asunto</w:t>
      </w:r>
      <w:r w:rsidR="00F94350" w:rsidRPr="000579E0">
        <w:t xml:space="preserve"> </w:t>
      </w:r>
      <w:r w:rsidR="00204D52" w:rsidRPr="000579E0">
        <w:t xml:space="preserve">del orden del día, </w:t>
      </w:r>
      <w:r>
        <w:t>por instrucciones del Presidente del Comité, el Secretario Técnico</w:t>
      </w:r>
      <w:r w:rsidR="00204D52" w:rsidRPr="000579E0">
        <w:t xml:space="preserve"> procedió a dar lectura a los acuerdos </w:t>
      </w:r>
      <w:r>
        <w:t>adoptados durante esta S</w:t>
      </w:r>
      <w:r w:rsidR="00204D52" w:rsidRPr="000579E0">
        <w:t>esión.</w:t>
      </w:r>
      <w:r>
        <w:t xml:space="preserve"> No habiendo comentarios al respecto, se reitera la validez de los mismos.</w:t>
      </w:r>
      <w:r w:rsidR="00204D52" w:rsidRPr="000579E0">
        <w:t xml:space="preserve"> </w:t>
      </w:r>
    </w:p>
    <w:p w14:paraId="7C0CC082" w14:textId="77777777" w:rsidR="00352D3A" w:rsidRDefault="00352D3A" w:rsidP="00276450">
      <w:pPr>
        <w:spacing w:before="240" w:after="200" w:line="276" w:lineRule="auto"/>
        <w:jc w:val="both"/>
      </w:pPr>
      <w:r w:rsidRPr="00872612">
        <w:rPr>
          <w:b/>
        </w:rPr>
        <w:t>X. ASUNTOS GENERALES.</w:t>
      </w:r>
      <w:r>
        <w:t xml:space="preserve"> </w:t>
      </w:r>
      <w:r w:rsidR="00204D52" w:rsidRPr="000579E0">
        <w:t xml:space="preserve">A continuación, el Presidente del Comité preguntó si </w:t>
      </w:r>
      <w:r w:rsidR="00C90B1C">
        <w:t xml:space="preserve">había algún tema a tratar dentro de los </w:t>
      </w:r>
      <w:r w:rsidR="00204D52" w:rsidRPr="000579E0">
        <w:t>asunto</w:t>
      </w:r>
      <w:r w:rsidR="00C90B1C">
        <w:t>s</w:t>
      </w:r>
      <w:r w:rsidR="00204D52" w:rsidRPr="000579E0">
        <w:t xml:space="preserve"> general</w:t>
      </w:r>
      <w:r w:rsidR="00C90B1C">
        <w:t>es</w:t>
      </w:r>
      <w:r w:rsidR="00204D52" w:rsidRPr="000579E0">
        <w:t xml:space="preserve">. </w:t>
      </w:r>
      <w:r>
        <w:t>El Secretario Técnico informó al Presidente que no se presentaron asuntos generales que deban ser abordados en la presente Sesión.</w:t>
      </w:r>
    </w:p>
    <w:p w14:paraId="6D0E01BD" w14:textId="58B4CB71" w:rsidR="00CB7871" w:rsidRDefault="00352D3A" w:rsidP="00276450">
      <w:pPr>
        <w:spacing w:before="240" w:after="200" w:line="276" w:lineRule="auto"/>
        <w:jc w:val="both"/>
      </w:pPr>
      <w:r w:rsidRPr="00872612">
        <w:rPr>
          <w:b/>
        </w:rPr>
        <w:t>XI. CIERRE DE LA SESIÓN.</w:t>
      </w:r>
      <w:r>
        <w:t xml:space="preserve"> </w:t>
      </w:r>
      <w:r w:rsidR="00204D52" w:rsidRPr="000579E0">
        <w:t xml:space="preserve">No habiendo otro asunto por tratar, el Presidente del Comité agradeció la asistencia de las personas participantes y dio por concluida la </w:t>
      </w:r>
      <w:r w:rsidR="00C92B4B">
        <w:t>Primera</w:t>
      </w:r>
      <w:r w:rsidR="00204D52" w:rsidRPr="000579E0">
        <w:t xml:space="preserve"> Sesión</w:t>
      </w:r>
      <w:r w:rsidR="00C90B1C">
        <w:t xml:space="preserve"> de 201</w:t>
      </w:r>
      <w:r w:rsidR="00C92B4B">
        <w:t>8</w:t>
      </w:r>
      <w:r w:rsidR="00C90B1C">
        <w:t xml:space="preserve"> </w:t>
      </w:r>
      <w:r w:rsidR="00204D52" w:rsidRPr="000579E0">
        <w:t xml:space="preserve">del Comité </w:t>
      </w:r>
      <w:r w:rsidR="00C90B1C">
        <w:t>de Aseguramiento de la Calidad del INEGI</w:t>
      </w:r>
      <w:r w:rsidR="00204D52" w:rsidRPr="000579E0">
        <w:t xml:space="preserve"> a las 1</w:t>
      </w:r>
      <w:r w:rsidR="007F7936">
        <w:t>2</w:t>
      </w:r>
      <w:r w:rsidR="00204D52" w:rsidRPr="000579E0">
        <w:t>:</w:t>
      </w:r>
      <w:r w:rsidR="00C92B4B">
        <w:t>22</w:t>
      </w:r>
      <w:r w:rsidR="00204D52" w:rsidRPr="000579E0">
        <w:t xml:space="preserve"> horas, suscribiendo al margen y al calce </w:t>
      </w:r>
      <w:r w:rsidR="00A864E7">
        <w:t>quienes en ella intervinieron.</w:t>
      </w:r>
    </w:p>
    <w:p w14:paraId="13D5DBA2" w14:textId="48B89A8D" w:rsidR="00A864E7" w:rsidRDefault="00A864E7" w:rsidP="00276450">
      <w:pPr>
        <w:spacing w:before="240" w:after="200" w:line="276" w:lineRule="auto"/>
        <w:jc w:val="both"/>
      </w:pPr>
      <w:r>
        <w:cr/>
      </w:r>
    </w:p>
    <w:p w14:paraId="0E5782E3" w14:textId="77777777" w:rsidR="000579E0" w:rsidRDefault="000579E0" w:rsidP="000579E0">
      <w:pPr>
        <w:spacing w:after="200" w:line="276" w:lineRule="auto"/>
        <w:jc w:val="both"/>
      </w:pPr>
    </w:p>
    <w:p w14:paraId="4E44F84F" w14:textId="21E9C9DD" w:rsidR="000579E0" w:rsidRPr="00CA57C4" w:rsidRDefault="00204D52" w:rsidP="000579E0">
      <w:pPr>
        <w:spacing w:after="200" w:line="276" w:lineRule="auto"/>
        <w:jc w:val="right"/>
      </w:pPr>
      <w:r w:rsidRPr="000579E0">
        <w:t>Aguascalientes y Ciudad de México</w:t>
      </w:r>
      <w:r w:rsidR="00360BBA">
        <w:t>,</w:t>
      </w:r>
      <w:r w:rsidRPr="000579E0">
        <w:t xml:space="preserve"> a </w:t>
      </w:r>
      <w:r w:rsidR="00D00C8A">
        <w:t xml:space="preserve">27 </w:t>
      </w:r>
      <w:r w:rsidRPr="000579E0">
        <w:t xml:space="preserve">de </w:t>
      </w:r>
      <w:r w:rsidR="00D00C8A">
        <w:t>febrero de 2018</w:t>
      </w:r>
      <w:r w:rsidRPr="00CA57C4">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0579E0" w:rsidRPr="00D92C2D" w14:paraId="713B45E8" w14:textId="77777777" w:rsidTr="005B028F">
        <w:trPr>
          <w:jc w:val="center"/>
        </w:trPr>
        <w:tc>
          <w:tcPr>
            <w:tcW w:w="8828" w:type="dxa"/>
            <w:gridSpan w:val="2"/>
          </w:tcPr>
          <w:p w14:paraId="46F6D13B" w14:textId="77777777" w:rsidR="000579E0" w:rsidRPr="00694DC6" w:rsidRDefault="000579E0" w:rsidP="005B028F">
            <w:pPr>
              <w:spacing w:after="0" w:line="240" w:lineRule="auto"/>
              <w:jc w:val="center"/>
              <w:rPr>
                <w:noProof/>
                <w:sz w:val="20"/>
                <w:szCs w:val="20"/>
              </w:rPr>
            </w:pPr>
          </w:p>
          <w:p w14:paraId="05C598CF" w14:textId="77777777" w:rsidR="000579E0" w:rsidRPr="00694DC6" w:rsidRDefault="000579E0" w:rsidP="005B028F">
            <w:pPr>
              <w:spacing w:after="0" w:line="240" w:lineRule="auto"/>
              <w:jc w:val="center"/>
              <w:rPr>
                <w:noProof/>
                <w:sz w:val="20"/>
                <w:szCs w:val="20"/>
              </w:rPr>
            </w:pPr>
          </w:p>
          <w:p w14:paraId="0883DE8C" w14:textId="77777777" w:rsidR="000579E0" w:rsidRPr="00694DC6" w:rsidRDefault="000579E0" w:rsidP="005B028F">
            <w:pPr>
              <w:spacing w:after="0" w:line="240" w:lineRule="auto"/>
              <w:jc w:val="center"/>
              <w:rPr>
                <w:noProof/>
                <w:sz w:val="20"/>
                <w:szCs w:val="20"/>
              </w:rPr>
            </w:pPr>
          </w:p>
          <w:p w14:paraId="45FD4DD1" w14:textId="77777777" w:rsidR="000579E0" w:rsidRPr="00694DC6" w:rsidRDefault="000579E0" w:rsidP="005B028F">
            <w:pPr>
              <w:spacing w:after="0" w:line="240" w:lineRule="auto"/>
              <w:jc w:val="center"/>
              <w:rPr>
                <w:noProof/>
                <w:sz w:val="20"/>
                <w:szCs w:val="20"/>
              </w:rPr>
            </w:pPr>
            <w:r w:rsidRPr="00694DC6">
              <w:rPr>
                <w:noProof/>
                <w:sz w:val="20"/>
                <w:szCs w:val="20"/>
              </w:rPr>
              <w:t>Julio Alfonso Santaella Castell</w:t>
            </w:r>
          </w:p>
          <w:p w14:paraId="219F242B" w14:textId="77777777" w:rsidR="000579E0" w:rsidRPr="00694DC6" w:rsidRDefault="000579E0" w:rsidP="005B028F">
            <w:pPr>
              <w:spacing w:after="0" w:line="240" w:lineRule="auto"/>
              <w:jc w:val="center"/>
              <w:rPr>
                <w:noProof/>
                <w:sz w:val="20"/>
                <w:szCs w:val="20"/>
              </w:rPr>
            </w:pPr>
            <w:r w:rsidRPr="00694DC6">
              <w:rPr>
                <w:noProof/>
                <w:sz w:val="20"/>
                <w:szCs w:val="20"/>
              </w:rPr>
              <w:t>Presidente</w:t>
            </w:r>
          </w:p>
        </w:tc>
      </w:tr>
      <w:tr w:rsidR="000579E0" w:rsidRPr="00D92C2D" w14:paraId="2C7A1D78" w14:textId="77777777" w:rsidTr="005B028F">
        <w:trPr>
          <w:jc w:val="center"/>
        </w:trPr>
        <w:tc>
          <w:tcPr>
            <w:tcW w:w="8828" w:type="dxa"/>
            <w:gridSpan w:val="2"/>
          </w:tcPr>
          <w:p w14:paraId="09F5CFA5" w14:textId="77777777" w:rsidR="000579E0" w:rsidRPr="00694DC6" w:rsidRDefault="000579E0" w:rsidP="005B028F">
            <w:pPr>
              <w:spacing w:after="0" w:line="240" w:lineRule="auto"/>
              <w:jc w:val="center"/>
              <w:rPr>
                <w:noProof/>
                <w:sz w:val="20"/>
                <w:szCs w:val="20"/>
              </w:rPr>
            </w:pPr>
          </w:p>
          <w:p w14:paraId="362B91E2" w14:textId="77777777" w:rsidR="000579E0" w:rsidRPr="00694DC6" w:rsidRDefault="000579E0" w:rsidP="005B028F">
            <w:pPr>
              <w:spacing w:after="0" w:line="240" w:lineRule="auto"/>
              <w:jc w:val="center"/>
              <w:rPr>
                <w:noProof/>
                <w:sz w:val="20"/>
                <w:szCs w:val="20"/>
              </w:rPr>
            </w:pPr>
          </w:p>
          <w:p w14:paraId="408853A2" w14:textId="77777777" w:rsidR="000579E0" w:rsidRPr="00694DC6" w:rsidRDefault="000579E0" w:rsidP="005B028F">
            <w:pPr>
              <w:spacing w:after="0" w:line="240" w:lineRule="auto"/>
              <w:jc w:val="center"/>
              <w:rPr>
                <w:noProof/>
                <w:sz w:val="20"/>
                <w:szCs w:val="20"/>
              </w:rPr>
            </w:pPr>
          </w:p>
          <w:p w14:paraId="48FD4119" w14:textId="77777777" w:rsidR="000579E0" w:rsidRPr="00694DC6" w:rsidRDefault="000579E0" w:rsidP="005B028F">
            <w:pPr>
              <w:spacing w:after="0" w:line="240" w:lineRule="auto"/>
              <w:jc w:val="center"/>
              <w:rPr>
                <w:noProof/>
                <w:sz w:val="20"/>
                <w:szCs w:val="20"/>
              </w:rPr>
            </w:pPr>
            <w:r w:rsidRPr="00694DC6">
              <w:rPr>
                <w:noProof/>
                <w:sz w:val="20"/>
                <w:szCs w:val="20"/>
              </w:rPr>
              <w:t>Enrique de Alba Guerra</w:t>
            </w:r>
          </w:p>
          <w:p w14:paraId="36B72E5B" w14:textId="77777777" w:rsidR="000579E0" w:rsidRPr="00694DC6" w:rsidRDefault="000579E0" w:rsidP="005B028F">
            <w:pPr>
              <w:spacing w:after="0" w:line="240" w:lineRule="auto"/>
              <w:jc w:val="center"/>
              <w:rPr>
                <w:noProof/>
                <w:sz w:val="20"/>
                <w:szCs w:val="20"/>
              </w:rPr>
            </w:pPr>
            <w:r w:rsidRPr="00694DC6">
              <w:rPr>
                <w:noProof/>
                <w:sz w:val="20"/>
                <w:szCs w:val="20"/>
              </w:rPr>
              <w:t>Presidente suplente</w:t>
            </w:r>
          </w:p>
        </w:tc>
      </w:tr>
      <w:tr w:rsidR="000579E0" w:rsidRPr="00D92C2D" w14:paraId="056C3489" w14:textId="77777777" w:rsidTr="005B028F">
        <w:trPr>
          <w:jc w:val="center"/>
        </w:trPr>
        <w:tc>
          <w:tcPr>
            <w:tcW w:w="8828" w:type="dxa"/>
            <w:gridSpan w:val="2"/>
          </w:tcPr>
          <w:p w14:paraId="63C95836" w14:textId="77777777" w:rsidR="000579E0" w:rsidRPr="00694DC6" w:rsidRDefault="000579E0" w:rsidP="005B028F">
            <w:pPr>
              <w:spacing w:after="0" w:line="240" w:lineRule="auto"/>
              <w:jc w:val="center"/>
              <w:rPr>
                <w:noProof/>
                <w:sz w:val="20"/>
                <w:szCs w:val="20"/>
              </w:rPr>
            </w:pPr>
          </w:p>
          <w:p w14:paraId="3E4A04BB" w14:textId="77777777" w:rsidR="000579E0" w:rsidRPr="00694DC6" w:rsidRDefault="000579E0" w:rsidP="005B028F">
            <w:pPr>
              <w:spacing w:after="0" w:line="240" w:lineRule="auto"/>
              <w:jc w:val="center"/>
              <w:rPr>
                <w:noProof/>
                <w:sz w:val="20"/>
                <w:szCs w:val="20"/>
              </w:rPr>
            </w:pPr>
          </w:p>
          <w:p w14:paraId="38A4501A" w14:textId="77777777" w:rsidR="000579E0" w:rsidRPr="00694DC6" w:rsidRDefault="000579E0" w:rsidP="005B028F">
            <w:pPr>
              <w:spacing w:after="0" w:line="240" w:lineRule="auto"/>
              <w:jc w:val="center"/>
              <w:rPr>
                <w:noProof/>
                <w:sz w:val="20"/>
                <w:szCs w:val="20"/>
              </w:rPr>
            </w:pPr>
          </w:p>
          <w:p w14:paraId="12A1CAF1" w14:textId="77777777" w:rsidR="000579E0" w:rsidRPr="00694DC6" w:rsidRDefault="000579E0" w:rsidP="005B028F">
            <w:pPr>
              <w:spacing w:after="0" w:line="240" w:lineRule="auto"/>
              <w:jc w:val="center"/>
              <w:rPr>
                <w:noProof/>
                <w:sz w:val="20"/>
                <w:szCs w:val="20"/>
              </w:rPr>
            </w:pPr>
            <w:r w:rsidRPr="00694DC6">
              <w:rPr>
                <w:noProof/>
                <w:sz w:val="20"/>
                <w:szCs w:val="20"/>
              </w:rPr>
              <w:t>Enrique Jesús Ordaz López</w:t>
            </w:r>
          </w:p>
          <w:p w14:paraId="63F33CB1" w14:textId="77777777" w:rsidR="000579E0" w:rsidRPr="00694DC6" w:rsidRDefault="000579E0" w:rsidP="005B028F">
            <w:pPr>
              <w:spacing w:after="0" w:line="240" w:lineRule="auto"/>
              <w:jc w:val="center"/>
              <w:rPr>
                <w:noProof/>
                <w:sz w:val="20"/>
                <w:szCs w:val="20"/>
              </w:rPr>
            </w:pPr>
            <w:r w:rsidRPr="00694DC6">
              <w:rPr>
                <w:noProof/>
                <w:sz w:val="20"/>
                <w:szCs w:val="20"/>
              </w:rPr>
              <w:t>Secretario Técnico</w:t>
            </w:r>
          </w:p>
        </w:tc>
      </w:tr>
      <w:tr w:rsidR="000579E0" w:rsidRPr="00D92C2D" w14:paraId="7A143725" w14:textId="77777777" w:rsidTr="005B028F">
        <w:trPr>
          <w:jc w:val="center"/>
        </w:trPr>
        <w:tc>
          <w:tcPr>
            <w:tcW w:w="4416" w:type="dxa"/>
          </w:tcPr>
          <w:p w14:paraId="23282444" w14:textId="77777777" w:rsidR="000579E0" w:rsidRPr="00694DC6" w:rsidRDefault="000579E0" w:rsidP="005B028F">
            <w:pPr>
              <w:spacing w:after="0" w:line="240" w:lineRule="auto"/>
              <w:jc w:val="center"/>
              <w:rPr>
                <w:noProof/>
                <w:sz w:val="20"/>
                <w:szCs w:val="20"/>
              </w:rPr>
            </w:pPr>
          </w:p>
          <w:p w14:paraId="56041CE5" w14:textId="77777777" w:rsidR="000579E0" w:rsidRPr="00694DC6" w:rsidRDefault="000579E0" w:rsidP="005B028F">
            <w:pPr>
              <w:spacing w:after="0" w:line="240" w:lineRule="auto"/>
              <w:jc w:val="center"/>
              <w:rPr>
                <w:noProof/>
                <w:sz w:val="20"/>
                <w:szCs w:val="20"/>
              </w:rPr>
            </w:pPr>
          </w:p>
          <w:p w14:paraId="76D54F03" w14:textId="77777777" w:rsidR="000579E0" w:rsidRPr="00694DC6" w:rsidRDefault="000579E0" w:rsidP="005B028F">
            <w:pPr>
              <w:spacing w:after="0" w:line="240" w:lineRule="auto"/>
              <w:jc w:val="center"/>
              <w:rPr>
                <w:noProof/>
                <w:sz w:val="20"/>
                <w:szCs w:val="20"/>
              </w:rPr>
            </w:pPr>
          </w:p>
          <w:p w14:paraId="70450D6A" w14:textId="77777777" w:rsidR="000579E0" w:rsidRPr="00694DC6" w:rsidRDefault="000579E0" w:rsidP="005B028F">
            <w:pPr>
              <w:spacing w:after="0" w:line="240" w:lineRule="auto"/>
              <w:jc w:val="center"/>
              <w:rPr>
                <w:noProof/>
                <w:sz w:val="20"/>
                <w:szCs w:val="20"/>
              </w:rPr>
            </w:pPr>
            <w:r w:rsidRPr="00694DC6">
              <w:rPr>
                <w:noProof/>
                <w:sz w:val="20"/>
                <w:szCs w:val="20"/>
              </w:rPr>
              <w:t>José Arturo Blancas Espejo</w:t>
            </w:r>
          </w:p>
          <w:p w14:paraId="242087EE" w14:textId="77777777" w:rsidR="000579E0" w:rsidRPr="00694DC6" w:rsidRDefault="000579E0" w:rsidP="005B028F">
            <w:pPr>
              <w:spacing w:after="0" w:line="240" w:lineRule="auto"/>
              <w:jc w:val="center"/>
              <w:rPr>
                <w:sz w:val="20"/>
                <w:szCs w:val="20"/>
              </w:rPr>
            </w:pPr>
            <w:r w:rsidRPr="00694DC6">
              <w:rPr>
                <w:noProof/>
                <w:sz w:val="20"/>
                <w:szCs w:val="20"/>
              </w:rPr>
              <w:t>Vocal</w:t>
            </w:r>
          </w:p>
        </w:tc>
        <w:tc>
          <w:tcPr>
            <w:tcW w:w="4412" w:type="dxa"/>
          </w:tcPr>
          <w:p w14:paraId="0F0B8902" w14:textId="77777777" w:rsidR="000579E0" w:rsidRPr="00694DC6" w:rsidRDefault="000579E0" w:rsidP="005B028F">
            <w:pPr>
              <w:spacing w:after="0" w:line="240" w:lineRule="auto"/>
              <w:jc w:val="center"/>
              <w:rPr>
                <w:sz w:val="20"/>
                <w:szCs w:val="20"/>
              </w:rPr>
            </w:pPr>
          </w:p>
          <w:p w14:paraId="4893D982" w14:textId="77777777" w:rsidR="000579E0" w:rsidRPr="00694DC6" w:rsidRDefault="000579E0" w:rsidP="005B028F">
            <w:pPr>
              <w:spacing w:after="0" w:line="240" w:lineRule="auto"/>
              <w:jc w:val="center"/>
              <w:rPr>
                <w:sz w:val="20"/>
                <w:szCs w:val="20"/>
              </w:rPr>
            </w:pPr>
          </w:p>
          <w:p w14:paraId="6B0C2A83" w14:textId="77777777" w:rsidR="000579E0" w:rsidRPr="00694DC6" w:rsidRDefault="000579E0" w:rsidP="005B028F">
            <w:pPr>
              <w:spacing w:after="0" w:line="240" w:lineRule="auto"/>
              <w:jc w:val="center"/>
              <w:rPr>
                <w:sz w:val="20"/>
                <w:szCs w:val="20"/>
              </w:rPr>
            </w:pPr>
          </w:p>
          <w:p w14:paraId="0609C3BC" w14:textId="77777777" w:rsidR="00C32F78" w:rsidRPr="00694DC6" w:rsidRDefault="00C32F78" w:rsidP="00C32F78">
            <w:pPr>
              <w:spacing w:after="0" w:line="240" w:lineRule="auto"/>
              <w:jc w:val="center"/>
              <w:rPr>
                <w:sz w:val="20"/>
                <w:szCs w:val="20"/>
              </w:rPr>
            </w:pPr>
            <w:r>
              <w:rPr>
                <w:sz w:val="20"/>
                <w:szCs w:val="20"/>
              </w:rPr>
              <w:t>Adrián Franco Barrios</w:t>
            </w:r>
          </w:p>
          <w:p w14:paraId="2AC59C91" w14:textId="3FA6C60F" w:rsidR="000579E0" w:rsidRPr="00694DC6" w:rsidRDefault="00C32F78" w:rsidP="00C32F78">
            <w:pPr>
              <w:spacing w:after="0" w:line="240" w:lineRule="auto"/>
              <w:jc w:val="center"/>
              <w:rPr>
                <w:sz w:val="20"/>
                <w:szCs w:val="20"/>
              </w:rPr>
            </w:pPr>
            <w:r w:rsidRPr="00694DC6">
              <w:rPr>
                <w:sz w:val="20"/>
                <w:szCs w:val="20"/>
              </w:rPr>
              <w:t>Vocal</w:t>
            </w:r>
          </w:p>
        </w:tc>
      </w:tr>
      <w:tr w:rsidR="000579E0" w:rsidRPr="00D92C2D" w14:paraId="486147AD" w14:textId="77777777" w:rsidTr="005B028F">
        <w:trPr>
          <w:jc w:val="center"/>
        </w:trPr>
        <w:tc>
          <w:tcPr>
            <w:tcW w:w="4416" w:type="dxa"/>
          </w:tcPr>
          <w:p w14:paraId="749489CA" w14:textId="77777777" w:rsidR="000579E0" w:rsidRPr="00694DC6" w:rsidRDefault="000579E0" w:rsidP="005B028F">
            <w:pPr>
              <w:spacing w:after="0" w:line="240" w:lineRule="auto"/>
              <w:jc w:val="center"/>
              <w:rPr>
                <w:sz w:val="20"/>
                <w:szCs w:val="20"/>
              </w:rPr>
            </w:pPr>
          </w:p>
          <w:p w14:paraId="0176F443" w14:textId="77777777" w:rsidR="000579E0" w:rsidRPr="00694DC6" w:rsidRDefault="000579E0" w:rsidP="005B028F">
            <w:pPr>
              <w:spacing w:after="0" w:line="240" w:lineRule="auto"/>
              <w:jc w:val="center"/>
              <w:rPr>
                <w:sz w:val="20"/>
                <w:szCs w:val="20"/>
              </w:rPr>
            </w:pPr>
          </w:p>
          <w:p w14:paraId="4B8554C7" w14:textId="77777777" w:rsidR="000579E0" w:rsidRPr="00694DC6" w:rsidRDefault="000579E0" w:rsidP="005B028F">
            <w:pPr>
              <w:spacing w:after="0" w:line="240" w:lineRule="auto"/>
              <w:jc w:val="center"/>
              <w:rPr>
                <w:sz w:val="20"/>
                <w:szCs w:val="20"/>
              </w:rPr>
            </w:pPr>
          </w:p>
          <w:p w14:paraId="514D7761" w14:textId="77777777" w:rsidR="00FE12B3" w:rsidRPr="00694DC6" w:rsidRDefault="00FE12B3" w:rsidP="00FE12B3">
            <w:pPr>
              <w:spacing w:after="0" w:line="240" w:lineRule="auto"/>
              <w:jc w:val="center"/>
              <w:rPr>
                <w:sz w:val="20"/>
                <w:szCs w:val="20"/>
              </w:rPr>
            </w:pPr>
            <w:r>
              <w:rPr>
                <w:sz w:val="20"/>
                <w:szCs w:val="20"/>
              </w:rPr>
              <w:t>Oscar Gasca Brito</w:t>
            </w:r>
          </w:p>
          <w:p w14:paraId="36D8B976" w14:textId="23E9B5E8" w:rsidR="000579E0" w:rsidRPr="00694DC6" w:rsidRDefault="00FE12B3" w:rsidP="00FE12B3">
            <w:pPr>
              <w:spacing w:after="0" w:line="240" w:lineRule="auto"/>
              <w:jc w:val="center"/>
              <w:rPr>
                <w:sz w:val="20"/>
                <w:szCs w:val="20"/>
              </w:rPr>
            </w:pPr>
            <w:r w:rsidRPr="00694DC6">
              <w:rPr>
                <w:sz w:val="20"/>
                <w:szCs w:val="20"/>
              </w:rPr>
              <w:t>Vocal</w:t>
            </w:r>
          </w:p>
        </w:tc>
        <w:tc>
          <w:tcPr>
            <w:tcW w:w="4412" w:type="dxa"/>
          </w:tcPr>
          <w:p w14:paraId="334FB59D" w14:textId="77777777" w:rsidR="000579E0" w:rsidRPr="00694DC6" w:rsidRDefault="000579E0" w:rsidP="005B028F">
            <w:pPr>
              <w:spacing w:after="0" w:line="240" w:lineRule="auto"/>
              <w:jc w:val="center"/>
              <w:rPr>
                <w:sz w:val="20"/>
                <w:szCs w:val="20"/>
              </w:rPr>
            </w:pPr>
          </w:p>
          <w:p w14:paraId="13F72865" w14:textId="77777777" w:rsidR="000579E0" w:rsidRPr="00694DC6" w:rsidRDefault="000579E0" w:rsidP="005B028F">
            <w:pPr>
              <w:spacing w:after="0" w:line="240" w:lineRule="auto"/>
              <w:jc w:val="center"/>
              <w:rPr>
                <w:sz w:val="20"/>
                <w:szCs w:val="20"/>
              </w:rPr>
            </w:pPr>
          </w:p>
          <w:p w14:paraId="0BD574CD" w14:textId="77777777" w:rsidR="000579E0" w:rsidRPr="00694DC6" w:rsidRDefault="000579E0" w:rsidP="005B028F">
            <w:pPr>
              <w:spacing w:after="0" w:line="240" w:lineRule="auto"/>
              <w:jc w:val="center"/>
              <w:rPr>
                <w:sz w:val="20"/>
                <w:szCs w:val="20"/>
              </w:rPr>
            </w:pPr>
          </w:p>
          <w:p w14:paraId="254F28D1" w14:textId="77777777" w:rsidR="00A63DDE" w:rsidRPr="00694DC6" w:rsidRDefault="00A63DDE" w:rsidP="00A63DDE">
            <w:pPr>
              <w:spacing w:after="0" w:line="240" w:lineRule="auto"/>
              <w:jc w:val="center"/>
              <w:rPr>
                <w:sz w:val="20"/>
                <w:szCs w:val="20"/>
              </w:rPr>
            </w:pPr>
            <w:r w:rsidRPr="00694DC6">
              <w:rPr>
                <w:sz w:val="20"/>
                <w:szCs w:val="20"/>
              </w:rPr>
              <w:t>Marcos Benerice González Tejeda</w:t>
            </w:r>
          </w:p>
          <w:p w14:paraId="5707269D" w14:textId="68DD95F1" w:rsidR="000579E0" w:rsidRPr="00694DC6" w:rsidRDefault="00A63DDE" w:rsidP="00A63DDE">
            <w:pPr>
              <w:spacing w:after="0" w:line="240" w:lineRule="auto"/>
              <w:jc w:val="center"/>
              <w:rPr>
                <w:noProof/>
                <w:sz w:val="20"/>
                <w:szCs w:val="20"/>
              </w:rPr>
            </w:pPr>
            <w:r w:rsidRPr="00694DC6">
              <w:rPr>
                <w:sz w:val="20"/>
                <w:szCs w:val="20"/>
              </w:rPr>
              <w:t>Vocal</w:t>
            </w:r>
          </w:p>
        </w:tc>
      </w:tr>
      <w:tr w:rsidR="000579E0" w:rsidRPr="00D92C2D" w14:paraId="034E1DBF" w14:textId="77777777" w:rsidTr="005B028F">
        <w:trPr>
          <w:jc w:val="center"/>
        </w:trPr>
        <w:tc>
          <w:tcPr>
            <w:tcW w:w="4416" w:type="dxa"/>
          </w:tcPr>
          <w:p w14:paraId="57078E3D" w14:textId="77777777" w:rsidR="000579E0" w:rsidRPr="00694DC6" w:rsidRDefault="000579E0" w:rsidP="005B028F">
            <w:pPr>
              <w:spacing w:after="0" w:line="240" w:lineRule="auto"/>
              <w:jc w:val="center"/>
              <w:rPr>
                <w:sz w:val="20"/>
                <w:szCs w:val="20"/>
              </w:rPr>
            </w:pPr>
          </w:p>
          <w:p w14:paraId="57E8A48F" w14:textId="77777777" w:rsidR="000579E0" w:rsidRDefault="000579E0" w:rsidP="005B028F">
            <w:pPr>
              <w:spacing w:after="0" w:line="240" w:lineRule="auto"/>
              <w:jc w:val="center"/>
              <w:rPr>
                <w:sz w:val="20"/>
                <w:szCs w:val="20"/>
              </w:rPr>
            </w:pPr>
          </w:p>
          <w:p w14:paraId="12FDD918" w14:textId="77777777" w:rsidR="000579E0" w:rsidRPr="00694DC6" w:rsidRDefault="000579E0" w:rsidP="005B028F">
            <w:pPr>
              <w:spacing w:after="0" w:line="240" w:lineRule="auto"/>
              <w:jc w:val="center"/>
              <w:rPr>
                <w:sz w:val="20"/>
                <w:szCs w:val="20"/>
              </w:rPr>
            </w:pPr>
          </w:p>
          <w:p w14:paraId="6833D92B" w14:textId="77777777" w:rsidR="00A63DDE" w:rsidRPr="00694DC6" w:rsidRDefault="00A63DDE" w:rsidP="00A63DDE">
            <w:pPr>
              <w:spacing w:after="0" w:line="240" w:lineRule="auto"/>
              <w:jc w:val="center"/>
              <w:rPr>
                <w:sz w:val="20"/>
                <w:szCs w:val="20"/>
              </w:rPr>
            </w:pPr>
            <w:r>
              <w:rPr>
                <w:sz w:val="20"/>
                <w:szCs w:val="20"/>
              </w:rPr>
              <w:t>Eduardo Javier Gracida Campos</w:t>
            </w:r>
          </w:p>
          <w:p w14:paraId="16395C6A" w14:textId="281F22A3" w:rsidR="000579E0" w:rsidRPr="00694DC6" w:rsidRDefault="00A63DDE" w:rsidP="00A63DDE">
            <w:pPr>
              <w:spacing w:after="0" w:line="240" w:lineRule="auto"/>
              <w:jc w:val="center"/>
              <w:rPr>
                <w:sz w:val="20"/>
                <w:szCs w:val="20"/>
              </w:rPr>
            </w:pPr>
            <w:r w:rsidRPr="00694DC6">
              <w:rPr>
                <w:sz w:val="20"/>
                <w:szCs w:val="20"/>
              </w:rPr>
              <w:t>Vocal</w:t>
            </w:r>
          </w:p>
        </w:tc>
        <w:tc>
          <w:tcPr>
            <w:tcW w:w="4412" w:type="dxa"/>
          </w:tcPr>
          <w:p w14:paraId="319B0F3F" w14:textId="77777777" w:rsidR="000579E0" w:rsidRPr="00694DC6" w:rsidRDefault="000579E0" w:rsidP="005B028F">
            <w:pPr>
              <w:spacing w:after="0" w:line="240" w:lineRule="auto"/>
              <w:jc w:val="center"/>
              <w:rPr>
                <w:sz w:val="20"/>
                <w:szCs w:val="20"/>
              </w:rPr>
            </w:pPr>
          </w:p>
          <w:p w14:paraId="24A4BB54" w14:textId="77777777" w:rsidR="000579E0" w:rsidRPr="00694DC6" w:rsidRDefault="000579E0" w:rsidP="005B028F">
            <w:pPr>
              <w:spacing w:after="0" w:line="240" w:lineRule="auto"/>
              <w:jc w:val="center"/>
              <w:rPr>
                <w:sz w:val="20"/>
                <w:szCs w:val="20"/>
              </w:rPr>
            </w:pPr>
          </w:p>
          <w:p w14:paraId="5EB35E61" w14:textId="77777777" w:rsidR="000579E0" w:rsidRPr="00694DC6" w:rsidRDefault="000579E0" w:rsidP="005B028F">
            <w:pPr>
              <w:spacing w:after="0" w:line="240" w:lineRule="auto"/>
              <w:jc w:val="center"/>
              <w:rPr>
                <w:sz w:val="20"/>
                <w:szCs w:val="20"/>
              </w:rPr>
            </w:pPr>
          </w:p>
          <w:p w14:paraId="5D312027" w14:textId="77777777" w:rsidR="00A63DDE" w:rsidRPr="00694DC6" w:rsidRDefault="00A63DDE" w:rsidP="00A63DDE">
            <w:pPr>
              <w:spacing w:after="0" w:line="240" w:lineRule="auto"/>
              <w:jc w:val="center"/>
              <w:rPr>
                <w:sz w:val="20"/>
                <w:szCs w:val="20"/>
              </w:rPr>
            </w:pPr>
            <w:r>
              <w:rPr>
                <w:sz w:val="20"/>
                <w:szCs w:val="20"/>
              </w:rPr>
              <w:t>Carlos Agustín Guerrero Elemen</w:t>
            </w:r>
          </w:p>
          <w:p w14:paraId="706239BE" w14:textId="40AB58AD" w:rsidR="000579E0" w:rsidRPr="00694DC6" w:rsidRDefault="00A63DDE" w:rsidP="00A63DDE">
            <w:pPr>
              <w:spacing w:after="0" w:line="240" w:lineRule="auto"/>
              <w:jc w:val="center"/>
              <w:rPr>
                <w:noProof/>
                <w:sz w:val="20"/>
                <w:szCs w:val="20"/>
              </w:rPr>
            </w:pPr>
            <w:r w:rsidRPr="00694DC6">
              <w:rPr>
                <w:noProof/>
                <w:sz w:val="20"/>
                <w:szCs w:val="20"/>
              </w:rPr>
              <w:t>Vocal</w:t>
            </w:r>
          </w:p>
        </w:tc>
      </w:tr>
      <w:tr w:rsidR="000579E0" w:rsidRPr="00D92C2D" w14:paraId="7AEBBF4D" w14:textId="77777777" w:rsidTr="005B028F">
        <w:trPr>
          <w:jc w:val="center"/>
        </w:trPr>
        <w:tc>
          <w:tcPr>
            <w:tcW w:w="4416" w:type="dxa"/>
          </w:tcPr>
          <w:p w14:paraId="66D7D544" w14:textId="77777777" w:rsidR="000579E0" w:rsidRPr="00694DC6" w:rsidRDefault="000579E0" w:rsidP="005B028F">
            <w:pPr>
              <w:spacing w:after="0" w:line="240" w:lineRule="auto"/>
              <w:jc w:val="center"/>
              <w:rPr>
                <w:sz w:val="20"/>
                <w:szCs w:val="20"/>
              </w:rPr>
            </w:pPr>
          </w:p>
          <w:p w14:paraId="011D8A58" w14:textId="77777777" w:rsidR="000579E0" w:rsidRDefault="000579E0" w:rsidP="005B028F">
            <w:pPr>
              <w:spacing w:after="0" w:line="240" w:lineRule="auto"/>
              <w:jc w:val="center"/>
              <w:rPr>
                <w:sz w:val="20"/>
                <w:szCs w:val="20"/>
              </w:rPr>
            </w:pPr>
          </w:p>
          <w:p w14:paraId="65510704" w14:textId="77777777" w:rsidR="000579E0" w:rsidRPr="00694DC6" w:rsidRDefault="000579E0" w:rsidP="005B028F">
            <w:pPr>
              <w:spacing w:after="0" w:line="240" w:lineRule="auto"/>
              <w:jc w:val="center"/>
              <w:rPr>
                <w:sz w:val="20"/>
                <w:szCs w:val="20"/>
              </w:rPr>
            </w:pPr>
          </w:p>
          <w:p w14:paraId="2EDBC317" w14:textId="77777777" w:rsidR="00A63DDE" w:rsidRPr="00694DC6" w:rsidRDefault="00A63DDE" w:rsidP="00A63DDE">
            <w:pPr>
              <w:spacing w:after="0" w:line="240" w:lineRule="auto"/>
              <w:jc w:val="center"/>
              <w:rPr>
                <w:sz w:val="20"/>
                <w:szCs w:val="20"/>
              </w:rPr>
            </w:pPr>
            <w:r>
              <w:rPr>
                <w:sz w:val="20"/>
                <w:szCs w:val="20"/>
              </w:rPr>
              <w:t>María Isabel Monterrubio Gómez</w:t>
            </w:r>
          </w:p>
          <w:p w14:paraId="094BB88E" w14:textId="3FD8213F" w:rsidR="000579E0" w:rsidRPr="00694DC6" w:rsidRDefault="00A63DDE" w:rsidP="00A63DDE">
            <w:pPr>
              <w:spacing w:after="0" w:line="240" w:lineRule="auto"/>
              <w:jc w:val="center"/>
              <w:rPr>
                <w:sz w:val="20"/>
                <w:szCs w:val="20"/>
              </w:rPr>
            </w:pPr>
            <w:r>
              <w:rPr>
                <w:sz w:val="20"/>
                <w:szCs w:val="20"/>
              </w:rPr>
              <w:t>Vocal</w:t>
            </w:r>
          </w:p>
        </w:tc>
        <w:tc>
          <w:tcPr>
            <w:tcW w:w="4412" w:type="dxa"/>
          </w:tcPr>
          <w:p w14:paraId="38F3C760" w14:textId="77777777" w:rsidR="000579E0" w:rsidRPr="00694DC6" w:rsidRDefault="000579E0" w:rsidP="005B028F">
            <w:pPr>
              <w:spacing w:after="0" w:line="240" w:lineRule="auto"/>
              <w:jc w:val="center"/>
              <w:rPr>
                <w:sz w:val="20"/>
                <w:szCs w:val="20"/>
              </w:rPr>
            </w:pPr>
          </w:p>
          <w:p w14:paraId="7B3472A8" w14:textId="77777777" w:rsidR="000579E0" w:rsidRPr="00694DC6" w:rsidRDefault="000579E0" w:rsidP="005B028F">
            <w:pPr>
              <w:spacing w:after="0" w:line="240" w:lineRule="auto"/>
              <w:jc w:val="center"/>
              <w:rPr>
                <w:sz w:val="20"/>
                <w:szCs w:val="20"/>
              </w:rPr>
            </w:pPr>
          </w:p>
          <w:p w14:paraId="261F8D7F" w14:textId="77777777" w:rsidR="000579E0" w:rsidRPr="00694DC6" w:rsidRDefault="000579E0" w:rsidP="005B028F">
            <w:pPr>
              <w:spacing w:after="0" w:line="240" w:lineRule="auto"/>
              <w:jc w:val="center"/>
              <w:rPr>
                <w:sz w:val="20"/>
                <w:szCs w:val="20"/>
              </w:rPr>
            </w:pPr>
          </w:p>
          <w:p w14:paraId="3A44CC9E" w14:textId="77777777" w:rsidR="00A63DDE" w:rsidRPr="00694DC6" w:rsidRDefault="00A63DDE" w:rsidP="00A63DDE">
            <w:pPr>
              <w:spacing w:after="0" w:line="240" w:lineRule="auto"/>
              <w:jc w:val="center"/>
              <w:rPr>
                <w:sz w:val="20"/>
                <w:szCs w:val="20"/>
              </w:rPr>
            </w:pPr>
            <w:r w:rsidRPr="00694DC6">
              <w:rPr>
                <w:sz w:val="20"/>
                <w:szCs w:val="20"/>
              </w:rPr>
              <w:t>Jorge Ventura Nevares</w:t>
            </w:r>
          </w:p>
          <w:p w14:paraId="194EB112" w14:textId="7C6A89AF" w:rsidR="000579E0" w:rsidRPr="00694DC6" w:rsidRDefault="00A63DDE" w:rsidP="00A63DDE">
            <w:pPr>
              <w:spacing w:after="0" w:line="240" w:lineRule="auto"/>
              <w:jc w:val="center"/>
              <w:rPr>
                <w:noProof/>
                <w:sz w:val="20"/>
                <w:szCs w:val="20"/>
              </w:rPr>
            </w:pPr>
            <w:r>
              <w:rPr>
                <w:sz w:val="20"/>
                <w:szCs w:val="20"/>
              </w:rPr>
              <w:t>Vocal</w:t>
            </w:r>
          </w:p>
        </w:tc>
      </w:tr>
      <w:tr w:rsidR="000579E0" w:rsidRPr="00D92C2D" w14:paraId="4B5BD9CD" w14:textId="77777777" w:rsidTr="005B028F">
        <w:trPr>
          <w:jc w:val="center"/>
        </w:trPr>
        <w:tc>
          <w:tcPr>
            <w:tcW w:w="4416" w:type="dxa"/>
          </w:tcPr>
          <w:p w14:paraId="4116DCEA" w14:textId="77777777" w:rsidR="000579E0" w:rsidRPr="00694DC6" w:rsidRDefault="000579E0" w:rsidP="005B028F">
            <w:pPr>
              <w:spacing w:after="0" w:line="240" w:lineRule="auto"/>
              <w:jc w:val="center"/>
              <w:rPr>
                <w:rFonts w:cs="Arial"/>
                <w:sz w:val="20"/>
                <w:szCs w:val="20"/>
              </w:rPr>
            </w:pPr>
          </w:p>
          <w:p w14:paraId="2525E53C" w14:textId="77777777" w:rsidR="000579E0" w:rsidRPr="00694DC6" w:rsidRDefault="000579E0" w:rsidP="005B028F">
            <w:pPr>
              <w:spacing w:after="0" w:line="240" w:lineRule="auto"/>
              <w:jc w:val="center"/>
              <w:rPr>
                <w:rFonts w:cs="Arial"/>
                <w:sz w:val="20"/>
                <w:szCs w:val="20"/>
              </w:rPr>
            </w:pPr>
          </w:p>
          <w:p w14:paraId="39D7FBAD" w14:textId="77777777" w:rsidR="000579E0" w:rsidRPr="00694DC6" w:rsidRDefault="000579E0" w:rsidP="005B028F">
            <w:pPr>
              <w:spacing w:after="0" w:line="240" w:lineRule="auto"/>
              <w:jc w:val="center"/>
              <w:rPr>
                <w:rFonts w:cs="Arial"/>
                <w:sz w:val="20"/>
                <w:szCs w:val="20"/>
              </w:rPr>
            </w:pPr>
          </w:p>
          <w:p w14:paraId="73DDBAEC" w14:textId="77777777" w:rsidR="00A63DDE" w:rsidRPr="00694DC6" w:rsidRDefault="00A63DDE" w:rsidP="00A63DDE">
            <w:pPr>
              <w:spacing w:after="0" w:line="240" w:lineRule="auto"/>
              <w:jc w:val="center"/>
              <w:rPr>
                <w:sz w:val="20"/>
                <w:szCs w:val="20"/>
              </w:rPr>
            </w:pPr>
            <w:r w:rsidRPr="00694DC6">
              <w:rPr>
                <w:sz w:val="20"/>
                <w:szCs w:val="20"/>
              </w:rPr>
              <w:t>Edgar Vielma Orozco</w:t>
            </w:r>
          </w:p>
          <w:p w14:paraId="59DB1CC5" w14:textId="1C58D531" w:rsidR="000579E0" w:rsidRPr="00694DC6" w:rsidRDefault="00A63DDE" w:rsidP="00A63DDE">
            <w:pPr>
              <w:spacing w:after="0" w:line="240" w:lineRule="auto"/>
              <w:jc w:val="center"/>
              <w:rPr>
                <w:rFonts w:cs="Arial"/>
                <w:sz w:val="20"/>
                <w:szCs w:val="20"/>
              </w:rPr>
            </w:pPr>
            <w:r>
              <w:rPr>
                <w:sz w:val="20"/>
                <w:szCs w:val="20"/>
              </w:rPr>
              <w:t>Vocal</w:t>
            </w:r>
          </w:p>
        </w:tc>
        <w:tc>
          <w:tcPr>
            <w:tcW w:w="4412" w:type="dxa"/>
          </w:tcPr>
          <w:p w14:paraId="45EB8BB5" w14:textId="77777777" w:rsidR="000579E0" w:rsidRPr="00694DC6" w:rsidRDefault="000579E0" w:rsidP="005B028F">
            <w:pPr>
              <w:spacing w:after="0" w:line="240" w:lineRule="auto"/>
              <w:jc w:val="center"/>
              <w:rPr>
                <w:noProof/>
                <w:sz w:val="20"/>
                <w:szCs w:val="20"/>
              </w:rPr>
            </w:pPr>
          </w:p>
          <w:p w14:paraId="785B65EF" w14:textId="77777777" w:rsidR="000579E0" w:rsidRPr="00694DC6" w:rsidRDefault="000579E0" w:rsidP="005B028F">
            <w:pPr>
              <w:spacing w:after="0" w:line="240" w:lineRule="auto"/>
              <w:jc w:val="center"/>
              <w:rPr>
                <w:noProof/>
                <w:sz w:val="20"/>
                <w:szCs w:val="20"/>
              </w:rPr>
            </w:pPr>
          </w:p>
          <w:p w14:paraId="65627117" w14:textId="77777777" w:rsidR="000579E0" w:rsidRPr="00694DC6" w:rsidRDefault="000579E0" w:rsidP="005B028F">
            <w:pPr>
              <w:spacing w:after="0" w:line="240" w:lineRule="auto"/>
              <w:jc w:val="center"/>
              <w:rPr>
                <w:noProof/>
                <w:sz w:val="20"/>
                <w:szCs w:val="20"/>
              </w:rPr>
            </w:pPr>
          </w:p>
          <w:p w14:paraId="5BAFC95F" w14:textId="77777777" w:rsidR="00A63DDE" w:rsidRPr="00694DC6" w:rsidRDefault="00A63DDE" w:rsidP="00A63DDE">
            <w:pPr>
              <w:spacing w:after="0" w:line="240" w:lineRule="auto"/>
              <w:jc w:val="center"/>
              <w:rPr>
                <w:sz w:val="20"/>
                <w:szCs w:val="20"/>
              </w:rPr>
            </w:pPr>
            <w:r>
              <w:rPr>
                <w:sz w:val="20"/>
                <w:szCs w:val="20"/>
              </w:rPr>
              <w:t>Armando Zúñiga Juárez</w:t>
            </w:r>
          </w:p>
          <w:p w14:paraId="763E33F3" w14:textId="01CD252C" w:rsidR="000579E0" w:rsidRPr="00694DC6" w:rsidRDefault="00A63DDE" w:rsidP="00A63DDE">
            <w:pPr>
              <w:spacing w:after="0" w:line="240" w:lineRule="auto"/>
              <w:jc w:val="center"/>
              <w:rPr>
                <w:noProof/>
                <w:sz w:val="20"/>
                <w:szCs w:val="20"/>
              </w:rPr>
            </w:pPr>
            <w:r w:rsidRPr="00694DC6">
              <w:rPr>
                <w:sz w:val="20"/>
                <w:szCs w:val="20"/>
              </w:rPr>
              <w:t>Vocal</w:t>
            </w:r>
          </w:p>
        </w:tc>
      </w:tr>
      <w:tr w:rsidR="000579E0" w:rsidRPr="00D92C2D" w14:paraId="2F3966C9" w14:textId="77777777" w:rsidTr="005B028F">
        <w:trPr>
          <w:jc w:val="center"/>
        </w:trPr>
        <w:tc>
          <w:tcPr>
            <w:tcW w:w="4416" w:type="dxa"/>
          </w:tcPr>
          <w:p w14:paraId="1DBF764D" w14:textId="77777777" w:rsidR="000579E0" w:rsidRPr="00694DC6" w:rsidRDefault="000579E0" w:rsidP="005B028F">
            <w:pPr>
              <w:spacing w:after="0" w:line="240" w:lineRule="auto"/>
              <w:jc w:val="center"/>
              <w:rPr>
                <w:rFonts w:cs="Arial"/>
                <w:sz w:val="20"/>
                <w:szCs w:val="20"/>
              </w:rPr>
            </w:pPr>
          </w:p>
          <w:p w14:paraId="552A1FDE" w14:textId="77777777" w:rsidR="000579E0" w:rsidRPr="00694DC6" w:rsidRDefault="000579E0" w:rsidP="005B028F">
            <w:pPr>
              <w:spacing w:after="0" w:line="240" w:lineRule="auto"/>
              <w:jc w:val="center"/>
              <w:rPr>
                <w:sz w:val="20"/>
                <w:szCs w:val="20"/>
              </w:rPr>
            </w:pPr>
          </w:p>
          <w:p w14:paraId="4C1574D2" w14:textId="77777777" w:rsidR="000579E0" w:rsidRPr="00694DC6" w:rsidRDefault="000579E0" w:rsidP="005B028F">
            <w:pPr>
              <w:spacing w:after="0" w:line="240" w:lineRule="auto"/>
              <w:jc w:val="center"/>
              <w:rPr>
                <w:sz w:val="20"/>
                <w:szCs w:val="20"/>
              </w:rPr>
            </w:pPr>
          </w:p>
          <w:p w14:paraId="6E2F68B7" w14:textId="50748AE6" w:rsidR="000579E0" w:rsidRPr="00694DC6" w:rsidRDefault="000579E0" w:rsidP="000751BB">
            <w:pPr>
              <w:spacing w:after="0" w:line="240" w:lineRule="auto"/>
              <w:jc w:val="center"/>
              <w:rPr>
                <w:sz w:val="20"/>
                <w:szCs w:val="20"/>
              </w:rPr>
            </w:pPr>
            <w:r w:rsidRPr="00694DC6">
              <w:rPr>
                <w:sz w:val="20"/>
                <w:szCs w:val="20"/>
              </w:rPr>
              <w:t xml:space="preserve">Alonso Araoz de la Torre </w:t>
            </w:r>
          </w:p>
          <w:p w14:paraId="2BD118D0" w14:textId="77777777" w:rsidR="000579E0" w:rsidRPr="00694DC6" w:rsidRDefault="000579E0" w:rsidP="005B028F">
            <w:pPr>
              <w:spacing w:after="0" w:line="240" w:lineRule="auto"/>
              <w:jc w:val="center"/>
              <w:rPr>
                <w:sz w:val="20"/>
                <w:szCs w:val="20"/>
              </w:rPr>
            </w:pPr>
            <w:r w:rsidRPr="00694DC6">
              <w:rPr>
                <w:sz w:val="20"/>
                <w:szCs w:val="20"/>
              </w:rPr>
              <w:t>Asesor</w:t>
            </w:r>
          </w:p>
        </w:tc>
        <w:tc>
          <w:tcPr>
            <w:tcW w:w="4412" w:type="dxa"/>
          </w:tcPr>
          <w:p w14:paraId="0FB19F6F" w14:textId="77777777" w:rsidR="000579E0" w:rsidRPr="00694DC6" w:rsidRDefault="000579E0" w:rsidP="005B028F">
            <w:pPr>
              <w:spacing w:after="0" w:line="240" w:lineRule="auto"/>
              <w:jc w:val="center"/>
              <w:rPr>
                <w:noProof/>
                <w:sz w:val="20"/>
                <w:szCs w:val="20"/>
              </w:rPr>
            </w:pPr>
          </w:p>
          <w:p w14:paraId="2C3E1DD2" w14:textId="77777777" w:rsidR="000579E0" w:rsidRPr="00694DC6" w:rsidRDefault="000579E0" w:rsidP="005B028F">
            <w:pPr>
              <w:spacing w:after="0" w:line="240" w:lineRule="auto"/>
              <w:jc w:val="center"/>
              <w:rPr>
                <w:noProof/>
                <w:sz w:val="20"/>
                <w:szCs w:val="20"/>
              </w:rPr>
            </w:pPr>
          </w:p>
          <w:p w14:paraId="660AD97A" w14:textId="77777777" w:rsidR="000579E0" w:rsidRPr="00694DC6" w:rsidRDefault="000579E0" w:rsidP="005B028F">
            <w:pPr>
              <w:spacing w:after="0" w:line="240" w:lineRule="auto"/>
              <w:jc w:val="center"/>
              <w:rPr>
                <w:noProof/>
                <w:sz w:val="20"/>
                <w:szCs w:val="20"/>
              </w:rPr>
            </w:pPr>
          </w:p>
          <w:p w14:paraId="49461581" w14:textId="77777777" w:rsidR="00CF5A03" w:rsidRPr="00694DC6" w:rsidRDefault="00CF5A03" w:rsidP="00CF5A03">
            <w:pPr>
              <w:spacing w:after="0" w:line="240" w:lineRule="auto"/>
              <w:jc w:val="center"/>
              <w:rPr>
                <w:sz w:val="20"/>
                <w:szCs w:val="20"/>
              </w:rPr>
            </w:pPr>
            <w:r w:rsidRPr="00694DC6">
              <w:rPr>
                <w:sz w:val="20"/>
                <w:szCs w:val="20"/>
              </w:rPr>
              <w:t>Gloria Martha Rubio Soto</w:t>
            </w:r>
          </w:p>
          <w:p w14:paraId="20B3DD31" w14:textId="77777777" w:rsidR="000579E0" w:rsidRPr="00694DC6" w:rsidRDefault="00CF5A03" w:rsidP="00CF5A03">
            <w:pPr>
              <w:spacing w:after="0" w:line="240" w:lineRule="auto"/>
              <w:jc w:val="center"/>
              <w:rPr>
                <w:sz w:val="20"/>
                <w:szCs w:val="20"/>
              </w:rPr>
            </w:pPr>
            <w:r w:rsidRPr="00694DC6">
              <w:rPr>
                <w:sz w:val="20"/>
                <w:szCs w:val="20"/>
              </w:rPr>
              <w:t>Invitada</w:t>
            </w:r>
          </w:p>
        </w:tc>
      </w:tr>
    </w:tbl>
    <w:p w14:paraId="4828F985" w14:textId="77777777" w:rsidR="008F2410" w:rsidRDefault="008F2410">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0579E0" w:rsidRPr="00D92C2D" w14:paraId="4A79F8D8" w14:textId="77777777" w:rsidTr="005B028F">
        <w:trPr>
          <w:jc w:val="center"/>
        </w:trPr>
        <w:tc>
          <w:tcPr>
            <w:tcW w:w="4416" w:type="dxa"/>
          </w:tcPr>
          <w:p w14:paraId="66F94E9D" w14:textId="77777777" w:rsidR="000579E0" w:rsidRPr="00694DC6" w:rsidRDefault="000579E0" w:rsidP="005B028F">
            <w:pPr>
              <w:spacing w:after="0" w:line="240" w:lineRule="auto"/>
              <w:jc w:val="center"/>
              <w:rPr>
                <w:sz w:val="20"/>
                <w:szCs w:val="20"/>
              </w:rPr>
            </w:pPr>
          </w:p>
          <w:p w14:paraId="0549BB13" w14:textId="53889DEB" w:rsidR="000579E0" w:rsidRDefault="000579E0" w:rsidP="005B028F">
            <w:pPr>
              <w:spacing w:after="0" w:line="240" w:lineRule="auto"/>
              <w:jc w:val="center"/>
              <w:rPr>
                <w:sz w:val="20"/>
                <w:szCs w:val="20"/>
              </w:rPr>
            </w:pPr>
          </w:p>
          <w:p w14:paraId="3B1F2945" w14:textId="77777777" w:rsidR="00777517" w:rsidRPr="00694DC6" w:rsidRDefault="00777517" w:rsidP="005B028F">
            <w:pPr>
              <w:spacing w:after="0" w:line="240" w:lineRule="auto"/>
              <w:jc w:val="center"/>
              <w:rPr>
                <w:sz w:val="20"/>
                <w:szCs w:val="20"/>
              </w:rPr>
            </w:pPr>
          </w:p>
          <w:p w14:paraId="789A79CD" w14:textId="61E4D862" w:rsidR="00CF5A03" w:rsidRPr="00694DC6" w:rsidRDefault="002F51F4" w:rsidP="00CF5A03">
            <w:pPr>
              <w:spacing w:after="0" w:line="240" w:lineRule="auto"/>
              <w:jc w:val="center"/>
              <w:rPr>
                <w:sz w:val="20"/>
                <w:szCs w:val="20"/>
              </w:rPr>
            </w:pPr>
            <w:r>
              <w:rPr>
                <w:sz w:val="20"/>
                <w:szCs w:val="20"/>
              </w:rPr>
              <w:t>Andrea Fernández Conde</w:t>
            </w:r>
          </w:p>
          <w:p w14:paraId="593FACA0" w14:textId="77777777" w:rsidR="000579E0" w:rsidRPr="00694DC6" w:rsidRDefault="00CF5A03" w:rsidP="00CF5A03">
            <w:pPr>
              <w:spacing w:after="0" w:line="240" w:lineRule="auto"/>
              <w:jc w:val="center"/>
              <w:rPr>
                <w:sz w:val="20"/>
                <w:szCs w:val="20"/>
              </w:rPr>
            </w:pPr>
            <w:r>
              <w:rPr>
                <w:sz w:val="20"/>
                <w:szCs w:val="20"/>
              </w:rPr>
              <w:t>Invitado</w:t>
            </w:r>
          </w:p>
        </w:tc>
        <w:tc>
          <w:tcPr>
            <w:tcW w:w="4412" w:type="dxa"/>
          </w:tcPr>
          <w:p w14:paraId="7ACE5967" w14:textId="77777777" w:rsidR="000579E0" w:rsidRPr="00694DC6" w:rsidRDefault="000579E0" w:rsidP="005B028F">
            <w:pPr>
              <w:spacing w:after="0" w:line="240" w:lineRule="auto"/>
              <w:jc w:val="center"/>
              <w:rPr>
                <w:sz w:val="20"/>
                <w:szCs w:val="20"/>
              </w:rPr>
            </w:pPr>
          </w:p>
          <w:p w14:paraId="5948B81B" w14:textId="31D2EF5D" w:rsidR="000579E0" w:rsidRDefault="000579E0" w:rsidP="005B028F">
            <w:pPr>
              <w:spacing w:after="0" w:line="240" w:lineRule="auto"/>
              <w:jc w:val="center"/>
              <w:rPr>
                <w:sz w:val="20"/>
                <w:szCs w:val="20"/>
              </w:rPr>
            </w:pPr>
          </w:p>
          <w:p w14:paraId="043582DA" w14:textId="77777777" w:rsidR="00777517" w:rsidRPr="00694DC6" w:rsidRDefault="00777517" w:rsidP="005B028F">
            <w:pPr>
              <w:spacing w:after="0" w:line="240" w:lineRule="auto"/>
              <w:jc w:val="center"/>
              <w:rPr>
                <w:sz w:val="20"/>
                <w:szCs w:val="20"/>
              </w:rPr>
            </w:pPr>
          </w:p>
          <w:p w14:paraId="25497763" w14:textId="77777777" w:rsidR="000A2723" w:rsidRDefault="000A2723" w:rsidP="000A2723">
            <w:pPr>
              <w:tabs>
                <w:tab w:val="left" w:pos="1461"/>
                <w:tab w:val="center" w:pos="2098"/>
              </w:tabs>
              <w:spacing w:after="0" w:line="240" w:lineRule="auto"/>
              <w:jc w:val="center"/>
              <w:rPr>
                <w:sz w:val="20"/>
                <w:szCs w:val="20"/>
              </w:rPr>
            </w:pPr>
            <w:r>
              <w:rPr>
                <w:sz w:val="20"/>
                <w:szCs w:val="20"/>
              </w:rPr>
              <w:t>Gonzalo Pérez de la Cruz</w:t>
            </w:r>
          </w:p>
          <w:p w14:paraId="06D23CFA" w14:textId="5E8A12B1" w:rsidR="000579E0" w:rsidRPr="00694DC6" w:rsidRDefault="000A2723" w:rsidP="00777517">
            <w:pPr>
              <w:spacing w:after="0" w:line="240" w:lineRule="auto"/>
              <w:jc w:val="center"/>
              <w:rPr>
                <w:sz w:val="20"/>
                <w:szCs w:val="20"/>
              </w:rPr>
            </w:pPr>
            <w:r>
              <w:rPr>
                <w:sz w:val="20"/>
                <w:szCs w:val="20"/>
              </w:rPr>
              <w:t xml:space="preserve">Invitado </w:t>
            </w:r>
          </w:p>
        </w:tc>
      </w:tr>
      <w:tr w:rsidR="007E4747" w:rsidRPr="00D92C2D" w14:paraId="0F439D33" w14:textId="77777777" w:rsidTr="005B028F">
        <w:trPr>
          <w:jc w:val="center"/>
        </w:trPr>
        <w:tc>
          <w:tcPr>
            <w:tcW w:w="4416" w:type="dxa"/>
          </w:tcPr>
          <w:p w14:paraId="444C4EE2" w14:textId="77777777" w:rsidR="007E4747" w:rsidRPr="00694DC6" w:rsidRDefault="007E4747" w:rsidP="005B028F">
            <w:pPr>
              <w:spacing w:after="0" w:line="240" w:lineRule="auto"/>
              <w:jc w:val="center"/>
              <w:rPr>
                <w:sz w:val="20"/>
                <w:szCs w:val="20"/>
              </w:rPr>
            </w:pPr>
          </w:p>
          <w:p w14:paraId="3E7B1AD4" w14:textId="77777777" w:rsidR="007E4747" w:rsidRPr="00694DC6" w:rsidRDefault="007E4747" w:rsidP="005B028F">
            <w:pPr>
              <w:spacing w:after="0" w:line="240" w:lineRule="auto"/>
              <w:jc w:val="center"/>
              <w:rPr>
                <w:sz w:val="20"/>
                <w:szCs w:val="20"/>
              </w:rPr>
            </w:pPr>
          </w:p>
          <w:p w14:paraId="13C111FB" w14:textId="77777777" w:rsidR="007E4747" w:rsidRPr="00694DC6" w:rsidRDefault="007E4747" w:rsidP="005B028F">
            <w:pPr>
              <w:spacing w:after="0" w:line="240" w:lineRule="auto"/>
              <w:jc w:val="center"/>
              <w:rPr>
                <w:sz w:val="20"/>
                <w:szCs w:val="20"/>
              </w:rPr>
            </w:pPr>
          </w:p>
          <w:p w14:paraId="065AEB4B" w14:textId="71FD294C" w:rsidR="000A2723" w:rsidRPr="00694DC6" w:rsidRDefault="003A0CC4" w:rsidP="000A2723">
            <w:pPr>
              <w:spacing w:after="0" w:line="240" w:lineRule="auto"/>
              <w:jc w:val="center"/>
              <w:rPr>
                <w:sz w:val="20"/>
                <w:szCs w:val="20"/>
              </w:rPr>
            </w:pPr>
            <w:r>
              <w:rPr>
                <w:sz w:val="20"/>
                <w:szCs w:val="20"/>
              </w:rPr>
              <w:t xml:space="preserve">José </w:t>
            </w:r>
            <w:r w:rsidR="000A2723">
              <w:rPr>
                <w:sz w:val="20"/>
                <w:szCs w:val="20"/>
              </w:rPr>
              <w:t>Alberto Valencia Armas</w:t>
            </w:r>
          </w:p>
          <w:p w14:paraId="3261AC2F" w14:textId="69015377" w:rsidR="007E4747" w:rsidRPr="00694DC6" w:rsidRDefault="000A2723" w:rsidP="000A2723">
            <w:pPr>
              <w:spacing w:after="0" w:line="240" w:lineRule="auto"/>
              <w:jc w:val="center"/>
              <w:rPr>
                <w:sz w:val="20"/>
                <w:szCs w:val="20"/>
              </w:rPr>
            </w:pPr>
            <w:r>
              <w:rPr>
                <w:sz w:val="20"/>
                <w:szCs w:val="20"/>
              </w:rPr>
              <w:t>Invitado</w:t>
            </w:r>
          </w:p>
        </w:tc>
        <w:tc>
          <w:tcPr>
            <w:tcW w:w="4412" w:type="dxa"/>
          </w:tcPr>
          <w:p w14:paraId="68175AEB" w14:textId="77777777" w:rsidR="007E4747" w:rsidRPr="00694DC6" w:rsidRDefault="007E4747" w:rsidP="005B028F">
            <w:pPr>
              <w:spacing w:after="0" w:line="240" w:lineRule="auto"/>
              <w:jc w:val="center"/>
              <w:rPr>
                <w:sz w:val="20"/>
                <w:szCs w:val="20"/>
              </w:rPr>
            </w:pPr>
          </w:p>
          <w:p w14:paraId="6307CD06" w14:textId="77777777" w:rsidR="007E4747" w:rsidRPr="00694DC6" w:rsidRDefault="007E4747" w:rsidP="005B028F">
            <w:pPr>
              <w:spacing w:after="0" w:line="240" w:lineRule="auto"/>
              <w:jc w:val="center"/>
              <w:rPr>
                <w:sz w:val="20"/>
                <w:szCs w:val="20"/>
              </w:rPr>
            </w:pPr>
          </w:p>
          <w:p w14:paraId="3D514F59" w14:textId="77777777" w:rsidR="00CF5A03" w:rsidRDefault="00CF5A03" w:rsidP="00CF5A03">
            <w:pPr>
              <w:spacing w:after="0" w:line="240" w:lineRule="auto"/>
              <w:jc w:val="center"/>
              <w:rPr>
                <w:sz w:val="20"/>
                <w:szCs w:val="20"/>
              </w:rPr>
            </w:pPr>
          </w:p>
          <w:p w14:paraId="57721846" w14:textId="77777777" w:rsidR="002F51F4" w:rsidRPr="00694DC6" w:rsidRDefault="002F51F4" w:rsidP="002F51F4">
            <w:pPr>
              <w:spacing w:after="0" w:line="240" w:lineRule="auto"/>
              <w:jc w:val="center"/>
              <w:rPr>
                <w:sz w:val="20"/>
                <w:szCs w:val="20"/>
              </w:rPr>
            </w:pPr>
            <w:r>
              <w:rPr>
                <w:sz w:val="20"/>
                <w:szCs w:val="20"/>
              </w:rPr>
              <w:t>Alfonso Tejeida Hernández</w:t>
            </w:r>
          </w:p>
          <w:p w14:paraId="73654637" w14:textId="4F1A26CC" w:rsidR="007E4747" w:rsidRPr="00694DC6" w:rsidRDefault="002F51F4" w:rsidP="002F51F4">
            <w:pPr>
              <w:spacing w:after="0" w:line="240" w:lineRule="auto"/>
              <w:jc w:val="center"/>
              <w:rPr>
                <w:sz w:val="20"/>
                <w:szCs w:val="20"/>
              </w:rPr>
            </w:pPr>
            <w:r>
              <w:rPr>
                <w:sz w:val="20"/>
                <w:szCs w:val="20"/>
              </w:rPr>
              <w:t>Invitado</w:t>
            </w:r>
          </w:p>
        </w:tc>
      </w:tr>
      <w:tr w:rsidR="007E4747" w:rsidRPr="00D92C2D" w14:paraId="4F84498B" w14:textId="77777777" w:rsidTr="005B028F">
        <w:trPr>
          <w:jc w:val="center"/>
        </w:trPr>
        <w:tc>
          <w:tcPr>
            <w:tcW w:w="4416" w:type="dxa"/>
          </w:tcPr>
          <w:p w14:paraId="2FF272B0" w14:textId="77777777" w:rsidR="007E4747" w:rsidRPr="00694DC6" w:rsidRDefault="007E4747" w:rsidP="005B028F">
            <w:pPr>
              <w:spacing w:after="0" w:line="240" w:lineRule="auto"/>
              <w:jc w:val="center"/>
              <w:rPr>
                <w:sz w:val="20"/>
                <w:szCs w:val="20"/>
              </w:rPr>
            </w:pPr>
          </w:p>
          <w:p w14:paraId="03269685" w14:textId="77777777" w:rsidR="007E4747" w:rsidRPr="00694DC6" w:rsidRDefault="007E4747" w:rsidP="005B028F">
            <w:pPr>
              <w:spacing w:after="0" w:line="240" w:lineRule="auto"/>
              <w:jc w:val="center"/>
              <w:rPr>
                <w:sz w:val="20"/>
                <w:szCs w:val="20"/>
              </w:rPr>
            </w:pPr>
          </w:p>
          <w:p w14:paraId="7A6911DA" w14:textId="77777777" w:rsidR="007E4747" w:rsidRPr="00694DC6" w:rsidRDefault="007E4747" w:rsidP="005B028F">
            <w:pPr>
              <w:spacing w:after="0" w:line="240" w:lineRule="auto"/>
              <w:jc w:val="center"/>
              <w:rPr>
                <w:sz w:val="20"/>
                <w:szCs w:val="20"/>
              </w:rPr>
            </w:pPr>
          </w:p>
          <w:p w14:paraId="431C35CF" w14:textId="304178E0" w:rsidR="000A2723" w:rsidRDefault="00B42F92" w:rsidP="000A2723">
            <w:pPr>
              <w:spacing w:after="0" w:line="240" w:lineRule="auto"/>
              <w:jc w:val="center"/>
              <w:rPr>
                <w:sz w:val="20"/>
                <w:szCs w:val="20"/>
              </w:rPr>
            </w:pPr>
            <w:r w:rsidRPr="00B42F92">
              <w:rPr>
                <w:sz w:val="20"/>
                <w:szCs w:val="20"/>
              </w:rPr>
              <w:t>Marco Antonio Gutiérrez Romero</w:t>
            </w:r>
            <w:r>
              <w:rPr>
                <w:sz w:val="20"/>
                <w:szCs w:val="20"/>
              </w:rPr>
              <w:t xml:space="preserve"> </w:t>
            </w:r>
          </w:p>
          <w:p w14:paraId="1F2389AD" w14:textId="2C4911BA" w:rsidR="007E4747" w:rsidRPr="00694DC6" w:rsidRDefault="000A2723" w:rsidP="000A2723">
            <w:pPr>
              <w:spacing w:after="0" w:line="240" w:lineRule="auto"/>
              <w:jc w:val="center"/>
              <w:rPr>
                <w:sz w:val="20"/>
                <w:szCs w:val="20"/>
              </w:rPr>
            </w:pPr>
            <w:r>
              <w:rPr>
                <w:sz w:val="20"/>
                <w:szCs w:val="20"/>
              </w:rPr>
              <w:t>Invitado</w:t>
            </w:r>
          </w:p>
        </w:tc>
        <w:tc>
          <w:tcPr>
            <w:tcW w:w="4412" w:type="dxa"/>
          </w:tcPr>
          <w:p w14:paraId="31658505" w14:textId="77777777" w:rsidR="007E4747" w:rsidRPr="00694DC6" w:rsidRDefault="007E4747" w:rsidP="005B028F">
            <w:pPr>
              <w:spacing w:after="0" w:line="240" w:lineRule="auto"/>
              <w:jc w:val="center"/>
              <w:rPr>
                <w:sz w:val="20"/>
                <w:szCs w:val="20"/>
              </w:rPr>
            </w:pPr>
          </w:p>
          <w:p w14:paraId="1EACDC1F" w14:textId="17F512D5" w:rsidR="007E4747" w:rsidRDefault="007E4747" w:rsidP="000A2723">
            <w:pPr>
              <w:spacing w:after="0" w:line="240" w:lineRule="auto"/>
              <w:jc w:val="center"/>
              <w:rPr>
                <w:sz w:val="20"/>
                <w:szCs w:val="20"/>
              </w:rPr>
            </w:pPr>
          </w:p>
          <w:p w14:paraId="387F2653" w14:textId="77777777" w:rsidR="007B42DB" w:rsidRPr="00694DC6" w:rsidRDefault="007B42DB" w:rsidP="005B028F">
            <w:pPr>
              <w:spacing w:after="0" w:line="240" w:lineRule="auto"/>
              <w:jc w:val="center"/>
              <w:rPr>
                <w:sz w:val="20"/>
                <w:szCs w:val="20"/>
              </w:rPr>
            </w:pPr>
          </w:p>
          <w:p w14:paraId="1C0975BC" w14:textId="4F17FA10" w:rsidR="000A2723" w:rsidRPr="00F82B3C" w:rsidRDefault="006A0B35" w:rsidP="000A2723">
            <w:pPr>
              <w:tabs>
                <w:tab w:val="left" w:pos="1461"/>
                <w:tab w:val="center" w:pos="2098"/>
              </w:tabs>
              <w:spacing w:after="0" w:line="240" w:lineRule="auto"/>
              <w:jc w:val="center"/>
              <w:rPr>
                <w:sz w:val="20"/>
              </w:rPr>
            </w:pPr>
            <w:r>
              <w:rPr>
                <w:sz w:val="20"/>
              </w:rPr>
              <w:t xml:space="preserve">Alexandra </w:t>
            </w:r>
            <w:r w:rsidR="00F4159F">
              <w:rPr>
                <w:sz w:val="20"/>
              </w:rPr>
              <w:t>Stéphanie</w:t>
            </w:r>
            <w:r w:rsidR="0004191D" w:rsidRPr="00F82B3C">
              <w:rPr>
                <w:sz w:val="20"/>
              </w:rPr>
              <w:t xml:space="preserve"> Boyer</w:t>
            </w:r>
          </w:p>
          <w:p w14:paraId="5ED293FD" w14:textId="3C38FEA5" w:rsidR="0004191D" w:rsidRPr="00694DC6" w:rsidRDefault="0004191D" w:rsidP="000A2723">
            <w:pPr>
              <w:tabs>
                <w:tab w:val="left" w:pos="1461"/>
                <w:tab w:val="center" w:pos="2098"/>
              </w:tabs>
              <w:spacing w:after="0" w:line="240" w:lineRule="auto"/>
              <w:jc w:val="center"/>
              <w:rPr>
                <w:sz w:val="20"/>
                <w:szCs w:val="20"/>
              </w:rPr>
            </w:pPr>
            <w:r>
              <w:rPr>
                <w:sz w:val="20"/>
                <w:szCs w:val="20"/>
              </w:rPr>
              <w:t>Invitada</w:t>
            </w:r>
          </w:p>
        </w:tc>
      </w:tr>
      <w:tr w:rsidR="0004191D" w:rsidRPr="0004191D" w14:paraId="0188DD8E" w14:textId="77777777" w:rsidTr="005B028F">
        <w:trPr>
          <w:jc w:val="center"/>
        </w:trPr>
        <w:tc>
          <w:tcPr>
            <w:tcW w:w="4416" w:type="dxa"/>
          </w:tcPr>
          <w:p w14:paraId="49195E13" w14:textId="77777777" w:rsidR="0004191D" w:rsidRDefault="0004191D" w:rsidP="005B028F">
            <w:pPr>
              <w:spacing w:after="0" w:line="240" w:lineRule="auto"/>
              <w:jc w:val="center"/>
            </w:pPr>
          </w:p>
          <w:p w14:paraId="42E4DE61" w14:textId="77777777" w:rsidR="0004191D" w:rsidRDefault="0004191D" w:rsidP="005B028F">
            <w:pPr>
              <w:spacing w:after="0" w:line="240" w:lineRule="auto"/>
              <w:jc w:val="center"/>
            </w:pPr>
          </w:p>
          <w:p w14:paraId="43CB24B8" w14:textId="77777777" w:rsidR="0004191D" w:rsidRDefault="0004191D" w:rsidP="005B028F">
            <w:pPr>
              <w:spacing w:after="0" w:line="240" w:lineRule="auto"/>
              <w:jc w:val="center"/>
            </w:pPr>
          </w:p>
          <w:p w14:paraId="7CBE38D8" w14:textId="77777777" w:rsidR="0004191D" w:rsidRPr="00194FA7" w:rsidRDefault="00194FA7" w:rsidP="005B028F">
            <w:pPr>
              <w:spacing w:after="0" w:line="240" w:lineRule="auto"/>
              <w:jc w:val="center"/>
              <w:rPr>
                <w:sz w:val="20"/>
                <w:szCs w:val="20"/>
              </w:rPr>
            </w:pPr>
            <w:r w:rsidRPr="00194FA7">
              <w:rPr>
                <w:sz w:val="20"/>
                <w:szCs w:val="20"/>
              </w:rPr>
              <w:t>Araceli Martínez Gama</w:t>
            </w:r>
          </w:p>
          <w:p w14:paraId="6B020CA3" w14:textId="1BD3FC19" w:rsidR="00194FA7" w:rsidRPr="0004191D" w:rsidRDefault="00194FA7" w:rsidP="005B028F">
            <w:pPr>
              <w:spacing w:after="0" w:line="240" w:lineRule="auto"/>
              <w:jc w:val="center"/>
            </w:pPr>
            <w:r w:rsidRPr="00194FA7">
              <w:rPr>
                <w:sz w:val="20"/>
                <w:szCs w:val="20"/>
              </w:rPr>
              <w:t>Invitada</w:t>
            </w:r>
          </w:p>
        </w:tc>
        <w:tc>
          <w:tcPr>
            <w:tcW w:w="4412" w:type="dxa"/>
          </w:tcPr>
          <w:p w14:paraId="48ABCA9E" w14:textId="77777777" w:rsidR="0004191D" w:rsidRPr="0004191D" w:rsidRDefault="0004191D" w:rsidP="005B028F">
            <w:pPr>
              <w:spacing w:after="0" w:line="240" w:lineRule="auto"/>
              <w:jc w:val="center"/>
            </w:pPr>
          </w:p>
        </w:tc>
      </w:tr>
    </w:tbl>
    <w:p w14:paraId="21064445" w14:textId="77777777" w:rsidR="005B028F" w:rsidRDefault="005B028F" w:rsidP="00A864E7">
      <w:pPr>
        <w:spacing w:after="200" w:line="276" w:lineRule="auto"/>
      </w:pPr>
    </w:p>
    <w:sectPr w:rsidR="005B028F" w:rsidSect="000579E0">
      <w:headerReference w:type="default" r:id="rId21"/>
      <w:footerReference w:type="default" r:id="rId2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35140" w14:textId="77777777" w:rsidR="00BF2C75" w:rsidRDefault="00BF2C75" w:rsidP="000579E0">
      <w:pPr>
        <w:spacing w:after="0" w:line="240" w:lineRule="auto"/>
      </w:pPr>
      <w:r>
        <w:separator/>
      </w:r>
    </w:p>
  </w:endnote>
  <w:endnote w:type="continuationSeparator" w:id="0">
    <w:p w14:paraId="2B12ABE5" w14:textId="77777777" w:rsidR="00BF2C75" w:rsidRDefault="00BF2C75"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16B8" w14:textId="06BD6155" w:rsidR="007F36BA" w:rsidRDefault="007F36BA" w:rsidP="002D3921">
    <w:pPr>
      <w:pStyle w:val="Piedepgina"/>
      <w:jc w:val="right"/>
    </w:pPr>
    <w:r>
      <w:fldChar w:fldCharType="begin"/>
    </w:r>
    <w:r>
      <w:instrText>PAGE   \* MERGEFORMAT</w:instrText>
    </w:r>
    <w:r>
      <w:fldChar w:fldCharType="separate"/>
    </w:r>
    <w:r w:rsidR="00714585" w:rsidRPr="00714585">
      <w:rPr>
        <w:noProof/>
        <w:lang w:val="es-ES"/>
      </w:rPr>
      <w:t>11</w:t>
    </w:r>
    <w:r>
      <w:rPr>
        <w:noProof/>
        <w:lang w:val="es-ES"/>
      </w:rPr>
      <w:fldChar w:fldCharType="end"/>
    </w:r>
    <w:r>
      <w:t xml:space="preserve"> de </w:t>
    </w:r>
    <w:r w:rsidR="00E07C6F">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8CF46" w14:textId="77777777" w:rsidR="00BF2C75" w:rsidRDefault="00BF2C75" w:rsidP="000579E0">
      <w:pPr>
        <w:spacing w:after="0" w:line="240" w:lineRule="auto"/>
      </w:pPr>
      <w:r>
        <w:separator/>
      </w:r>
    </w:p>
  </w:footnote>
  <w:footnote w:type="continuationSeparator" w:id="0">
    <w:p w14:paraId="15D5B894" w14:textId="77777777" w:rsidR="00BF2C75" w:rsidRDefault="00BF2C75"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7052" w14:textId="4EA49106" w:rsidR="007F36BA" w:rsidRDefault="007F36BA">
    <w:pPr>
      <w:pStyle w:val="Encabezado"/>
    </w:pPr>
  </w:p>
  <w:p w14:paraId="1A5C788F" w14:textId="42B34F66" w:rsidR="00165FBC" w:rsidRDefault="00165FBC" w:rsidP="00165FBC">
    <w:pPr>
      <w:pStyle w:val="Encabezado"/>
      <w:tabs>
        <w:tab w:val="clear" w:pos="4252"/>
        <w:tab w:val="clear" w:pos="8504"/>
        <w:tab w:val="center" w:pos="4419"/>
      </w:tabs>
    </w:pPr>
    <w:r>
      <w:rPr>
        <w:noProof/>
        <w:lang w:eastAsia="es-MX"/>
      </w:rPr>
      <mc:AlternateContent>
        <mc:Choice Requires="wps">
          <w:drawing>
            <wp:anchor distT="45720" distB="45720" distL="114300" distR="114300" simplePos="0" relativeHeight="251659264" behindDoc="0" locked="0" layoutInCell="1" allowOverlap="1" wp14:anchorId="4B40E2DB" wp14:editId="4F74534E">
              <wp:simplePos x="0" y="0"/>
              <wp:positionH relativeFrom="margin">
                <wp:posOffset>1924050</wp:posOffset>
              </wp:positionH>
              <wp:positionV relativeFrom="paragraph">
                <wp:posOffset>45085</wp:posOffset>
              </wp:positionV>
              <wp:extent cx="3962400" cy="615315"/>
              <wp:effectExtent l="0" t="0" r="19050"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15315"/>
                      </a:xfrm>
                      <a:prstGeom prst="rect">
                        <a:avLst/>
                      </a:prstGeom>
                      <a:solidFill>
                        <a:srgbClr val="FFFFFF"/>
                      </a:solidFill>
                      <a:ln w="9525">
                        <a:solidFill>
                          <a:srgbClr val="000000"/>
                        </a:solidFill>
                        <a:miter lim="800000"/>
                        <a:headEnd/>
                        <a:tailEnd/>
                      </a:ln>
                    </wps:spPr>
                    <wps:txbx>
                      <w:txbxContent>
                        <w:p w14:paraId="6BD89E32" w14:textId="57EC05AB" w:rsidR="00165FBC" w:rsidRDefault="00165FBC"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7039D694" w14:textId="177A2C92" w:rsidR="00165FBC" w:rsidRDefault="00165FBC" w:rsidP="00165FBC">
                          <w:pPr>
                            <w:spacing w:after="0" w:line="240" w:lineRule="auto"/>
                            <w:jc w:val="right"/>
                            <w:rPr>
                              <w:b/>
                            </w:rPr>
                          </w:pPr>
                          <w:r w:rsidRPr="009F7430">
                            <w:rPr>
                              <w:b/>
                            </w:rPr>
                            <w:t xml:space="preserve">ACTA DE LA </w:t>
                          </w:r>
                          <w:r>
                            <w:rPr>
                              <w:b/>
                            </w:rPr>
                            <w:t xml:space="preserve">PRIMERA SESIÓN 2018 </w:t>
                          </w:r>
                        </w:p>
                        <w:p w14:paraId="75E9D3B0" w14:textId="4C49FE59" w:rsidR="00165FBC" w:rsidRDefault="00165FBC" w:rsidP="00165FBC">
                          <w:pPr>
                            <w:spacing w:after="0" w:line="240" w:lineRule="auto"/>
                            <w:jc w:val="right"/>
                            <w:rPr>
                              <w:b/>
                            </w:rPr>
                          </w:pPr>
                          <w:r>
                            <w:rPr>
                              <w:b/>
                            </w:rPr>
                            <w:t>27 DE FEBRERO 2018</w:t>
                          </w:r>
                          <w:r w:rsidRPr="009F7430">
                            <w:rPr>
                              <w:b/>
                            </w:rPr>
                            <w:t xml:space="preserve"> </w:t>
                          </w:r>
                        </w:p>
                        <w:p w14:paraId="266B04BE" w14:textId="77777777" w:rsidR="00165FBC" w:rsidRPr="009F7430" w:rsidRDefault="00165FBC"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0E2DB" id="_x0000_t202" coordsize="21600,21600" o:spt="202" path="m,l,21600r21600,l21600,xe">
              <v:stroke joinstyle="miter"/>
              <v:path gradientshapeok="t" o:connecttype="rect"/>
            </v:shapetype>
            <v:shape id="Cuadro de texto 2" o:spid="_x0000_s1026" type="#_x0000_t202" style="position:absolute;margin-left:151.5pt;margin-top:3.55pt;width:312pt;height:48.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">
              <v:textbox>
                <w:txbxContent>
                  <w:p w14:paraId="6BD89E32" w14:textId="57EC05AB" w:rsidR="00165FBC" w:rsidRDefault="00165FBC"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7039D694" w14:textId="177A2C92" w:rsidR="00165FBC" w:rsidRDefault="00165FBC" w:rsidP="00165FBC">
                    <w:pPr>
                      <w:spacing w:after="0" w:line="240" w:lineRule="auto"/>
                      <w:jc w:val="right"/>
                      <w:rPr>
                        <w:b/>
                      </w:rPr>
                    </w:pPr>
                    <w:r w:rsidRPr="009F7430">
                      <w:rPr>
                        <w:b/>
                      </w:rPr>
                      <w:t xml:space="preserve">ACTA DE LA </w:t>
                    </w:r>
                    <w:r>
                      <w:rPr>
                        <w:b/>
                      </w:rPr>
                      <w:t xml:space="preserve">PRIMERA SESIÓN 2018 </w:t>
                    </w:r>
                  </w:p>
                  <w:p w14:paraId="75E9D3B0" w14:textId="4C49FE59" w:rsidR="00165FBC" w:rsidRDefault="00165FBC" w:rsidP="00165FBC">
                    <w:pPr>
                      <w:spacing w:after="0" w:line="240" w:lineRule="auto"/>
                      <w:jc w:val="right"/>
                      <w:rPr>
                        <w:b/>
                      </w:rPr>
                    </w:pPr>
                    <w:r>
                      <w:rPr>
                        <w:b/>
                      </w:rPr>
                      <w:t>27 DE FEBRERO 2018</w:t>
                    </w:r>
                    <w:r w:rsidRPr="009F7430">
                      <w:rPr>
                        <w:b/>
                      </w:rPr>
                      <w:t xml:space="preserve"> </w:t>
                    </w:r>
                  </w:p>
                  <w:p w14:paraId="266B04BE" w14:textId="77777777" w:rsidR="00165FBC" w:rsidRPr="009F7430" w:rsidRDefault="00165FBC"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Pr>
        <w:rFonts w:ascii="Verdana" w:hAnsi="Verdana"/>
        <w:noProof/>
        <w:color w:val="000000"/>
        <w:sz w:val="16"/>
        <w:szCs w:val="16"/>
        <w:lang w:eastAsia="es-MX"/>
      </w:rPr>
      <w:drawing>
        <wp:inline distT="0" distB="0" distL="0" distR="0" wp14:anchorId="62829121" wp14:editId="460691EE">
          <wp:extent cx="1223020" cy="723569"/>
          <wp:effectExtent l="0" t="0" r="0" b="635"/>
          <wp:docPr id="6" name="Imagen 6" descr="http://intranet.inegi.gob.mx/Servicios/Difusión/PublishingImages/enero_2013/01/logo-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negi.gob.mx/Servicios/Difusión/PublishingImages/enero_2013/01/logo-0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30" cy="735703"/>
                  </a:xfrm>
                  <a:prstGeom prst="rect">
                    <a:avLst/>
                  </a:prstGeom>
                  <a:noFill/>
                  <a:ln>
                    <a:noFill/>
                  </a:ln>
                </pic:spPr>
              </pic:pic>
            </a:graphicData>
          </a:graphic>
        </wp:inline>
      </w:drawing>
    </w:r>
    <w:r>
      <w:tab/>
    </w:r>
  </w:p>
  <w:p w14:paraId="11F8F5EC" w14:textId="77777777" w:rsidR="00165FBC" w:rsidRDefault="00165FBC">
    <w:pPr>
      <w:pStyle w:val="Encabezado"/>
    </w:pPr>
  </w:p>
  <w:p w14:paraId="00B8E5D7" w14:textId="77777777" w:rsidR="007F36BA" w:rsidRDefault="007F36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90FA1"/>
    <w:multiLevelType w:val="hybridMultilevel"/>
    <w:tmpl w:val="65BC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61952"/>
    <w:multiLevelType w:val="hybridMultilevel"/>
    <w:tmpl w:val="38765898"/>
    <w:lvl w:ilvl="0" w:tplc="B644C00A">
      <w:start w:val="1"/>
      <w:numFmt w:val="decimal"/>
      <w:lvlText w:val="%1."/>
      <w:lvlJc w:val="left"/>
      <w:pPr>
        <w:tabs>
          <w:tab w:val="num" w:pos="720"/>
        </w:tabs>
        <w:ind w:left="720" w:hanging="360"/>
      </w:pPr>
    </w:lvl>
    <w:lvl w:ilvl="1" w:tplc="080A000F">
      <w:start w:val="1"/>
      <w:numFmt w:val="decimal"/>
      <w:lvlText w:val="%2."/>
      <w:lvlJc w:val="left"/>
      <w:pPr>
        <w:tabs>
          <w:tab w:val="num" w:pos="1440"/>
        </w:tabs>
        <w:ind w:left="1440" w:hanging="360"/>
      </w:pPr>
      <w:rPr>
        <w:rFonts w:hint="default"/>
      </w:rPr>
    </w:lvl>
    <w:lvl w:ilvl="2" w:tplc="BD2A6A6C" w:tentative="1">
      <w:start w:val="1"/>
      <w:numFmt w:val="decimal"/>
      <w:lvlText w:val="%3."/>
      <w:lvlJc w:val="left"/>
      <w:pPr>
        <w:tabs>
          <w:tab w:val="num" w:pos="2160"/>
        </w:tabs>
        <w:ind w:left="2160" w:hanging="360"/>
      </w:pPr>
    </w:lvl>
    <w:lvl w:ilvl="3" w:tplc="44A8587C" w:tentative="1">
      <w:start w:val="1"/>
      <w:numFmt w:val="decimal"/>
      <w:lvlText w:val="%4."/>
      <w:lvlJc w:val="left"/>
      <w:pPr>
        <w:tabs>
          <w:tab w:val="num" w:pos="2880"/>
        </w:tabs>
        <w:ind w:left="2880" w:hanging="360"/>
      </w:pPr>
    </w:lvl>
    <w:lvl w:ilvl="4" w:tplc="23527050" w:tentative="1">
      <w:start w:val="1"/>
      <w:numFmt w:val="decimal"/>
      <w:lvlText w:val="%5."/>
      <w:lvlJc w:val="left"/>
      <w:pPr>
        <w:tabs>
          <w:tab w:val="num" w:pos="3600"/>
        </w:tabs>
        <w:ind w:left="3600" w:hanging="360"/>
      </w:pPr>
    </w:lvl>
    <w:lvl w:ilvl="5" w:tplc="3EBE5A7E" w:tentative="1">
      <w:start w:val="1"/>
      <w:numFmt w:val="decimal"/>
      <w:lvlText w:val="%6."/>
      <w:lvlJc w:val="left"/>
      <w:pPr>
        <w:tabs>
          <w:tab w:val="num" w:pos="4320"/>
        </w:tabs>
        <w:ind w:left="4320" w:hanging="360"/>
      </w:pPr>
    </w:lvl>
    <w:lvl w:ilvl="6" w:tplc="2C146874" w:tentative="1">
      <w:start w:val="1"/>
      <w:numFmt w:val="decimal"/>
      <w:lvlText w:val="%7."/>
      <w:lvlJc w:val="left"/>
      <w:pPr>
        <w:tabs>
          <w:tab w:val="num" w:pos="5040"/>
        </w:tabs>
        <w:ind w:left="5040" w:hanging="360"/>
      </w:pPr>
    </w:lvl>
    <w:lvl w:ilvl="7" w:tplc="ABFED1FC" w:tentative="1">
      <w:start w:val="1"/>
      <w:numFmt w:val="decimal"/>
      <w:lvlText w:val="%8."/>
      <w:lvlJc w:val="left"/>
      <w:pPr>
        <w:tabs>
          <w:tab w:val="num" w:pos="5760"/>
        </w:tabs>
        <w:ind w:left="5760" w:hanging="360"/>
      </w:pPr>
    </w:lvl>
    <w:lvl w:ilvl="8" w:tplc="36BE6228" w:tentative="1">
      <w:start w:val="1"/>
      <w:numFmt w:val="decimal"/>
      <w:lvlText w:val="%9."/>
      <w:lvlJc w:val="left"/>
      <w:pPr>
        <w:tabs>
          <w:tab w:val="num" w:pos="6480"/>
        </w:tabs>
        <w:ind w:left="6480" w:hanging="360"/>
      </w:pPr>
    </w:lvl>
  </w:abstractNum>
  <w:abstractNum w:abstractNumId="2" w15:restartNumberingAfterBreak="0">
    <w:nsid w:val="0FB82697"/>
    <w:multiLevelType w:val="hybridMultilevel"/>
    <w:tmpl w:val="4DB0B9FA"/>
    <w:lvl w:ilvl="0" w:tplc="2306FFA0">
      <w:start w:val="2"/>
      <w:numFmt w:val="decimal"/>
      <w:lvlText w:val="%1."/>
      <w:lvlJc w:val="left"/>
      <w:pPr>
        <w:tabs>
          <w:tab w:val="num" w:pos="720"/>
        </w:tabs>
        <w:ind w:left="720" w:hanging="360"/>
      </w:pPr>
    </w:lvl>
    <w:lvl w:ilvl="1" w:tplc="21947BC8" w:tentative="1">
      <w:start w:val="1"/>
      <w:numFmt w:val="decimal"/>
      <w:lvlText w:val="%2."/>
      <w:lvlJc w:val="left"/>
      <w:pPr>
        <w:tabs>
          <w:tab w:val="num" w:pos="1440"/>
        </w:tabs>
        <w:ind w:left="1440" w:hanging="360"/>
      </w:pPr>
    </w:lvl>
    <w:lvl w:ilvl="2" w:tplc="20E8EACE" w:tentative="1">
      <w:start w:val="1"/>
      <w:numFmt w:val="decimal"/>
      <w:lvlText w:val="%3."/>
      <w:lvlJc w:val="left"/>
      <w:pPr>
        <w:tabs>
          <w:tab w:val="num" w:pos="2160"/>
        </w:tabs>
        <w:ind w:left="2160" w:hanging="360"/>
      </w:pPr>
    </w:lvl>
    <w:lvl w:ilvl="3" w:tplc="89ECC2BA" w:tentative="1">
      <w:start w:val="1"/>
      <w:numFmt w:val="decimal"/>
      <w:lvlText w:val="%4."/>
      <w:lvlJc w:val="left"/>
      <w:pPr>
        <w:tabs>
          <w:tab w:val="num" w:pos="2880"/>
        </w:tabs>
        <w:ind w:left="2880" w:hanging="360"/>
      </w:pPr>
    </w:lvl>
    <w:lvl w:ilvl="4" w:tplc="FB940962" w:tentative="1">
      <w:start w:val="1"/>
      <w:numFmt w:val="decimal"/>
      <w:lvlText w:val="%5."/>
      <w:lvlJc w:val="left"/>
      <w:pPr>
        <w:tabs>
          <w:tab w:val="num" w:pos="3600"/>
        </w:tabs>
        <w:ind w:left="3600" w:hanging="360"/>
      </w:pPr>
    </w:lvl>
    <w:lvl w:ilvl="5" w:tplc="5A9C6A42" w:tentative="1">
      <w:start w:val="1"/>
      <w:numFmt w:val="decimal"/>
      <w:lvlText w:val="%6."/>
      <w:lvlJc w:val="left"/>
      <w:pPr>
        <w:tabs>
          <w:tab w:val="num" w:pos="4320"/>
        </w:tabs>
        <w:ind w:left="4320" w:hanging="360"/>
      </w:pPr>
    </w:lvl>
    <w:lvl w:ilvl="6" w:tplc="D9EE00C8" w:tentative="1">
      <w:start w:val="1"/>
      <w:numFmt w:val="decimal"/>
      <w:lvlText w:val="%7."/>
      <w:lvlJc w:val="left"/>
      <w:pPr>
        <w:tabs>
          <w:tab w:val="num" w:pos="5040"/>
        </w:tabs>
        <w:ind w:left="5040" w:hanging="360"/>
      </w:pPr>
    </w:lvl>
    <w:lvl w:ilvl="7" w:tplc="65ACDD28" w:tentative="1">
      <w:start w:val="1"/>
      <w:numFmt w:val="decimal"/>
      <w:lvlText w:val="%8."/>
      <w:lvlJc w:val="left"/>
      <w:pPr>
        <w:tabs>
          <w:tab w:val="num" w:pos="5760"/>
        </w:tabs>
        <w:ind w:left="5760" w:hanging="360"/>
      </w:pPr>
    </w:lvl>
    <w:lvl w:ilvl="8" w:tplc="F25C3C96" w:tentative="1">
      <w:start w:val="1"/>
      <w:numFmt w:val="decimal"/>
      <w:lvlText w:val="%9."/>
      <w:lvlJc w:val="left"/>
      <w:pPr>
        <w:tabs>
          <w:tab w:val="num" w:pos="6480"/>
        </w:tabs>
        <w:ind w:left="6480" w:hanging="360"/>
      </w:pPr>
    </w:lvl>
  </w:abstractNum>
  <w:abstractNum w:abstractNumId="3" w15:restartNumberingAfterBreak="0">
    <w:nsid w:val="1E572DDD"/>
    <w:multiLevelType w:val="hybridMultilevel"/>
    <w:tmpl w:val="42AAD376"/>
    <w:lvl w:ilvl="0" w:tplc="E87A2E80">
      <w:start w:val="1"/>
      <w:numFmt w:val="bullet"/>
      <w:lvlText w:val="•"/>
      <w:lvlJc w:val="left"/>
      <w:pPr>
        <w:tabs>
          <w:tab w:val="num" w:pos="720"/>
        </w:tabs>
        <w:ind w:left="720" w:hanging="360"/>
      </w:pPr>
      <w:rPr>
        <w:rFonts w:ascii="Arial" w:hAnsi="Arial" w:hint="default"/>
      </w:rPr>
    </w:lvl>
    <w:lvl w:ilvl="1" w:tplc="71BE2AD8" w:tentative="1">
      <w:start w:val="1"/>
      <w:numFmt w:val="bullet"/>
      <w:lvlText w:val="•"/>
      <w:lvlJc w:val="left"/>
      <w:pPr>
        <w:tabs>
          <w:tab w:val="num" w:pos="1440"/>
        </w:tabs>
        <w:ind w:left="1440" w:hanging="360"/>
      </w:pPr>
      <w:rPr>
        <w:rFonts w:ascii="Arial" w:hAnsi="Arial" w:hint="default"/>
      </w:rPr>
    </w:lvl>
    <w:lvl w:ilvl="2" w:tplc="F2FA207C" w:tentative="1">
      <w:start w:val="1"/>
      <w:numFmt w:val="bullet"/>
      <w:lvlText w:val="•"/>
      <w:lvlJc w:val="left"/>
      <w:pPr>
        <w:tabs>
          <w:tab w:val="num" w:pos="2160"/>
        </w:tabs>
        <w:ind w:left="2160" w:hanging="360"/>
      </w:pPr>
      <w:rPr>
        <w:rFonts w:ascii="Arial" w:hAnsi="Arial" w:hint="default"/>
      </w:rPr>
    </w:lvl>
    <w:lvl w:ilvl="3" w:tplc="954AA4C8" w:tentative="1">
      <w:start w:val="1"/>
      <w:numFmt w:val="bullet"/>
      <w:lvlText w:val="•"/>
      <w:lvlJc w:val="left"/>
      <w:pPr>
        <w:tabs>
          <w:tab w:val="num" w:pos="2880"/>
        </w:tabs>
        <w:ind w:left="2880" w:hanging="360"/>
      </w:pPr>
      <w:rPr>
        <w:rFonts w:ascii="Arial" w:hAnsi="Arial" w:hint="default"/>
      </w:rPr>
    </w:lvl>
    <w:lvl w:ilvl="4" w:tplc="04D811C8" w:tentative="1">
      <w:start w:val="1"/>
      <w:numFmt w:val="bullet"/>
      <w:lvlText w:val="•"/>
      <w:lvlJc w:val="left"/>
      <w:pPr>
        <w:tabs>
          <w:tab w:val="num" w:pos="3600"/>
        </w:tabs>
        <w:ind w:left="3600" w:hanging="360"/>
      </w:pPr>
      <w:rPr>
        <w:rFonts w:ascii="Arial" w:hAnsi="Arial" w:hint="default"/>
      </w:rPr>
    </w:lvl>
    <w:lvl w:ilvl="5" w:tplc="7F24F734" w:tentative="1">
      <w:start w:val="1"/>
      <w:numFmt w:val="bullet"/>
      <w:lvlText w:val="•"/>
      <w:lvlJc w:val="left"/>
      <w:pPr>
        <w:tabs>
          <w:tab w:val="num" w:pos="4320"/>
        </w:tabs>
        <w:ind w:left="4320" w:hanging="360"/>
      </w:pPr>
      <w:rPr>
        <w:rFonts w:ascii="Arial" w:hAnsi="Arial" w:hint="default"/>
      </w:rPr>
    </w:lvl>
    <w:lvl w:ilvl="6" w:tplc="26669F3A" w:tentative="1">
      <w:start w:val="1"/>
      <w:numFmt w:val="bullet"/>
      <w:lvlText w:val="•"/>
      <w:lvlJc w:val="left"/>
      <w:pPr>
        <w:tabs>
          <w:tab w:val="num" w:pos="5040"/>
        </w:tabs>
        <w:ind w:left="5040" w:hanging="360"/>
      </w:pPr>
      <w:rPr>
        <w:rFonts w:ascii="Arial" w:hAnsi="Arial" w:hint="default"/>
      </w:rPr>
    </w:lvl>
    <w:lvl w:ilvl="7" w:tplc="FD6E1A56" w:tentative="1">
      <w:start w:val="1"/>
      <w:numFmt w:val="bullet"/>
      <w:lvlText w:val="•"/>
      <w:lvlJc w:val="left"/>
      <w:pPr>
        <w:tabs>
          <w:tab w:val="num" w:pos="5760"/>
        </w:tabs>
        <w:ind w:left="5760" w:hanging="360"/>
      </w:pPr>
      <w:rPr>
        <w:rFonts w:ascii="Arial" w:hAnsi="Arial" w:hint="default"/>
      </w:rPr>
    </w:lvl>
    <w:lvl w:ilvl="8" w:tplc="D3A85A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4140BB"/>
    <w:multiLevelType w:val="hybridMultilevel"/>
    <w:tmpl w:val="1F3CA246"/>
    <w:lvl w:ilvl="0" w:tplc="C39CD122">
      <w:start w:val="1"/>
      <w:numFmt w:val="decimal"/>
      <w:lvlText w:val="%1."/>
      <w:lvlJc w:val="left"/>
      <w:pPr>
        <w:tabs>
          <w:tab w:val="num" w:pos="720"/>
        </w:tabs>
        <w:ind w:left="720" w:hanging="360"/>
      </w:pPr>
    </w:lvl>
    <w:lvl w:ilvl="1" w:tplc="C49E9970" w:tentative="1">
      <w:start w:val="1"/>
      <w:numFmt w:val="decimal"/>
      <w:lvlText w:val="%2."/>
      <w:lvlJc w:val="left"/>
      <w:pPr>
        <w:tabs>
          <w:tab w:val="num" w:pos="1440"/>
        </w:tabs>
        <w:ind w:left="1440" w:hanging="360"/>
      </w:pPr>
    </w:lvl>
    <w:lvl w:ilvl="2" w:tplc="D81082FC" w:tentative="1">
      <w:start w:val="1"/>
      <w:numFmt w:val="decimal"/>
      <w:lvlText w:val="%3."/>
      <w:lvlJc w:val="left"/>
      <w:pPr>
        <w:tabs>
          <w:tab w:val="num" w:pos="2160"/>
        </w:tabs>
        <w:ind w:left="2160" w:hanging="360"/>
      </w:pPr>
    </w:lvl>
    <w:lvl w:ilvl="3" w:tplc="78048BF4" w:tentative="1">
      <w:start w:val="1"/>
      <w:numFmt w:val="decimal"/>
      <w:lvlText w:val="%4."/>
      <w:lvlJc w:val="left"/>
      <w:pPr>
        <w:tabs>
          <w:tab w:val="num" w:pos="2880"/>
        </w:tabs>
        <w:ind w:left="2880" w:hanging="360"/>
      </w:pPr>
    </w:lvl>
    <w:lvl w:ilvl="4" w:tplc="74764466" w:tentative="1">
      <w:start w:val="1"/>
      <w:numFmt w:val="decimal"/>
      <w:lvlText w:val="%5."/>
      <w:lvlJc w:val="left"/>
      <w:pPr>
        <w:tabs>
          <w:tab w:val="num" w:pos="3600"/>
        </w:tabs>
        <w:ind w:left="3600" w:hanging="360"/>
      </w:pPr>
    </w:lvl>
    <w:lvl w:ilvl="5" w:tplc="5F2E0576" w:tentative="1">
      <w:start w:val="1"/>
      <w:numFmt w:val="decimal"/>
      <w:lvlText w:val="%6."/>
      <w:lvlJc w:val="left"/>
      <w:pPr>
        <w:tabs>
          <w:tab w:val="num" w:pos="4320"/>
        </w:tabs>
        <w:ind w:left="4320" w:hanging="360"/>
      </w:pPr>
    </w:lvl>
    <w:lvl w:ilvl="6" w:tplc="F326A83E" w:tentative="1">
      <w:start w:val="1"/>
      <w:numFmt w:val="decimal"/>
      <w:lvlText w:val="%7."/>
      <w:lvlJc w:val="left"/>
      <w:pPr>
        <w:tabs>
          <w:tab w:val="num" w:pos="5040"/>
        </w:tabs>
        <w:ind w:left="5040" w:hanging="360"/>
      </w:pPr>
    </w:lvl>
    <w:lvl w:ilvl="7" w:tplc="CAE68E88" w:tentative="1">
      <w:start w:val="1"/>
      <w:numFmt w:val="decimal"/>
      <w:lvlText w:val="%8."/>
      <w:lvlJc w:val="left"/>
      <w:pPr>
        <w:tabs>
          <w:tab w:val="num" w:pos="5760"/>
        </w:tabs>
        <w:ind w:left="5760" w:hanging="360"/>
      </w:pPr>
    </w:lvl>
    <w:lvl w:ilvl="8" w:tplc="5EA413A2" w:tentative="1">
      <w:start w:val="1"/>
      <w:numFmt w:val="decimal"/>
      <w:lvlText w:val="%9."/>
      <w:lvlJc w:val="left"/>
      <w:pPr>
        <w:tabs>
          <w:tab w:val="num" w:pos="6480"/>
        </w:tabs>
        <w:ind w:left="6480" w:hanging="360"/>
      </w:pPr>
    </w:lvl>
  </w:abstractNum>
  <w:abstractNum w:abstractNumId="5" w15:restartNumberingAfterBreak="0">
    <w:nsid w:val="2B337690"/>
    <w:multiLevelType w:val="hybridMultilevel"/>
    <w:tmpl w:val="C7B02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7E5340"/>
    <w:multiLevelType w:val="hybridMultilevel"/>
    <w:tmpl w:val="E93EA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407739"/>
    <w:multiLevelType w:val="hybridMultilevel"/>
    <w:tmpl w:val="25EA09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6A74C3"/>
    <w:multiLevelType w:val="hybridMultilevel"/>
    <w:tmpl w:val="53EC1BAC"/>
    <w:lvl w:ilvl="0" w:tplc="186A0436">
      <w:start w:val="1"/>
      <w:numFmt w:val="bullet"/>
      <w:lvlText w:val=""/>
      <w:lvlJc w:val="left"/>
      <w:pPr>
        <w:tabs>
          <w:tab w:val="num" w:pos="720"/>
        </w:tabs>
        <w:ind w:left="720" w:hanging="360"/>
      </w:pPr>
      <w:rPr>
        <w:rFonts w:ascii="Wingdings" w:hAnsi="Wingdings" w:hint="default"/>
      </w:rPr>
    </w:lvl>
    <w:lvl w:ilvl="1" w:tplc="CC626EEE" w:tentative="1">
      <w:start w:val="1"/>
      <w:numFmt w:val="bullet"/>
      <w:lvlText w:val=""/>
      <w:lvlJc w:val="left"/>
      <w:pPr>
        <w:tabs>
          <w:tab w:val="num" w:pos="1440"/>
        </w:tabs>
        <w:ind w:left="1440" w:hanging="360"/>
      </w:pPr>
      <w:rPr>
        <w:rFonts w:ascii="Wingdings" w:hAnsi="Wingdings" w:hint="default"/>
      </w:rPr>
    </w:lvl>
    <w:lvl w:ilvl="2" w:tplc="26E468DC">
      <w:start w:val="1"/>
      <w:numFmt w:val="bullet"/>
      <w:lvlText w:val=""/>
      <w:lvlJc w:val="left"/>
      <w:pPr>
        <w:tabs>
          <w:tab w:val="num" w:pos="2160"/>
        </w:tabs>
        <w:ind w:left="2160" w:hanging="360"/>
      </w:pPr>
      <w:rPr>
        <w:rFonts w:ascii="Wingdings" w:hAnsi="Wingdings" w:hint="default"/>
      </w:rPr>
    </w:lvl>
    <w:lvl w:ilvl="3" w:tplc="39363A0A" w:tentative="1">
      <w:start w:val="1"/>
      <w:numFmt w:val="bullet"/>
      <w:lvlText w:val=""/>
      <w:lvlJc w:val="left"/>
      <w:pPr>
        <w:tabs>
          <w:tab w:val="num" w:pos="2880"/>
        </w:tabs>
        <w:ind w:left="2880" w:hanging="360"/>
      </w:pPr>
      <w:rPr>
        <w:rFonts w:ascii="Wingdings" w:hAnsi="Wingdings" w:hint="default"/>
      </w:rPr>
    </w:lvl>
    <w:lvl w:ilvl="4" w:tplc="05C6B85A" w:tentative="1">
      <w:start w:val="1"/>
      <w:numFmt w:val="bullet"/>
      <w:lvlText w:val=""/>
      <w:lvlJc w:val="left"/>
      <w:pPr>
        <w:tabs>
          <w:tab w:val="num" w:pos="3600"/>
        </w:tabs>
        <w:ind w:left="3600" w:hanging="360"/>
      </w:pPr>
      <w:rPr>
        <w:rFonts w:ascii="Wingdings" w:hAnsi="Wingdings" w:hint="default"/>
      </w:rPr>
    </w:lvl>
    <w:lvl w:ilvl="5" w:tplc="E046930A" w:tentative="1">
      <w:start w:val="1"/>
      <w:numFmt w:val="bullet"/>
      <w:lvlText w:val=""/>
      <w:lvlJc w:val="left"/>
      <w:pPr>
        <w:tabs>
          <w:tab w:val="num" w:pos="4320"/>
        </w:tabs>
        <w:ind w:left="4320" w:hanging="360"/>
      </w:pPr>
      <w:rPr>
        <w:rFonts w:ascii="Wingdings" w:hAnsi="Wingdings" w:hint="default"/>
      </w:rPr>
    </w:lvl>
    <w:lvl w:ilvl="6" w:tplc="7A4A01DE" w:tentative="1">
      <w:start w:val="1"/>
      <w:numFmt w:val="bullet"/>
      <w:lvlText w:val=""/>
      <w:lvlJc w:val="left"/>
      <w:pPr>
        <w:tabs>
          <w:tab w:val="num" w:pos="5040"/>
        </w:tabs>
        <w:ind w:left="5040" w:hanging="360"/>
      </w:pPr>
      <w:rPr>
        <w:rFonts w:ascii="Wingdings" w:hAnsi="Wingdings" w:hint="default"/>
      </w:rPr>
    </w:lvl>
    <w:lvl w:ilvl="7" w:tplc="188AA47E" w:tentative="1">
      <w:start w:val="1"/>
      <w:numFmt w:val="bullet"/>
      <w:lvlText w:val=""/>
      <w:lvlJc w:val="left"/>
      <w:pPr>
        <w:tabs>
          <w:tab w:val="num" w:pos="5760"/>
        </w:tabs>
        <w:ind w:left="5760" w:hanging="360"/>
      </w:pPr>
      <w:rPr>
        <w:rFonts w:ascii="Wingdings" w:hAnsi="Wingdings" w:hint="default"/>
      </w:rPr>
    </w:lvl>
    <w:lvl w:ilvl="8" w:tplc="E53E2D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F6201"/>
    <w:multiLevelType w:val="hybridMultilevel"/>
    <w:tmpl w:val="0862F3FA"/>
    <w:lvl w:ilvl="0" w:tplc="3DB46FA8">
      <w:start w:val="3"/>
      <w:numFmt w:val="decimal"/>
      <w:lvlText w:val="%1."/>
      <w:lvlJc w:val="left"/>
      <w:pPr>
        <w:tabs>
          <w:tab w:val="num" w:pos="720"/>
        </w:tabs>
        <w:ind w:left="720" w:hanging="360"/>
      </w:pPr>
    </w:lvl>
    <w:lvl w:ilvl="1" w:tplc="22E07522" w:tentative="1">
      <w:start w:val="1"/>
      <w:numFmt w:val="decimal"/>
      <w:lvlText w:val="%2."/>
      <w:lvlJc w:val="left"/>
      <w:pPr>
        <w:tabs>
          <w:tab w:val="num" w:pos="1440"/>
        </w:tabs>
        <w:ind w:left="1440" w:hanging="360"/>
      </w:pPr>
    </w:lvl>
    <w:lvl w:ilvl="2" w:tplc="073CF0C4" w:tentative="1">
      <w:start w:val="1"/>
      <w:numFmt w:val="decimal"/>
      <w:lvlText w:val="%3."/>
      <w:lvlJc w:val="left"/>
      <w:pPr>
        <w:tabs>
          <w:tab w:val="num" w:pos="2160"/>
        </w:tabs>
        <w:ind w:left="2160" w:hanging="360"/>
      </w:pPr>
    </w:lvl>
    <w:lvl w:ilvl="3" w:tplc="4C48C652" w:tentative="1">
      <w:start w:val="1"/>
      <w:numFmt w:val="decimal"/>
      <w:lvlText w:val="%4."/>
      <w:lvlJc w:val="left"/>
      <w:pPr>
        <w:tabs>
          <w:tab w:val="num" w:pos="2880"/>
        </w:tabs>
        <w:ind w:left="2880" w:hanging="360"/>
      </w:pPr>
    </w:lvl>
    <w:lvl w:ilvl="4" w:tplc="CF660B30" w:tentative="1">
      <w:start w:val="1"/>
      <w:numFmt w:val="decimal"/>
      <w:lvlText w:val="%5."/>
      <w:lvlJc w:val="left"/>
      <w:pPr>
        <w:tabs>
          <w:tab w:val="num" w:pos="3600"/>
        </w:tabs>
        <w:ind w:left="3600" w:hanging="360"/>
      </w:pPr>
    </w:lvl>
    <w:lvl w:ilvl="5" w:tplc="939A1CF2" w:tentative="1">
      <w:start w:val="1"/>
      <w:numFmt w:val="decimal"/>
      <w:lvlText w:val="%6."/>
      <w:lvlJc w:val="left"/>
      <w:pPr>
        <w:tabs>
          <w:tab w:val="num" w:pos="4320"/>
        </w:tabs>
        <w:ind w:left="4320" w:hanging="360"/>
      </w:pPr>
    </w:lvl>
    <w:lvl w:ilvl="6" w:tplc="CDE08CCA" w:tentative="1">
      <w:start w:val="1"/>
      <w:numFmt w:val="decimal"/>
      <w:lvlText w:val="%7."/>
      <w:lvlJc w:val="left"/>
      <w:pPr>
        <w:tabs>
          <w:tab w:val="num" w:pos="5040"/>
        </w:tabs>
        <w:ind w:left="5040" w:hanging="360"/>
      </w:pPr>
    </w:lvl>
    <w:lvl w:ilvl="7" w:tplc="CA049288" w:tentative="1">
      <w:start w:val="1"/>
      <w:numFmt w:val="decimal"/>
      <w:lvlText w:val="%8."/>
      <w:lvlJc w:val="left"/>
      <w:pPr>
        <w:tabs>
          <w:tab w:val="num" w:pos="5760"/>
        </w:tabs>
        <w:ind w:left="5760" w:hanging="360"/>
      </w:pPr>
    </w:lvl>
    <w:lvl w:ilvl="8" w:tplc="D85A7F1E" w:tentative="1">
      <w:start w:val="1"/>
      <w:numFmt w:val="decimal"/>
      <w:lvlText w:val="%9."/>
      <w:lvlJc w:val="left"/>
      <w:pPr>
        <w:tabs>
          <w:tab w:val="num" w:pos="6480"/>
        </w:tabs>
        <w:ind w:left="6480" w:hanging="360"/>
      </w:pPr>
    </w:lvl>
  </w:abstractNum>
  <w:abstractNum w:abstractNumId="10" w15:restartNumberingAfterBreak="0">
    <w:nsid w:val="6A713CC6"/>
    <w:multiLevelType w:val="hybridMultilevel"/>
    <w:tmpl w:val="25B853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966825"/>
    <w:multiLevelType w:val="hybridMultilevel"/>
    <w:tmpl w:val="2458C550"/>
    <w:lvl w:ilvl="0" w:tplc="44F829A2">
      <w:start w:val="1"/>
      <w:numFmt w:val="decimal"/>
      <w:lvlText w:val="%1."/>
      <w:lvlJc w:val="left"/>
      <w:pPr>
        <w:tabs>
          <w:tab w:val="num" w:pos="720"/>
        </w:tabs>
        <w:ind w:left="720" w:hanging="360"/>
      </w:pPr>
    </w:lvl>
    <w:lvl w:ilvl="1" w:tplc="80500D34" w:tentative="1">
      <w:start w:val="1"/>
      <w:numFmt w:val="decimal"/>
      <w:lvlText w:val="%2."/>
      <w:lvlJc w:val="left"/>
      <w:pPr>
        <w:tabs>
          <w:tab w:val="num" w:pos="1440"/>
        </w:tabs>
        <w:ind w:left="1440" w:hanging="360"/>
      </w:pPr>
    </w:lvl>
    <w:lvl w:ilvl="2" w:tplc="FCB2C650" w:tentative="1">
      <w:start w:val="1"/>
      <w:numFmt w:val="decimal"/>
      <w:lvlText w:val="%3."/>
      <w:lvlJc w:val="left"/>
      <w:pPr>
        <w:tabs>
          <w:tab w:val="num" w:pos="2160"/>
        </w:tabs>
        <w:ind w:left="2160" w:hanging="360"/>
      </w:pPr>
    </w:lvl>
    <w:lvl w:ilvl="3" w:tplc="886033CE" w:tentative="1">
      <w:start w:val="1"/>
      <w:numFmt w:val="decimal"/>
      <w:lvlText w:val="%4."/>
      <w:lvlJc w:val="left"/>
      <w:pPr>
        <w:tabs>
          <w:tab w:val="num" w:pos="2880"/>
        </w:tabs>
        <w:ind w:left="2880" w:hanging="360"/>
      </w:pPr>
    </w:lvl>
    <w:lvl w:ilvl="4" w:tplc="B66CE854" w:tentative="1">
      <w:start w:val="1"/>
      <w:numFmt w:val="decimal"/>
      <w:lvlText w:val="%5."/>
      <w:lvlJc w:val="left"/>
      <w:pPr>
        <w:tabs>
          <w:tab w:val="num" w:pos="3600"/>
        </w:tabs>
        <w:ind w:left="3600" w:hanging="360"/>
      </w:pPr>
    </w:lvl>
    <w:lvl w:ilvl="5" w:tplc="5ECABE78" w:tentative="1">
      <w:start w:val="1"/>
      <w:numFmt w:val="decimal"/>
      <w:lvlText w:val="%6."/>
      <w:lvlJc w:val="left"/>
      <w:pPr>
        <w:tabs>
          <w:tab w:val="num" w:pos="4320"/>
        </w:tabs>
        <w:ind w:left="4320" w:hanging="360"/>
      </w:pPr>
    </w:lvl>
    <w:lvl w:ilvl="6" w:tplc="79CAA4E8" w:tentative="1">
      <w:start w:val="1"/>
      <w:numFmt w:val="decimal"/>
      <w:lvlText w:val="%7."/>
      <w:lvlJc w:val="left"/>
      <w:pPr>
        <w:tabs>
          <w:tab w:val="num" w:pos="5040"/>
        </w:tabs>
        <w:ind w:left="5040" w:hanging="360"/>
      </w:pPr>
    </w:lvl>
    <w:lvl w:ilvl="7" w:tplc="E5B25E30" w:tentative="1">
      <w:start w:val="1"/>
      <w:numFmt w:val="decimal"/>
      <w:lvlText w:val="%8."/>
      <w:lvlJc w:val="left"/>
      <w:pPr>
        <w:tabs>
          <w:tab w:val="num" w:pos="5760"/>
        </w:tabs>
        <w:ind w:left="5760" w:hanging="360"/>
      </w:pPr>
    </w:lvl>
    <w:lvl w:ilvl="8" w:tplc="BACCBB26" w:tentative="1">
      <w:start w:val="1"/>
      <w:numFmt w:val="decimal"/>
      <w:lvlText w:val="%9."/>
      <w:lvlJc w:val="left"/>
      <w:pPr>
        <w:tabs>
          <w:tab w:val="num" w:pos="6480"/>
        </w:tabs>
        <w:ind w:left="6480" w:hanging="360"/>
      </w:pPr>
    </w:lvl>
  </w:abstractNum>
  <w:abstractNum w:abstractNumId="12" w15:restartNumberingAfterBreak="0">
    <w:nsid w:val="77B47FC3"/>
    <w:multiLevelType w:val="hybridMultilevel"/>
    <w:tmpl w:val="54E2D9F2"/>
    <w:lvl w:ilvl="0" w:tplc="A914DA84">
      <w:start w:val="1"/>
      <w:numFmt w:val="bullet"/>
      <w:lvlText w:val="•"/>
      <w:lvlJc w:val="left"/>
      <w:pPr>
        <w:tabs>
          <w:tab w:val="num" w:pos="720"/>
        </w:tabs>
        <w:ind w:left="720" w:hanging="360"/>
      </w:pPr>
      <w:rPr>
        <w:rFonts w:ascii="Arial" w:hAnsi="Arial" w:hint="default"/>
      </w:rPr>
    </w:lvl>
    <w:lvl w:ilvl="1" w:tplc="7E68C7CA" w:tentative="1">
      <w:start w:val="1"/>
      <w:numFmt w:val="bullet"/>
      <w:lvlText w:val="•"/>
      <w:lvlJc w:val="left"/>
      <w:pPr>
        <w:tabs>
          <w:tab w:val="num" w:pos="1440"/>
        </w:tabs>
        <w:ind w:left="1440" w:hanging="360"/>
      </w:pPr>
      <w:rPr>
        <w:rFonts w:ascii="Arial" w:hAnsi="Arial" w:hint="default"/>
      </w:rPr>
    </w:lvl>
    <w:lvl w:ilvl="2" w:tplc="14A20CAE" w:tentative="1">
      <w:start w:val="1"/>
      <w:numFmt w:val="bullet"/>
      <w:lvlText w:val="•"/>
      <w:lvlJc w:val="left"/>
      <w:pPr>
        <w:tabs>
          <w:tab w:val="num" w:pos="2160"/>
        </w:tabs>
        <w:ind w:left="2160" w:hanging="360"/>
      </w:pPr>
      <w:rPr>
        <w:rFonts w:ascii="Arial" w:hAnsi="Arial" w:hint="default"/>
      </w:rPr>
    </w:lvl>
    <w:lvl w:ilvl="3" w:tplc="EA985DCE" w:tentative="1">
      <w:start w:val="1"/>
      <w:numFmt w:val="bullet"/>
      <w:lvlText w:val="•"/>
      <w:lvlJc w:val="left"/>
      <w:pPr>
        <w:tabs>
          <w:tab w:val="num" w:pos="2880"/>
        </w:tabs>
        <w:ind w:left="2880" w:hanging="360"/>
      </w:pPr>
      <w:rPr>
        <w:rFonts w:ascii="Arial" w:hAnsi="Arial" w:hint="default"/>
      </w:rPr>
    </w:lvl>
    <w:lvl w:ilvl="4" w:tplc="3CC0DE52" w:tentative="1">
      <w:start w:val="1"/>
      <w:numFmt w:val="bullet"/>
      <w:lvlText w:val="•"/>
      <w:lvlJc w:val="left"/>
      <w:pPr>
        <w:tabs>
          <w:tab w:val="num" w:pos="3600"/>
        </w:tabs>
        <w:ind w:left="3600" w:hanging="360"/>
      </w:pPr>
      <w:rPr>
        <w:rFonts w:ascii="Arial" w:hAnsi="Arial" w:hint="default"/>
      </w:rPr>
    </w:lvl>
    <w:lvl w:ilvl="5" w:tplc="6D18C1D8" w:tentative="1">
      <w:start w:val="1"/>
      <w:numFmt w:val="bullet"/>
      <w:lvlText w:val="•"/>
      <w:lvlJc w:val="left"/>
      <w:pPr>
        <w:tabs>
          <w:tab w:val="num" w:pos="4320"/>
        </w:tabs>
        <w:ind w:left="4320" w:hanging="360"/>
      </w:pPr>
      <w:rPr>
        <w:rFonts w:ascii="Arial" w:hAnsi="Arial" w:hint="default"/>
      </w:rPr>
    </w:lvl>
    <w:lvl w:ilvl="6" w:tplc="073CFBA2" w:tentative="1">
      <w:start w:val="1"/>
      <w:numFmt w:val="bullet"/>
      <w:lvlText w:val="•"/>
      <w:lvlJc w:val="left"/>
      <w:pPr>
        <w:tabs>
          <w:tab w:val="num" w:pos="5040"/>
        </w:tabs>
        <w:ind w:left="5040" w:hanging="360"/>
      </w:pPr>
      <w:rPr>
        <w:rFonts w:ascii="Arial" w:hAnsi="Arial" w:hint="default"/>
      </w:rPr>
    </w:lvl>
    <w:lvl w:ilvl="7" w:tplc="FF062758" w:tentative="1">
      <w:start w:val="1"/>
      <w:numFmt w:val="bullet"/>
      <w:lvlText w:val="•"/>
      <w:lvlJc w:val="left"/>
      <w:pPr>
        <w:tabs>
          <w:tab w:val="num" w:pos="5760"/>
        </w:tabs>
        <w:ind w:left="5760" w:hanging="360"/>
      </w:pPr>
      <w:rPr>
        <w:rFonts w:ascii="Arial" w:hAnsi="Arial" w:hint="default"/>
      </w:rPr>
    </w:lvl>
    <w:lvl w:ilvl="8" w:tplc="D548EC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0526E8"/>
    <w:multiLevelType w:val="hybridMultilevel"/>
    <w:tmpl w:val="B6F8BD0E"/>
    <w:lvl w:ilvl="0" w:tplc="5CFE1ADA">
      <w:start w:val="1"/>
      <w:numFmt w:val="decimal"/>
      <w:lvlText w:val="%1."/>
      <w:lvlJc w:val="left"/>
      <w:pPr>
        <w:tabs>
          <w:tab w:val="num" w:pos="720"/>
        </w:tabs>
        <w:ind w:left="720" w:hanging="360"/>
      </w:pPr>
    </w:lvl>
    <w:lvl w:ilvl="1" w:tplc="6618094A" w:tentative="1">
      <w:start w:val="1"/>
      <w:numFmt w:val="decimal"/>
      <w:lvlText w:val="%2."/>
      <w:lvlJc w:val="left"/>
      <w:pPr>
        <w:tabs>
          <w:tab w:val="num" w:pos="1440"/>
        </w:tabs>
        <w:ind w:left="1440" w:hanging="360"/>
      </w:pPr>
    </w:lvl>
    <w:lvl w:ilvl="2" w:tplc="9B046514" w:tentative="1">
      <w:start w:val="1"/>
      <w:numFmt w:val="decimal"/>
      <w:lvlText w:val="%3."/>
      <w:lvlJc w:val="left"/>
      <w:pPr>
        <w:tabs>
          <w:tab w:val="num" w:pos="2160"/>
        </w:tabs>
        <w:ind w:left="2160" w:hanging="360"/>
      </w:pPr>
    </w:lvl>
    <w:lvl w:ilvl="3" w:tplc="21E22B3A" w:tentative="1">
      <w:start w:val="1"/>
      <w:numFmt w:val="decimal"/>
      <w:lvlText w:val="%4."/>
      <w:lvlJc w:val="left"/>
      <w:pPr>
        <w:tabs>
          <w:tab w:val="num" w:pos="2880"/>
        </w:tabs>
        <w:ind w:left="2880" w:hanging="360"/>
      </w:pPr>
    </w:lvl>
    <w:lvl w:ilvl="4" w:tplc="DE02ACE4" w:tentative="1">
      <w:start w:val="1"/>
      <w:numFmt w:val="decimal"/>
      <w:lvlText w:val="%5."/>
      <w:lvlJc w:val="left"/>
      <w:pPr>
        <w:tabs>
          <w:tab w:val="num" w:pos="3600"/>
        </w:tabs>
        <w:ind w:left="3600" w:hanging="360"/>
      </w:pPr>
    </w:lvl>
    <w:lvl w:ilvl="5" w:tplc="1884C356" w:tentative="1">
      <w:start w:val="1"/>
      <w:numFmt w:val="decimal"/>
      <w:lvlText w:val="%6."/>
      <w:lvlJc w:val="left"/>
      <w:pPr>
        <w:tabs>
          <w:tab w:val="num" w:pos="4320"/>
        </w:tabs>
        <w:ind w:left="4320" w:hanging="360"/>
      </w:pPr>
    </w:lvl>
    <w:lvl w:ilvl="6" w:tplc="4864AC22" w:tentative="1">
      <w:start w:val="1"/>
      <w:numFmt w:val="decimal"/>
      <w:lvlText w:val="%7."/>
      <w:lvlJc w:val="left"/>
      <w:pPr>
        <w:tabs>
          <w:tab w:val="num" w:pos="5040"/>
        </w:tabs>
        <w:ind w:left="5040" w:hanging="360"/>
      </w:pPr>
    </w:lvl>
    <w:lvl w:ilvl="7" w:tplc="41F25784" w:tentative="1">
      <w:start w:val="1"/>
      <w:numFmt w:val="decimal"/>
      <w:lvlText w:val="%8."/>
      <w:lvlJc w:val="left"/>
      <w:pPr>
        <w:tabs>
          <w:tab w:val="num" w:pos="5760"/>
        </w:tabs>
        <w:ind w:left="5760" w:hanging="360"/>
      </w:pPr>
    </w:lvl>
    <w:lvl w:ilvl="8" w:tplc="C4487CFC" w:tentative="1">
      <w:start w:val="1"/>
      <w:numFmt w:val="decimal"/>
      <w:lvlText w:val="%9."/>
      <w:lvlJc w:val="left"/>
      <w:pPr>
        <w:tabs>
          <w:tab w:val="num" w:pos="6480"/>
        </w:tabs>
        <w:ind w:left="6480" w:hanging="360"/>
      </w:pPr>
    </w:lvl>
  </w:abstractNum>
  <w:abstractNum w:abstractNumId="14" w15:restartNumberingAfterBreak="0">
    <w:nsid w:val="7C0B0BC6"/>
    <w:multiLevelType w:val="hybridMultilevel"/>
    <w:tmpl w:val="042A04BE"/>
    <w:lvl w:ilvl="0" w:tplc="080A0013">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AC5561"/>
    <w:multiLevelType w:val="hybridMultilevel"/>
    <w:tmpl w:val="61B4B902"/>
    <w:lvl w:ilvl="0" w:tplc="0B96D288">
      <w:start w:val="1"/>
      <w:numFmt w:val="bullet"/>
      <w:lvlText w:val="•"/>
      <w:lvlJc w:val="left"/>
      <w:pPr>
        <w:tabs>
          <w:tab w:val="num" w:pos="720"/>
        </w:tabs>
        <w:ind w:left="720" w:hanging="360"/>
      </w:pPr>
      <w:rPr>
        <w:rFonts w:ascii="Arial" w:hAnsi="Arial" w:hint="default"/>
      </w:rPr>
    </w:lvl>
    <w:lvl w:ilvl="1" w:tplc="6278137A" w:tentative="1">
      <w:start w:val="1"/>
      <w:numFmt w:val="bullet"/>
      <w:lvlText w:val="•"/>
      <w:lvlJc w:val="left"/>
      <w:pPr>
        <w:tabs>
          <w:tab w:val="num" w:pos="1440"/>
        </w:tabs>
        <w:ind w:left="1440" w:hanging="360"/>
      </w:pPr>
      <w:rPr>
        <w:rFonts w:ascii="Arial" w:hAnsi="Arial" w:hint="default"/>
      </w:rPr>
    </w:lvl>
    <w:lvl w:ilvl="2" w:tplc="B1A0CFF8" w:tentative="1">
      <w:start w:val="1"/>
      <w:numFmt w:val="bullet"/>
      <w:lvlText w:val="•"/>
      <w:lvlJc w:val="left"/>
      <w:pPr>
        <w:tabs>
          <w:tab w:val="num" w:pos="2160"/>
        </w:tabs>
        <w:ind w:left="2160" w:hanging="360"/>
      </w:pPr>
      <w:rPr>
        <w:rFonts w:ascii="Arial" w:hAnsi="Arial" w:hint="default"/>
      </w:rPr>
    </w:lvl>
    <w:lvl w:ilvl="3" w:tplc="EAE4AF8A" w:tentative="1">
      <w:start w:val="1"/>
      <w:numFmt w:val="bullet"/>
      <w:lvlText w:val="•"/>
      <w:lvlJc w:val="left"/>
      <w:pPr>
        <w:tabs>
          <w:tab w:val="num" w:pos="2880"/>
        </w:tabs>
        <w:ind w:left="2880" w:hanging="360"/>
      </w:pPr>
      <w:rPr>
        <w:rFonts w:ascii="Arial" w:hAnsi="Arial" w:hint="default"/>
      </w:rPr>
    </w:lvl>
    <w:lvl w:ilvl="4" w:tplc="CB007AE4" w:tentative="1">
      <w:start w:val="1"/>
      <w:numFmt w:val="bullet"/>
      <w:lvlText w:val="•"/>
      <w:lvlJc w:val="left"/>
      <w:pPr>
        <w:tabs>
          <w:tab w:val="num" w:pos="3600"/>
        </w:tabs>
        <w:ind w:left="3600" w:hanging="360"/>
      </w:pPr>
      <w:rPr>
        <w:rFonts w:ascii="Arial" w:hAnsi="Arial" w:hint="default"/>
      </w:rPr>
    </w:lvl>
    <w:lvl w:ilvl="5" w:tplc="D7DA8194" w:tentative="1">
      <w:start w:val="1"/>
      <w:numFmt w:val="bullet"/>
      <w:lvlText w:val="•"/>
      <w:lvlJc w:val="left"/>
      <w:pPr>
        <w:tabs>
          <w:tab w:val="num" w:pos="4320"/>
        </w:tabs>
        <w:ind w:left="4320" w:hanging="360"/>
      </w:pPr>
      <w:rPr>
        <w:rFonts w:ascii="Arial" w:hAnsi="Arial" w:hint="default"/>
      </w:rPr>
    </w:lvl>
    <w:lvl w:ilvl="6" w:tplc="A56A692E" w:tentative="1">
      <w:start w:val="1"/>
      <w:numFmt w:val="bullet"/>
      <w:lvlText w:val="•"/>
      <w:lvlJc w:val="left"/>
      <w:pPr>
        <w:tabs>
          <w:tab w:val="num" w:pos="5040"/>
        </w:tabs>
        <w:ind w:left="5040" w:hanging="360"/>
      </w:pPr>
      <w:rPr>
        <w:rFonts w:ascii="Arial" w:hAnsi="Arial" w:hint="default"/>
      </w:rPr>
    </w:lvl>
    <w:lvl w:ilvl="7" w:tplc="AB741480" w:tentative="1">
      <w:start w:val="1"/>
      <w:numFmt w:val="bullet"/>
      <w:lvlText w:val="•"/>
      <w:lvlJc w:val="left"/>
      <w:pPr>
        <w:tabs>
          <w:tab w:val="num" w:pos="5760"/>
        </w:tabs>
        <w:ind w:left="5760" w:hanging="360"/>
      </w:pPr>
      <w:rPr>
        <w:rFonts w:ascii="Arial" w:hAnsi="Arial" w:hint="default"/>
      </w:rPr>
    </w:lvl>
    <w:lvl w:ilvl="8" w:tplc="F56CDD8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8"/>
  </w:num>
  <w:num w:numId="3">
    <w:abstractNumId w:val="0"/>
  </w:num>
  <w:num w:numId="4">
    <w:abstractNumId w:val="6"/>
  </w:num>
  <w:num w:numId="5">
    <w:abstractNumId w:val="10"/>
  </w:num>
  <w:num w:numId="6">
    <w:abstractNumId w:val="7"/>
  </w:num>
  <w:num w:numId="7">
    <w:abstractNumId w:val="4"/>
  </w:num>
  <w:num w:numId="8">
    <w:abstractNumId w:val="2"/>
  </w:num>
  <w:num w:numId="9">
    <w:abstractNumId w:val="9"/>
  </w:num>
  <w:num w:numId="10">
    <w:abstractNumId w:val="15"/>
  </w:num>
  <w:num w:numId="11">
    <w:abstractNumId w:val="12"/>
  </w:num>
  <w:num w:numId="12">
    <w:abstractNumId w:val="11"/>
  </w:num>
  <w:num w:numId="13">
    <w:abstractNumId w:val="3"/>
  </w:num>
  <w:num w:numId="14">
    <w:abstractNumId w:val="5"/>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52"/>
    <w:rsid w:val="000051E9"/>
    <w:rsid w:val="00010412"/>
    <w:rsid w:val="0001101E"/>
    <w:rsid w:val="00011FA9"/>
    <w:rsid w:val="000130B6"/>
    <w:rsid w:val="00013FA4"/>
    <w:rsid w:val="00014D1C"/>
    <w:rsid w:val="000155B7"/>
    <w:rsid w:val="0001613E"/>
    <w:rsid w:val="00016360"/>
    <w:rsid w:val="00025E4A"/>
    <w:rsid w:val="0002614C"/>
    <w:rsid w:val="00027A0E"/>
    <w:rsid w:val="00035B82"/>
    <w:rsid w:val="000361FD"/>
    <w:rsid w:val="00036D96"/>
    <w:rsid w:val="00036E71"/>
    <w:rsid w:val="00036FB0"/>
    <w:rsid w:val="0004191D"/>
    <w:rsid w:val="00042586"/>
    <w:rsid w:val="00043B54"/>
    <w:rsid w:val="00050204"/>
    <w:rsid w:val="00050EC3"/>
    <w:rsid w:val="00054780"/>
    <w:rsid w:val="0005591C"/>
    <w:rsid w:val="000579E0"/>
    <w:rsid w:val="000616F0"/>
    <w:rsid w:val="000617C4"/>
    <w:rsid w:val="000649E7"/>
    <w:rsid w:val="0006509D"/>
    <w:rsid w:val="0007328F"/>
    <w:rsid w:val="00073E28"/>
    <w:rsid w:val="000748E9"/>
    <w:rsid w:val="000751BB"/>
    <w:rsid w:val="00077769"/>
    <w:rsid w:val="00080F6E"/>
    <w:rsid w:val="000839D2"/>
    <w:rsid w:val="000A0095"/>
    <w:rsid w:val="000A0BBA"/>
    <w:rsid w:val="000A2723"/>
    <w:rsid w:val="000A2969"/>
    <w:rsid w:val="000A32B3"/>
    <w:rsid w:val="000A404F"/>
    <w:rsid w:val="000A667E"/>
    <w:rsid w:val="000B06EE"/>
    <w:rsid w:val="000B172C"/>
    <w:rsid w:val="000B1ACB"/>
    <w:rsid w:val="000B4E37"/>
    <w:rsid w:val="000B5170"/>
    <w:rsid w:val="000B7BA3"/>
    <w:rsid w:val="000C0B07"/>
    <w:rsid w:val="000C2561"/>
    <w:rsid w:val="000C4706"/>
    <w:rsid w:val="000D0C02"/>
    <w:rsid w:val="000D7722"/>
    <w:rsid w:val="000D7992"/>
    <w:rsid w:val="000E15E0"/>
    <w:rsid w:val="000F3858"/>
    <w:rsid w:val="000F422E"/>
    <w:rsid w:val="000F6C80"/>
    <w:rsid w:val="001015CF"/>
    <w:rsid w:val="00102844"/>
    <w:rsid w:val="00103B77"/>
    <w:rsid w:val="00110192"/>
    <w:rsid w:val="001132D5"/>
    <w:rsid w:val="001137D2"/>
    <w:rsid w:val="00116200"/>
    <w:rsid w:val="0011747C"/>
    <w:rsid w:val="00117889"/>
    <w:rsid w:val="00124380"/>
    <w:rsid w:val="00126E03"/>
    <w:rsid w:val="00131C1A"/>
    <w:rsid w:val="001357B8"/>
    <w:rsid w:val="00137F91"/>
    <w:rsid w:val="00140EDF"/>
    <w:rsid w:val="001435F8"/>
    <w:rsid w:val="0014452B"/>
    <w:rsid w:val="00144DB6"/>
    <w:rsid w:val="001455DA"/>
    <w:rsid w:val="00155E95"/>
    <w:rsid w:val="00165FBC"/>
    <w:rsid w:val="00166023"/>
    <w:rsid w:val="00174504"/>
    <w:rsid w:val="0017582C"/>
    <w:rsid w:val="00180CC7"/>
    <w:rsid w:val="00191E44"/>
    <w:rsid w:val="00194AFE"/>
    <w:rsid w:val="00194FA7"/>
    <w:rsid w:val="001A05CC"/>
    <w:rsid w:val="001A089D"/>
    <w:rsid w:val="001A2BC6"/>
    <w:rsid w:val="001A393B"/>
    <w:rsid w:val="001A6ACC"/>
    <w:rsid w:val="001B0DCA"/>
    <w:rsid w:val="001B1B2B"/>
    <w:rsid w:val="001B555C"/>
    <w:rsid w:val="001D10E5"/>
    <w:rsid w:val="001D16C7"/>
    <w:rsid w:val="001D319B"/>
    <w:rsid w:val="001D4686"/>
    <w:rsid w:val="001D569C"/>
    <w:rsid w:val="001E0B22"/>
    <w:rsid w:val="001E1993"/>
    <w:rsid w:val="001E3E6D"/>
    <w:rsid w:val="001E4728"/>
    <w:rsid w:val="001E58F2"/>
    <w:rsid w:val="001E76BF"/>
    <w:rsid w:val="001F0949"/>
    <w:rsid w:val="001F108B"/>
    <w:rsid w:val="001F1866"/>
    <w:rsid w:val="001F3B28"/>
    <w:rsid w:val="001F3F75"/>
    <w:rsid w:val="001F548F"/>
    <w:rsid w:val="001F6245"/>
    <w:rsid w:val="001F6A4E"/>
    <w:rsid w:val="00204D52"/>
    <w:rsid w:val="002053CC"/>
    <w:rsid w:val="00206671"/>
    <w:rsid w:val="00206871"/>
    <w:rsid w:val="002141BE"/>
    <w:rsid w:val="0021578B"/>
    <w:rsid w:val="00216659"/>
    <w:rsid w:val="0021689A"/>
    <w:rsid w:val="00217101"/>
    <w:rsid w:val="002214D3"/>
    <w:rsid w:val="0022210E"/>
    <w:rsid w:val="00226908"/>
    <w:rsid w:val="00226B10"/>
    <w:rsid w:val="0022754F"/>
    <w:rsid w:val="002305BC"/>
    <w:rsid w:val="00233D60"/>
    <w:rsid w:val="00234B48"/>
    <w:rsid w:val="0024075F"/>
    <w:rsid w:val="00243209"/>
    <w:rsid w:val="00260B69"/>
    <w:rsid w:val="00263011"/>
    <w:rsid w:val="00263758"/>
    <w:rsid w:val="00263F18"/>
    <w:rsid w:val="002705B0"/>
    <w:rsid w:val="00276450"/>
    <w:rsid w:val="0027738C"/>
    <w:rsid w:val="00281242"/>
    <w:rsid w:val="002820B3"/>
    <w:rsid w:val="002842B0"/>
    <w:rsid w:val="00297E42"/>
    <w:rsid w:val="002A1B6C"/>
    <w:rsid w:val="002A2660"/>
    <w:rsid w:val="002B37C5"/>
    <w:rsid w:val="002B5B81"/>
    <w:rsid w:val="002C0441"/>
    <w:rsid w:val="002C0511"/>
    <w:rsid w:val="002C11CA"/>
    <w:rsid w:val="002C1BED"/>
    <w:rsid w:val="002C60C6"/>
    <w:rsid w:val="002D0464"/>
    <w:rsid w:val="002D30C3"/>
    <w:rsid w:val="002D3921"/>
    <w:rsid w:val="002D72D5"/>
    <w:rsid w:val="002D7985"/>
    <w:rsid w:val="002E23F8"/>
    <w:rsid w:val="002E355F"/>
    <w:rsid w:val="002E3575"/>
    <w:rsid w:val="002E41EC"/>
    <w:rsid w:val="002E4BB0"/>
    <w:rsid w:val="002E6AA3"/>
    <w:rsid w:val="002F0C44"/>
    <w:rsid w:val="002F51F4"/>
    <w:rsid w:val="002F5A4C"/>
    <w:rsid w:val="00300253"/>
    <w:rsid w:val="0030306F"/>
    <w:rsid w:val="00303FB9"/>
    <w:rsid w:val="00306429"/>
    <w:rsid w:val="00311360"/>
    <w:rsid w:val="003144AF"/>
    <w:rsid w:val="003144D4"/>
    <w:rsid w:val="00316ABE"/>
    <w:rsid w:val="00316DFA"/>
    <w:rsid w:val="0032135B"/>
    <w:rsid w:val="00321DEF"/>
    <w:rsid w:val="00322E2A"/>
    <w:rsid w:val="003302B8"/>
    <w:rsid w:val="003328AF"/>
    <w:rsid w:val="0033385B"/>
    <w:rsid w:val="003368E1"/>
    <w:rsid w:val="003375EC"/>
    <w:rsid w:val="003407D6"/>
    <w:rsid w:val="00343F99"/>
    <w:rsid w:val="00350A58"/>
    <w:rsid w:val="00352D3A"/>
    <w:rsid w:val="003564D4"/>
    <w:rsid w:val="00356ABD"/>
    <w:rsid w:val="00360BBA"/>
    <w:rsid w:val="0036132A"/>
    <w:rsid w:val="00362005"/>
    <w:rsid w:val="00362BEF"/>
    <w:rsid w:val="00367132"/>
    <w:rsid w:val="0037065C"/>
    <w:rsid w:val="0037442A"/>
    <w:rsid w:val="00376CF5"/>
    <w:rsid w:val="00380B71"/>
    <w:rsid w:val="00383F9B"/>
    <w:rsid w:val="00397F32"/>
    <w:rsid w:val="003A0CC4"/>
    <w:rsid w:val="003A1811"/>
    <w:rsid w:val="003A23BD"/>
    <w:rsid w:val="003A48C0"/>
    <w:rsid w:val="003C1963"/>
    <w:rsid w:val="003C6653"/>
    <w:rsid w:val="003D117B"/>
    <w:rsid w:val="003D3ABB"/>
    <w:rsid w:val="003E2812"/>
    <w:rsid w:val="003E2A0B"/>
    <w:rsid w:val="003E436B"/>
    <w:rsid w:val="003E48A9"/>
    <w:rsid w:val="003E4ABC"/>
    <w:rsid w:val="003F1737"/>
    <w:rsid w:val="003F41A7"/>
    <w:rsid w:val="003F7287"/>
    <w:rsid w:val="00401291"/>
    <w:rsid w:val="004025D1"/>
    <w:rsid w:val="00402BE2"/>
    <w:rsid w:val="00404013"/>
    <w:rsid w:val="00405525"/>
    <w:rsid w:val="00405CDD"/>
    <w:rsid w:val="00407B2F"/>
    <w:rsid w:val="00411C5B"/>
    <w:rsid w:val="0041459A"/>
    <w:rsid w:val="00416585"/>
    <w:rsid w:val="00417D36"/>
    <w:rsid w:val="00421EF2"/>
    <w:rsid w:val="004275F0"/>
    <w:rsid w:val="00432599"/>
    <w:rsid w:val="004330DE"/>
    <w:rsid w:val="00433114"/>
    <w:rsid w:val="00434FFB"/>
    <w:rsid w:val="00435319"/>
    <w:rsid w:val="00443C98"/>
    <w:rsid w:val="0044613F"/>
    <w:rsid w:val="00454562"/>
    <w:rsid w:val="00457752"/>
    <w:rsid w:val="00457C24"/>
    <w:rsid w:val="00463B41"/>
    <w:rsid w:val="00463F39"/>
    <w:rsid w:val="00466D14"/>
    <w:rsid w:val="00471218"/>
    <w:rsid w:val="00477CF3"/>
    <w:rsid w:val="00480196"/>
    <w:rsid w:val="004813F4"/>
    <w:rsid w:val="0048159C"/>
    <w:rsid w:val="00486118"/>
    <w:rsid w:val="00491F76"/>
    <w:rsid w:val="004939F1"/>
    <w:rsid w:val="0049681B"/>
    <w:rsid w:val="00496BEF"/>
    <w:rsid w:val="004A309E"/>
    <w:rsid w:val="004B32C2"/>
    <w:rsid w:val="004B6847"/>
    <w:rsid w:val="004B70C8"/>
    <w:rsid w:val="004B7C8F"/>
    <w:rsid w:val="004C2ED0"/>
    <w:rsid w:val="004C6D86"/>
    <w:rsid w:val="004D1283"/>
    <w:rsid w:val="004D225E"/>
    <w:rsid w:val="004D29D4"/>
    <w:rsid w:val="004D65CA"/>
    <w:rsid w:val="004D7FBC"/>
    <w:rsid w:val="004E31D6"/>
    <w:rsid w:val="004E3591"/>
    <w:rsid w:val="004E4A5F"/>
    <w:rsid w:val="004F4036"/>
    <w:rsid w:val="005058DD"/>
    <w:rsid w:val="00516648"/>
    <w:rsid w:val="005170E8"/>
    <w:rsid w:val="005218AB"/>
    <w:rsid w:val="00525CA1"/>
    <w:rsid w:val="005261C5"/>
    <w:rsid w:val="00527282"/>
    <w:rsid w:val="00533214"/>
    <w:rsid w:val="0053396E"/>
    <w:rsid w:val="00537FC2"/>
    <w:rsid w:val="005425DE"/>
    <w:rsid w:val="0054566C"/>
    <w:rsid w:val="00550F97"/>
    <w:rsid w:val="00551BCD"/>
    <w:rsid w:val="00551C62"/>
    <w:rsid w:val="005535B5"/>
    <w:rsid w:val="00554C61"/>
    <w:rsid w:val="0055636E"/>
    <w:rsid w:val="00556BDD"/>
    <w:rsid w:val="005638DA"/>
    <w:rsid w:val="00564163"/>
    <w:rsid w:val="00564E55"/>
    <w:rsid w:val="005657D8"/>
    <w:rsid w:val="00566613"/>
    <w:rsid w:val="00570EBA"/>
    <w:rsid w:val="00570FF7"/>
    <w:rsid w:val="0057104D"/>
    <w:rsid w:val="00574414"/>
    <w:rsid w:val="005840B4"/>
    <w:rsid w:val="005844C9"/>
    <w:rsid w:val="00585ACD"/>
    <w:rsid w:val="00585AFE"/>
    <w:rsid w:val="00590A1B"/>
    <w:rsid w:val="00592378"/>
    <w:rsid w:val="005A1A5E"/>
    <w:rsid w:val="005A5B3D"/>
    <w:rsid w:val="005A7384"/>
    <w:rsid w:val="005A7FC8"/>
    <w:rsid w:val="005B028F"/>
    <w:rsid w:val="005B51DA"/>
    <w:rsid w:val="005B56B1"/>
    <w:rsid w:val="005B58A3"/>
    <w:rsid w:val="005C0801"/>
    <w:rsid w:val="005C1E32"/>
    <w:rsid w:val="005C277B"/>
    <w:rsid w:val="005C30F1"/>
    <w:rsid w:val="005C5C1B"/>
    <w:rsid w:val="005C7F6B"/>
    <w:rsid w:val="005D0946"/>
    <w:rsid w:val="005D2126"/>
    <w:rsid w:val="005D2F13"/>
    <w:rsid w:val="005D35CC"/>
    <w:rsid w:val="005D4330"/>
    <w:rsid w:val="005D7399"/>
    <w:rsid w:val="005E7E93"/>
    <w:rsid w:val="005F58CF"/>
    <w:rsid w:val="005F6B9E"/>
    <w:rsid w:val="00601CD7"/>
    <w:rsid w:val="006037C7"/>
    <w:rsid w:val="006074B7"/>
    <w:rsid w:val="0061094E"/>
    <w:rsid w:val="00615A04"/>
    <w:rsid w:val="00621D3D"/>
    <w:rsid w:val="006222DC"/>
    <w:rsid w:val="00625DE6"/>
    <w:rsid w:val="006266D6"/>
    <w:rsid w:val="0062689A"/>
    <w:rsid w:val="00626C8F"/>
    <w:rsid w:val="00627218"/>
    <w:rsid w:val="00632254"/>
    <w:rsid w:val="006367DD"/>
    <w:rsid w:val="006419F4"/>
    <w:rsid w:val="00643E13"/>
    <w:rsid w:val="00645DC8"/>
    <w:rsid w:val="00647F71"/>
    <w:rsid w:val="00650E4D"/>
    <w:rsid w:val="00651B3B"/>
    <w:rsid w:val="00653662"/>
    <w:rsid w:val="00654F22"/>
    <w:rsid w:val="0065600E"/>
    <w:rsid w:val="00657C74"/>
    <w:rsid w:val="00661664"/>
    <w:rsid w:val="0066522C"/>
    <w:rsid w:val="006659DF"/>
    <w:rsid w:val="00682D66"/>
    <w:rsid w:val="00682EB5"/>
    <w:rsid w:val="0068308F"/>
    <w:rsid w:val="006837F2"/>
    <w:rsid w:val="00685C7C"/>
    <w:rsid w:val="0068652E"/>
    <w:rsid w:val="0068665F"/>
    <w:rsid w:val="006931DF"/>
    <w:rsid w:val="006968F1"/>
    <w:rsid w:val="00696AA4"/>
    <w:rsid w:val="006A0B35"/>
    <w:rsid w:val="006A3CE9"/>
    <w:rsid w:val="006A56F7"/>
    <w:rsid w:val="006B1395"/>
    <w:rsid w:val="006B2A48"/>
    <w:rsid w:val="006B2F97"/>
    <w:rsid w:val="006B362A"/>
    <w:rsid w:val="006C7C51"/>
    <w:rsid w:val="006D477E"/>
    <w:rsid w:val="006D6DE4"/>
    <w:rsid w:val="006D6EB4"/>
    <w:rsid w:val="006E0470"/>
    <w:rsid w:val="006E056C"/>
    <w:rsid w:val="006E5144"/>
    <w:rsid w:val="006F26A0"/>
    <w:rsid w:val="006F6887"/>
    <w:rsid w:val="006F7CB2"/>
    <w:rsid w:val="007069E9"/>
    <w:rsid w:val="00711225"/>
    <w:rsid w:val="00714585"/>
    <w:rsid w:val="00722644"/>
    <w:rsid w:val="00726DA1"/>
    <w:rsid w:val="0072775A"/>
    <w:rsid w:val="00732665"/>
    <w:rsid w:val="00734005"/>
    <w:rsid w:val="00740156"/>
    <w:rsid w:val="00743A74"/>
    <w:rsid w:val="00743D67"/>
    <w:rsid w:val="00744AC6"/>
    <w:rsid w:val="00750A2F"/>
    <w:rsid w:val="0075413E"/>
    <w:rsid w:val="007553D4"/>
    <w:rsid w:val="007577C9"/>
    <w:rsid w:val="00757B8C"/>
    <w:rsid w:val="007606CE"/>
    <w:rsid w:val="00763152"/>
    <w:rsid w:val="00764D93"/>
    <w:rsid w:val="007659DC"/>
    <w:rsid w:val="00765E87"/>
    <w:rsid w:val="00767D35"/>
    <w:rsid w:val="00773073"/>
    <w:rsid w:val="00773641"/>
    <w:rsid w:val="00777517"/>
    <w:rsid w:val="00777A94"/>
    <w:rsid w:val="00783FF8"/>
    <w:rsid w:val="007842C1"/>
    <w:rsid w:val="00786DAE"/>
    <w:rsid w:val="00790A62"/>
    <w:rsid w:val="00790B93"/>
    <w:rsid w:val="00791A2B"/>
    <w:rsid w:val="00791CA0"/>
    <w:rsid w:val="00793184"/>
    <w:rsid w:val="007935AE"/>
    <w:rsid w:val="00793731"/>
    <w:rsid w:val="007A0696"/>
    <w:rsid w:val="007A7B83"/>
    <w:rsid w:val="007B3D39"/>
    <w:rsid w:val="007B42DB"/>
    <w:rsid w:val="007B4567"/>
    <w:rsid w:val="007B45E3"/>
    <w:rsid w:val="007C6D54"/>
    <w:rsid w:val="007C701B"/>
    <w:rsid w:val="007D09E5"/>
    <w:rsid w:val="007D16FC"/>
    <w:rsid w:val="007E0F2E"/>
    <w:rsid w:val="007E0F7D"/>
    <w:rsid w:val="007E19C7"/>
    <w:rsid w:val="007E1E61"/>
    <w:rsid w:val="007E2783"/>
    <w:rsid w:val="007E4747"/>
    <w:rsid w:val="007E75CF"/>
    <w:rsid w:val="007F120F"/>
    <w:rsid w:val="007F36BA"/>
    <w:rsid w:val="007F3A86"/>
    <w:rsid w:val="007F7936"/>
    <w:rsid w:val="0080013D"/>
    <w:rsid w:val="00800422"/>
    <w:rsid w:val="00800604"/>
    <w:rsid w:val="00800F04"/>
    <w:rsid w:val="0080177A"/>
    <w:rsid w:val="008037A0"/>
    <w:rsid w:val="00804966"/>
    <w:rsid w:val="00805953"/>
    <w:rsid w:val="00806A78"/>
    <w:rsid w:val="008110A2"/>
    <w:rsid w:val="00813B0B"/>
    <w:rsid w:val="00817371"/>
    <w:rsid w:val="00817D58"/>
    <w:rsid w:val="00817E02"/>
    <w:rsid w:val="008259A2"/>
    <w:rsid w:val="008331CE"/>
    <w:rsid w:val="00833562"/>
    <w:rsid w:val="0084043E"/>
    <w:rsid w:val="00841E1D"/>
    <w:rsid w:val="00845B18"/>
    <w:rsid w:val="00855F2D"/>
    <w:rsid w:val="008611E4"/>
    <w:rsid w:val="00865601"/>
    <w:rsid w:val="0087114E"/>
    <w:rsid w:val="00872612"/>
    <w:rsid w:val="00872F79"/>
    <w:rsid w:val="0087679D"/>
    <w:rsid w:val="008774C5"/>
    <w:rsid w:val="00885DE6"/>
    <w:rsid w:val="0088667D"/>
    <w:rsid w:val="00887908"/>
    <w:rsid w:val="00892F2A"/>
    <w:rsid w:val="00896BAD"/>
    <w:rsid w:val="00897136"/>
    <w:rsid w:val="008972E1"/>
    <w:rsid w:val="008A366A"/>
    <w:rsid w:val="008A3A01"/>
    <w:rsid w:val="008A44B2"/>
    <w:rsid w:val="008A79A1"/>
    <w:rsid w:val="008B0044"/>
    <w:rsid w:val="008B1C71"/>
    <w:rsid w:val="008B2A21"/>
    <w:rsid w:val="008B3B77"/>
    <w:rsid w:val="008B72BB"/>
    <w:rsid w:val="008B7CE7"/>
    <w:rsid w:val="008C0C94"/>
    <w:rsid w:val="008D1B68"/>
    <w:rsid w:val="008D27A7"/>
    <w:rsid w:val="008D3386"/>
    <w:rsid w:val="008D6980"/>
    <w:rsid w:val="008D69F2"/>
    <w:rsid w:val="008D6B12"/>
    <w:rsid w:val="008E1F55"/>
    <w:rsid w:val="008E4EDB"/>
    <w:rsid w:val="008E6D3F"/>
    <w:rsid w:val="008E77CE"/>
    <w:rsid w:val="008F01A7"/>
    <w:rsid w:val="008F18E6"/>
    <w:rsid w:val="008F22CD"/>
    <w:rsid w:val="008F2410"/>
    <w:rsid w:val="008F4F9A"/>
    <w:rsid w:val="008F651B"/>
    <w:rsid w:val="008F7448"/>
    <w:rsid w:val="009004E4"/>
    <w:rsid w:val="009033EA"/>
    <w:rsid w:val="00904351"/>
    <w:rsid w:val="00912EE2"/>
    <w:rsid w:val="00914EA3"/>
    <w:rsid w:val="0092076E"/>
    <w:rsid w:val="00921899"/>
    <w:rsid w:val="00926582"/>
    <w:rsid w:val="009271E8"/>
    <w:rsid w:val="00937E68"/>
    <w:rsid w:val="00941581"/>
    <w:rsid w:val="0094214B"/>
    <w:rsid w:val="00942294"/>
    <w:rsid w:val="0094431D"/>
    <w:rsid w:val="00944647"/>
    <w:rsid w:val="0094674E"/>
    <w:rsid w:val="0095033A"/>
    <w:rsid w:val="00951FC3"/>
    <w:rsid w:val="00960EDA"/>
    <w:rsid w:val="009633F4"/>
    <w:rsid w:val="00967B06"/>
    <w:rsid w:val="00971206"/>
    <w:rsid w:val="009728F1"/>
    <w:rsid w:val="00976CF4"/>
    <w:rsid w:val="009842F6"/>
    <w:rsid w:val="00987AB4"/>
    <w:rsid w:val="00990E79"/>
    <w:rsid w:val="009914EF"/>
    <w:rsid w:val="00991BFF"/>
    <w:rsid w:val="00996BFB"/>
    <w:rsid w:val="009976B5"/>
    <w:rsid w:val="009A0CB1"/>
    <w:rsid w:val="009A3357"/>
    <w:rsid w:val="009A3EDC"/>
    <w:rsid w:val="009A59A9"/>
    <w:rsid w:val="009A7765"/>
    <w:rsid w:val="009B22D2"/>
    <w:rsid w:val="009B2986"/>
    <w:rsid w:val="009B4FD8"/>
    <w:rsid w:val="009C145A"/>
    <w:rsid w:val="009C3DD3"/>
    <w:rsid w:val="009C5139"/>
    <w:rsid w:val="009D2B74"/>
    <w:rsid w:val="009D332B"/>
    <w:rsid w:val="009D3594"/>
    <w:rsid w:val="009D4C0F"/>
    <w:rsid w:val="009D7DE6"/>
    <w:rsid w:val="009E3083"/>
    <w:rsid w:val="009E3E40"/>
    <w:rsid w:val="009F0AB4"/>
    <w:rsid w:val="009F12D2"/>
    <w:rsid w:val="009F31F6"/>
    <w:rsid w:val="009F600E"/>
    <w:rsid w:val="00A06665"/>
    <w:rsid w:val="00A06AFF"/>
    <w:rsid w:val="00A1044E"/>
    <w:rsid w:val="00A21DDE"/>
    <w:rsid w:val="00A2244D"/>
    <w:rsid w:val="00A31769"/>
    <w:rsid w:val="00A31C17"/>
    <w:rsid w:val="00A31FAC"/>
    <w:rsid w:val="00A33E47"/>
    <w:rsid w:val="00A359EA"/>
    <w:rsid w:val="00A3778F"/>
    <w:rsid w:val="00A377D7"/>
    <w:rsid w:val="00A508FD"/>
    <w:rsid w:val="00A53B9C"/>
    <w:rsid w:val="00A612E3"/>
    <w:rsid w:val="00A61F61"/>
    <w:rsid w:val="00A6356E"/>
    <w:rsid w:val="00A63DDE"/>
    <w:rsid w:val="00A64091"/>
    <w:rsid w:val="00A6463E"/>
    <w:rsid w:val="00A66E1E"/>
    <w:rsid w:val="00A717EB"/>
    <w:rsid w:val="00A77A53"/>
    <w:rsid w:val="00A864E7"/>
    <w:rsid w:val="00A879BE"/>
    <w:rsid w:val="00A90F81"/>
    <w:rsid w:val="00A913EE"/>
    <w:rsid w:val="00A91861"/>
    <w:rsid w:val="00A9493A"/>
    <w:rsid w:val="00A956A3"/>
    <w:rsid w:val="00A95815"/>
    <w:rsid w:val="00AA065C"/>
    <w:rsid w:val="00AA15DA"/>
    <w:rsid w:val="00AA45F7"/>
    <w:rsid w:val="00AA783A"/>
    <w:rsid w:val="00AA7DDA"/>
    <w:rsid w:val="00AB14FA"/>
    <w:rsid w:val="00AB305F"/>
    <w:rsid w:val="00AB7219"/>
    <w:rsid w:val="00AC09F3"/>
    <w:rsid w:val="00AC4E77"/>
    <w:rsid w:val="00AD1343"/>
    <w:rsid w:val="00AD36BE"/>
    <w:rsid w:val="00AD629D"/>
    <w:rsid w:val="00AE099E"/>
    <w:rsid w:val="00AE7989"/>
    <w:rsid w:val="00AF16AF"/>
    <w:rsid w:val="00B00A70"/>
    <w:rsid w:val="00B00B99"/>
    <w:rsid w:val="00B031DF"/>
    <w:rsid w:val="00B07381"/>
    <w:rsid w:val="00B1150A"/>
    <w:rsid w:val="00B12CB0"/>
    <w:rsid w:val="00B12DF6"/>
    <w:rsid w:val="00B15683"/>
    <w:rsid w:val="00B24E29"/>
    <w:rsid w:val="00B25B74"/>
    <w:rsid w:val="00B36707"/>
    <w:rsid w:val="00B3717D"/>
    <w:rsid w:val="00B41A52"/>
    <w:rsid w:val="00B4238E"/>
    <w:rsid w:val="00B42D58"/>
    <w:rsid w:val="00B42F92"/>
    <w:rsid w:val="00B455D9"/>
    <w:rsid w:val="00B47011"/>
    <w:rsid w:val="00B4778A"/>
    <w:rsid w:val="00B52B46"/>
    <w:rsid w:val="00B5432E"/>
    <w:rsid w:val="00B54AE5"/>
    <w:rsid w:val="00B57DED"/>
    <w:rsid w:val="00B638BD"/>
    <w:rsid w:val="00B674C0"/>
    <w:rsid w:val="00B80929"/>
    <w:rsid w:val="00B81EEA"/>
    <w:rsid w:val="00B835E8"/>
    <w:rsid w:val="00B839E9"/>
    <w:rsid w:val="00B8443E"/>
    <w:rsid w:val="00B86A59"/>
    <w:rsid w:val="00B86B08"/>
    <w:rsid w:val="00B8787B"/>
    <w:rsid w:val="00B878CE"/>
    <w:rsid w:val="00B93F33"/>
    <w:rsid w:val="00B9454C"/>
    <w:rsid w:val="00B94737"/>
    <w:rsid w:val="00B9559A"/>
    <w:rsid w:val="00BA5027"/>
    <w:rsid w:val="00BA520F"/>
    <w:rsid w:val="00BA575F"/>
    <w:rsid w:val="00BB0C31"/>
    <w:rsid w:val="00BB4822"/>
    <w:rsid w:val="00BB786A"/>
    <w:rsid w:val="00BC46A2"/>
    <w:rsid w:val="00BC4899"/>
    <w:rsid w:val="00BC4BC5"/>
    <w:rsid w:val="00BC677A"/>
    <w:rsid w:val="00BC7956"/>
    <w:rsid w:val="00BC7B07"/>
    <w:rsid w:val="00BD0504"/>
    <w:rsid w:val="00BD0EF9"/>
    <w:rsid w:val="00BD3B47"/>
    <w:rsid w:val="00BD3EAB"/>
    <w:rsid w:val="00BD4D42"/>
    <w:rsid w:val="00BD7094"/>
    <w:rsid w:val="00BD7344"/>
    <w:rsid w:val="00BE38E5"/>
    <w:rsid w:val="00BE6791"/>
    <w:rsid w:val="00BF1104"/>
    <w:rsid w:val="00BF1BB2"/>
    <w:rsid w:val="00BF2C75"/>
    <w:rsid w:val="00BF79F1"/>
    <w:rsid w:val="00C11F99"/>
    <w:rsid w:val="00C15593"/>
    <w:rsid w:val="00C209D4"/>
    <w:rsid w:val="00C2340D"/>
    <w:rsid w:val="00C25F3B"/>
    <w:rsid w:val="00C27C71"/>
    <w:rsid w:val="00C3178A"/>
    <w:rsid w:val="00C327B5"/>
    <w:rsid w:val="00C32F78"/>
    <w:rsid w:val="00C356A0"/>
    <w:rsid w:val="00C42E2B"/>
    <w:rsid w:val="00C4459D"/>
    <w:rsid w:val="00C61EB2"/>
    <w:rsid w:val="00C63E16"/>
    <w:rsid w:val="00C658D9"/>
    <w:rsid w:val="00C6646C"/>
    <w:rsid w:val="00C677B9"/>
    <w:rsid w:val="00C7162E"/>
    <w:rsid w:val="00C756DE"/>
    <w:rsid w:val="00C77DBD"/>
    <w:rsid w:val="00C82C3F"/>
    <w:rsid w:val="00C837DC"/>
    <w:rsid w:val="00C84666"/>
    <w:rsid w:val="00C87766"/>
    <w:rsid w:val="00C8778C"/>
    <w:rsid w:val="00C87FE9"/>
    <w:rsid w:val="00C90B1C"/>
    <w:rsid w:val="00C913C7"/>
    <w:rsid w:val="00C92B4B"/>
    <w:rsid w:val="00C96DB6"/>
    <w:rsid w:val="00C977AF"/>
    <w:rsid w:val="00CA1CDA"/>
    <w:rsid w:val="00CA1EA7"/>
    <w:rsid w:val="00CA6A6C"/>
    <w:rsid w:val="00CB0CE5"/>
    <w:rsid w:val="00CB2A35"/>
    <w:rsid w:val="00CB2CE3"/>
    <w:rsid w:val="00CB6D10"/>
    <w:rsid w:val="00CB7871"/>
    <w:rsid w:val="00CC008C"/>
    <w:rsid w:val="00CC1081"/>
    <w:rsid w:val="00CC46FB"/>
    <w:rsid w:val="00CC5721"/>
    <w:rsid w:val="00CC6119"/>
    <w:rsid w:val="00CC6D0A"/>
    <w:rsid w:val="00CD079D"/>
    <w:rsid w:val="00CD2C42"/>
    <w:rsid w:val="00CD5E99"/>
    <w:rsid w:val="00CD6F8D"/>
    <w:rsid w:val="00CE3C0F"/>
    <w:rsid w:val="00CE65CD"/>
    <w:rsid w:val="00CF0637"/>
    <w:rsid w:val="00CF301B"/>
    <w:rsid w:val="00CF5A03"/>
    <w:rsid w:val="00D00C8A"/>
    <w:rsid w:val="00D1036E"/>
    <w:rsid w:val="00D17314"/>
    <w:rsid w:val="00D200F2"/>
    <w:rsid w:val="00D2193B"/>
    <w:rsid w:val="00D2217D"/>
    <w:rsid w:val="00D27F6F"/>
    <w:rsid w:val="00D339D7"/>
    <w:rsid w:val="00D516B4"/>
    <w:rsid w:val="00D52886"/>
    <w:rsid w:val="00D53471"/>
    <w:rsid w:val="00D5405A"/>
    <w:rsid w:val="00D55487"/>
    <w:rsid w:val="00D55EBB"/>
    <w:rsid w:val="00D60441"/>
    <w:rsid w:val="00D6219F"/>
    <w:rsid w:val="00D63F55"/>
    <w:rsid w:val="00D707D7"/>
    <w:rsid w:val="00D71387"/>
    <w:rsid w:val="00D72E51"/>
    <w:rsid w:val="00D75800"/>
    <w:rsid w:val="00D75F8A"/>
    <w:rsid w:val="00D770B0"/>
    <w:rsid w:val="00D8003C"/>
    <w:rsid w:val="00D80296"/>
    <w:rsid w:val="00D86328"/>
    <w:rsid w:val="00D8656B"/>
    <w:rsid w:val="00D86973"/>
    <w:rsid w:val="00D86F82"/>
    <w:rsid w:val="00D8727A"/>
    <w:rsid w:val="00D93E9F"/>
    <w:rsid w:val="00D94E38"/>
    <w:rsid w:val="00D976A3"/>
    <w:rsid w:val="00DA225E"/>
    <w:rsid w:val="00DA2EEA"/>
    <w:rsid w:val="00DA3B1D"/>
    <w:rsid w:val="00DA3E4F"/>
    <w:rsid w:val="00DA462C"/>
    <w:rsid w:val="00DA51AE"/>
    <w:rsid w:val="00DA5A97"/>
    <w:rsid w:val="00DB4F3D"/>
    <w:rsid w:val="00DB4FCA"/>
    <w:rsid w:val="00DC07E4"/>
    <w:rsid w:val="00DC119F"/>
    <w:rsid w:val="00DC1E02"/>
    <w:rsid w:val="00DC3469"/>
    <w:rsid w:val="00DC73D3"/>
    <w:rsid w:val="00DD0BBA"/>
    <w:rsid w:val="00DD148D"/>
    <w:rsid w:val="00DD379E"/>
    <w:rsid w:val="00DD42A2"/>
    <w:rsid w:val="00DD433F"/>
    <w:rsid w:val="00DD4621"/>
    <w:rsid w:val="00DD67F1"/>
    <w:rsid w:val="00DE088E"/>
    <w:rsid w:val="00DE1414"/>
    <w:rsid w:val="00DE2DA8"/>
    <w:rsid w:val="00DE3CAB"/>
    <w:rsid w:val="00DE3CF5"/>
    <w:rsid w:val="00DF65CE"/>
    <w:rsid w:val="00DF6C7E"/>
    <w:rsid w:val="00E02034"/>
    <w:rsid w:val="00E04619"/>
    <w:rsid w:val="00E07C52"/>
    <w:rsid w:val="00E07C6F"/>
    <w:rsid w:val="00E12528"/>
    <w:rsid w:val="00E14AC9"/>
    <w:rsid w:val="00E172AF"/>
    <w:rsid w:val="00E22BB3"/>
    <w:rsid w:val="00E23A0F"/>
    <w:rsid w:val="00E3255F"/>
    <w:rsid w:val="00E37456"/>
    <w:rsid w:val="00E441D8"/>
    <w:rsid w:val="00E47EAF"/>
    <w:rsid w:val="00E51507"/>
    <w:rsid w:val="00E5361C"/>
    <w:rsid w:val="00E53BE6"/>
    <w:rsid w:val="00E57F43"/>
    <w:rsid w:val="00E61E4C"/>
    <w:rsid w:val="00E67294"/>
    <w:rsid w:val="00E72DD8"/>
    <w:rsid w:val="00E7357E"/>
    <w:rsid w:val="00E73BE2"/>
    <w:rsid w:val="00E80BC9"/>
    <w:rsid w:val="00E84509"/>
    <w:rsid w:val="00E932E8"/>
    <w:rsid w:val="00E965E1"/>
    <w:rsid w:val="00E9667D"/>
    <w:rsid w:val="00EA0B0F"/>
    <w:rsid w:val="00EA0D83"/>
    <w:rsid w:val="00EA228D"/>
    <w:rsid w:val="00EA510E"/>
    <w:rsid w:val="00EA5583"/>
    <w:rsid w:val="00EA7DD6"/>
    <w:rsid w:val="00EB02B4"/>
    <w:rsid w:val="00EB1277"/>
    <w:rsid w:val="00EB35E7"/>
    <w:rsid w:val="00EB6412"/>
    <w:rsid w:val="00EC0D89"/>
    <w:rsid w:val="00EC26EA"/>
    <w:rsid w:val="00EC4511"/>
    <w:rsid w:val="00ED020D"/>
    <w:rsid w:val="00ED054E"/>
    <w:rsid w:val="00ED19C7"/>
    <w:rsid w:val="00ED297D"/>
    <w:rsid w:val="00ED4703"/>
    <w:rsid w:val="00ED73DD"/>
    <w:rsid w:val="00EE1FA8"/>
    <w:rsid w:val="00EE404A"/>
    <w:rsid w:val="00EE437A"/>
    <w:rsid w:val="00EE6145"/>
    <w:rsid w:val="00EE7F32"/>
    <w:rsid w:val="00EF0D1B"/>
    <w:rsid w:val="00F010B1"/>
    <w:rsid w:val="00F02FD0"/>
    <w:rsid w:val="00F0624C"/>
    <w:rsid w:val="00F076F8"/>
    <w:rsid w:val="00F149D1"/>
    <w:rsid w:val="00F16F5D"/>
    <w:rsid w:val="00F23E76"/>
    <w:rsid w:val="00F2489B"/>
    <w:rsid w:val="00F265D4"/>
    <w:rsid w:val="00F30F16"/>
    <w:rsid w:val="00F30F45"/>
    <w:rsid w:val="00F31F4D"/>
    <w:rsid w:val="00F4159F"/>
    <w:rsid w:val="00F4162A"/>
    <w:rsid w:val="00F45F11"/>
    <w:rsid w:val="00F47664"/>
    <w:rsid w:val="00F56CB1"/>
    <w:rsid w:val="00F608EA"/>
    <w:rsid w:val="00F719F4"/>
    <w:rsid w:val="00F73694"/>
    <w:rsid w:val="00F7383D"/>
    <w:rsid w:val="00F7608D"/>
    <w:rsid w:val="00F82B3C"/>
    <w:rsid w:val="00F82C12"/>
    <w:rsid w:val="00F83F91"/>
    <w:rsid w:val="00F84E95"/>
    <w:rsid w:val="00F87184"/>
    <w:rsid w:val="00F87432"/>
    <w:rsid w:val="00F92178"/>
    <w:rsid w:val="00F94350"/>
    <w:rsid w:val="00FA0A2F"/>
    <w:rsid w:val="00FA4FC9"/>
    <w:rsid w:val="00FB06EB"/>
    <w:rsid w:val="00FB6FB8"/>
    <w:rsid w:val="00FB71F5"/>
    <w:rsid w:val="00FC27A5"/>
    <w:rsid w:val="00FC4424"/>
    <w:rsid w:val="00FC7B49"/>
    <w:rsid w:val="00FD76C6"/>
    <w:rsid w:val="00FE12B3"/>
    <w:rsid w:val="00FE30A1"/>
    <w:rsid w:val="00FF124E"/>
    <w:rsid w:val="00FF51E9"/>
    <w:rsid w:val="00FF576C"/>
    <w:rsid w:val="00FF71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5D786"/>
  <w15:docId w15:val="{E20CD9B7-2E3B-4A6F-8D10-C220F67C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D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semiHidden/>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basedOn w:val="Normal"/>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D976A3"/>
    <w:pPr>
      <w:spacing w:after="0" w:line="240" w:lineRule="auto"/>
    </w:pPr>
    <w:rPr>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365inegi.sharepoint.com/sites/calidad/SitePages/1_sesion_2018.aspx" TargetMode="External"/><Relationship Id="rId18" Type="http://schemas.openxmlformats.org/officeDocument/2006/relationships/hyperlink" Target="https://365inegi.sharepoint.com/sites/calidad/SitePages/012018_presentaciones.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365inegi.sharepoint.com/sites/calidad/SitePages/012018_presentaciones.aspx" TargetMode="External"/><Relationship Id="rId17" Type="http://schemas.openxmlformats.org/officeDocument/2006/relationships/hyperlink" Target="https://365inegi.sharepoint.com/sites/calidad/SitePages/1_sesion_2018.aspx" TargetMode="External"/><Relationship Id="rId2" Type="http://schemas.openxmlformats.org/officeDocument/2006/relationships/customXml" Target="../customXml/item2.xml"/><Relationship Id="rId16" Type="http://schemas.openxmlformats.org/officeDocument/2006/relationships/hyperlink" Target="https://365inegi.sharepoint.com/sites/calidad/SitePages/012018_presentaciones.aspx" TargetMode="External"/><Relationship Id="rId20" Type="http://schemas.openxmlformats.org/officeDocument/2006/relationships/hyperlink" Target="https://365inegi.sharepoint.com/sites/calidad/SitePages/012018_presentacion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365inegi.sharepoint.com/sites/calidad/SitePages/1_sesion_2018.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365inegi.sharepoint.com/sites/calidad/SitePages/1_sesion_2018.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365inegi.sharepoint.com/sites/calidad/SitePages/1_sesion_2018.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365inegi.sharepoint.com/sites/calidad/SitePages/012018_presentaciones.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3.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5A52FD-6087-4638-9495-7414D4F3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4443</Words>
  <Characters>24437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RUBIO SOTO GLORIA MARTHA</dc:creator>
  <cp:lastModifiedBy>RUBIO SOTO GLORIA MARTHA</cp:lastModifiedBy>
  <cp:revision>2</cp:revision>
  <cp:lastPrinted>2017-11-07T20:34:00Z</cp:lastPrinted>
  <dcterms:created xsi:type="dcterms:W3CDTF">2018-06-05T01:13:00Z</dcterms:created>
  <dcterms:modified xsi:type="dcterms:W3CDTF">2018-06-05T01:13:00Z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